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B3C6CD" w14:textId="77777777" w:rsidR="006F3D0A" w:rsidRDefault="006F3D0A" w:rsidP="006F3D0A">
      <w:pPr>
        <w:autoSpaceDE w:val="0"/>
        <w:autoSpaceDN w:val="0"/>
        <w:adjustRightInd w:val="0"/>
        <w:spacing w:after="0" w:line="240" w:lineRule="auto"/>
        <w:rPr>
          <w:rFonts w:asciiTheme="majorBidi" w:hAnsiTheme="majorBidi" w:cstheme="majorBidi"/>
          <w:sz w:val="24"/>
          <w:szCs w:val="24"/>
        </w:rPr>
      </w:pPr>
      <w:bookmarkStart w:id="0" w:name="_Toc530598092"/>
      <w:bookmarkStart w:id="1" w:name="_Toc530660445"/>
      <w:r>
        <w:rPr>
          <w:rFonts w:asciiTheme="majorBidi" w:hAnsiTheme="majorBidi" w:cstheme="majorBidi"/>
          <w:noProof/>
          <w:sz w:val="24"/>
          <w:szCs w:val="24"/>
          <w:lang w:eastAsia="en-GB"/>
        </w:rPr>
        <w:drawing>
          <wp:anchor distT="0" distB="0" distL="114300" distR="114300" simplePos="0" relativeHeight="251659264" behindDoc="0" locked="0" layoutInCell="1" allowOverlap="1" wp14:anchorId="3EF93C54" wp14:editId="7A8C3648">
            <wp:simplePos x="0" y="0"/>
            <wp:positionH relativeFrom="column">
              <wp:posOffset>1310652</wp:posOffset>
            </wp:positionH>
            <wp:positionV relativeFrom="paragraph">
              <wp:posOffset>-310515</wp:posOffset>
            </wp:positionV>
            <wp:extent cx="3036570" cy="1104265"/>
            <wp:effectExtent l="0" t="0" r="0" b="0"/>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66DE5F31" w14:textId="77777777" w:rsidR="006F3D0A" w:rsidRDefault="006F3D0A" w:rsidP="006F3D0A">
      <w:pPr>
        <w:autoSpaceDE w:val="0"/>
        <w:autoSpaceDN w:val="0"/>
        <w:adjustRightInd w:val="0"/>
        <w:spacing w:after="0" w:line="240" w:lineRule="auto"/>
        <w:rPr>
          <w:rFonts w:asciiTheme="majorBidi" w:hAnsiTheme="majorBidi" w:cstheme="majorBidi"/>
          <w:sz w:val="24"/>
          <w:szCs w:val="24"/>
        </w:rPr>
      </w:pPr>
    </w:p>
    <w:p w14:paraId="7BF6C7E5" w14:textId="77777777" w:rsidR="006F3D0A" w:rsidRDefault="006F3D0A" w:rsidP="006F3D0A">
      <w:pPr>
        <w:autoSpaceDE w:val="0"/>
        <w:autoSpaceDN w:val="0"/>
        <w:adjustRightInd w:val="0"/>
        <w:spacing w:after="0" w:line="240" w:lineRule="auto"/>
        <w:rPr>
          <w:rFonts w:asciiTheme="majorBidi" w:hAnsiTheme="majorBidi" w:cstheme="majorBidi"/>
          <w:sz w:val="24"/>
          <w:szCs w:val="24"/>
        </w:rPr>
      </w:pPr>
    </w:p>
    <w:p w14:paraId="455F8803" w14:textId="77777777" w:rsidR="006F3D0A" w:rsidRDefault="006F3D0A" w:rsidP="006F3D0A">
      <w:pPr>
        <w:autoSpaceDE w:val="0"/>
        <w:autoSpaceDN w:val="0"/>
        <w:adjustRightInd w:val="0"/>
        <w:spacing w:after="0" w:line="240" w:lineRule="auto"/>
        <w:rPr>
          <w:rFonts w:asciiTheme="majorBidi" w:hAnsiTheme="majorBidi" w:cstheme="majorBidi"/>
          <w:sz w:val="24"/>
          <w:szCs w:val="24"/>
        </w:rPr>
      </w:pPr>
    </w:p>
    <w:p w14:paraId="7CF1C39D" w14:textId="77777777" w:rsidR="006F3D0A" w:rsidRDefault="006F3D0A" w:rsidP="006F3D0A">
      <w:pPr>
        <w:autoSpaceDE w:val="0"/>
        <w:autoSpaceDN w:val="0"/>
        <w:adjustRightInd w:val="0"/>
        <w:spacing w:after="0" w:line="240" w:lineRule="auto"/>
        <w:jc w:val="center"/>
        <w:rPr>
          <w:rFonts w:asciiTheme="majorBidi" w:hAnsiTheme="majorBidi" w:cstheme="majorBidi"/>
          <w:sz w:val="24"/>
          <w:szCs w:val="24"/>
        </w:rPr>
      </w:pPr>
    </w:p>
    <w:p w14:paraId="61EA46C8" w14:textId="77777777" w:rsidR="006F3D0A" w:rsidRDefault="006F3D0A" w:rsidP="006F3D0A">
      <w:pPr>
        <w:autoSpaceDE w:val="0"/>
        <w:autoSpaceDN w:val="0"/>
        <w:adjustRightInd w:val="0"/>
        <w:spacing w:after="0" w:line="240" w:lineRule="auto"/>
        <w:jc w:val="center"/>
        <w:rPr>
          <w:rFonts w:asciiTheme="majorBidi" w:hAnsiTheme="majorBidi" w:cstheme="majorBidi"/>
          <w:sz w:val="24"/>
          <w:szCs w:val="24"/>
        </w:rPr>
      </w:pPr>
    </w:p>
    <w:p w14:paraId="73AA6475" w14:textId="77777777" w:rsidR="006F3D0A" w:rsidRDefault="006F3D0A" w:rsidP="006F3D0A">
      <w:pPr>
        <w:autoSpaceDE w:val="0"/>
        <w:autoSpaceDN w:val="0"/>
        <w:adjustRightInd w:val="0"/>
        <w:spacing w:after="0" w:line="240" w:lineRule="auto"/>
        <w:jc w:val="center"/>
        <w:rPr>
          <w:rFonts w:asciiTheme="majorBidi" w:hAnsiTheme="majorBidi" w:cstheme="majorBidi"/>
          <w:sz w:val="24"/>
          <w:szCs w:val="24"/>
        </w:rPr>
      </w:pPr>
    </w:p>
    <w:p w14:paraId="6ADCDBBB" w14:textId="77777777" w:rsidR="006F3D0A" w:rsidRDefault="006F3D0A" w:rsidP="006F3D0A">
      <w:pPr>
        <w:autoSpaceDE w:val="0"/>
        <w:autoSpaceDN w:val="0"/>
        <w:adjustRightInd w:val="0"/>
        <w:spacing w:after="0" w:line="240" w:lineRule="auto"/>
        <w:jc w:val="center"/>
        <w:rPr>
          <w:rFonts w:asciiTheme="majorBidi" w:hAnsiTheme="majorBidi" w:cstheme="majorBidi"/>
          <w:sz w:val="24"/>
          <w:szCs w:val="24"/>
        </w:rPr>
      </w:pPr>
    </w:p>
    <w:p w14:paraId="35E67F42" w14:textId="77777777" w:rsidR="006F3D0A" w:rsidRDefault="006F3D0A" w:rsidP="006F3D0A">
      <w:pPr>
        <w:autoSpaceDE w:val="0"/>
        <w:autoSpaceDN w:val="0"/>
        <w:adjustRightInd w:val="0"/>
        <w:spacing w:after="0" w:line="240" w:lineRule="auto"/>
        <w:jc w:val="center"/>
        <w:rPr>
          <w:rFonts w:asciiTheme="majorBidi" w:hAnsiTheme="majorBidi" w:cstheme="majorBidi"/>
          <w:sz w:val="24"/>
          <w:szCs w:val="24"/>
        </w:rPr>
      </w:pPr>
    </w:p>
    <w:p w14:paraId="66ACD739" w14:textId="77777777" w:rsidR="006F3D0A" w:rsidRDefault="006F3D0A" w:rsidP="006F3D0A">
      <w:pPr>
        <w:autoSpaceDE w:val="0"/>
        <w:autoSpaceDN w:val="0"/>
        <w:adjustRightInd w:val="0"/>
        <w:spacing w:after="0" w:line="240" w:lineRule="auto"/>
        <w:jc w:val="center"/>
        <w:rPr>
          <w:rFonts w:asciiTheme="majorBidi" w:hAnsiTheme="majorBidi" w:cstheme="majorBidi"/>
          <w:sz w:val="24"/>
          <w:szCs w:val="24"/>
        </w:rPr>
      </w:pPr>
    </w:p>
    <w:p w14:paraId="0FC99428" w14:textId="77777777" w:rsidR="006F3D0A" w:rsidRDefault="006F3D0A" w:rsidP="006F3D0A">
      <w:pPr>
        <w:autoSpaceDE w:val="0"/>
        <w:autoSpaceDN w:val="0"/>
        <w:adjustRightInd w:val="0"/>
        <w:spacing w:after="0" w:line="240" w:lineRule="auto"/>
        <w:jc w:val="center"/>
        <w:rPr>
          <w:rFonts w:asciiTheme="majorBidi" w:hAnsiTheme="majorBidi" w:cstheme="majorBidi"/>
          <w:sz w:val="24"/>
          <w:szCs w:val="24"/>
        </w:rPr>
      </w:pPr>
    </w:p>
    <w:p w14:paraId="43456BF7" w14:textId="4C59926F" w:rsidR="006F3D0A" w:rsidRPr="006F3D0A" w:rsidRDefault="006F3D0A" w:rsidP="007D7A7B">
      <w:pPr>
        <w:pStyle w:val="Heading1"/>
        <w:numPr>
          <w:ilvl w:val="0"/>
          <w:numId w:val="0"/>
        </w:numPr>
        <w:pBdr>
          <w:bottom w:val="none" w:sz="0" w:space="0" w:color="auto"/>
        </w:pBdr>
        <w:spacing w:before="0" w:after="0" w:line="240" w:lineRule="auto"/>
        <w:jc w:val="center"/>
        <w:rPr>
          <w:rFonts w:asciiTheme="majorBidi" w:hAnsiTheme="majorBidi"/>
          <w:sz w:val="30"/>
          <w:szCs w:val="30"/>
        </w:rPr>
      </w:pPr>
      <w:bookmarkStart w:id="2" w:name="_Toc3538036"/>
      <w:r w:rsidRPr="006F3D0A">
        <w:rPr>
          <w:rFonts w:asciiTheme="majorBidi" w:hAnsiTheme="majorBidi"/>
          <w:sz w:val="30"/>
          <w:szCs w:val="30"/>
          <w:shd w:val="clear" w:color="auto" w:fill="FFFFFF"/>
        </w:rPr>
        <w:t>An Investigation Into E-therapies for Older Adults</w:t>
      </w:r>
      <w:bookmarkEnd w:id="2"/>
      <w:r w:rsidRPr="006F3D0A">
        <w:rPr>
          <w:rFonts w:asciiTheme="majorBidi" w:hAnsiTheme="majorBidi"/>
          <w:sz w:val="30"/>
          <w:szCs w:val="30"/>
        </w:rPr>
        <w:br/>
      </w:r>
      <w:r w:rsidRPr="006F3D0A">
        <w:rPr>
          <w:rFonts w:asciiTheme="majorBidi" w:hAnsiTheme="majorBidi"/>
          <w:sz w:val="30"/>
          <w:szCs w:val="30"/>
        </w:rPr>
        <w:br/>
      </w:r>
    </w:p>
    <w:p w14:paraId="594BCDBA" w14:textId="77777777" w:rsidR="006F3D0A" w:rsidRDefault="006F3D0A" w:rsidP="00652E3F">
      <w:pPr>
        <w:autoSpaceDE w:val="0"/>
        <w:autoSpaceDN w:val="0"/>
        <w:adjustRightInd w:val="0"/>
        <w:spacing w:after="0" w:line="240" w:lineRule="auto"/>
        <w:jc w:val="center"/>
        <w:rPr>
          <w:rFonts w:asciiTheme="majorBidi" w:hAnsiTheme="majorBidi" w:cstheme="majorBidi"/>
          <w:sz w:val="24"/>
          <w:szCs w:val="24"/>
        </w:rPr>
      </w:pPr>
    </w:p>
    <w:p w14:paraId="4C204118" w14:textId="77777777" w:rsidR="006F3D0A" w:rsidRDefault="006F3D0A" w:rsidP="006F3D0A">
      <w:pPr>
        <w:autoSpaceDE w:val="0"/>
        <w:autoSpaceDN w:val="0"/>
        <w:adjustRightInd w:val="0"/>
        <w:spacing w:after="0" w:line="240" w:lineRule="auto"/>
        <w:jc w:val="center"/>
        <w:rPr>
          <w:rFonts w:asciiTheme="majorBidi" w:hAnsiTheme="majorBidi" w:cstheme="majorBidi"/>
          <w:sz w:val="24"/>
          <w:szCs w:val="24"/>
        </w:rPr>
      </w:pPr>
    </w:p>
    <w:p w14:paraId="0C6E1E79" w14:textId="77777777" w:rsidR="006F3D0A" w:rsidRDefault="006F3D0A" w:rsidP="006F3D0A">
      <w:pPr>
        <w:autoSpaceDE w:val="0"/>
        <w:autoSpaceDN w:val="0"/>
        <w:adjustRightInd w:val="0"/>
        <w:spacing w:after="0" w:line="240" w:lineRule="auto"/>
        <w:jc w:val="center"/>
        <w:rPr>
          <w:rFonts w:asciiTheme="majorBidi" w:hAnsiTheme="majorBidi" w:cstheme="majorBidi"/>
          <w:sz w:val="24"/>
          <w:szCs w:val="24"/>
        </w:rPr>
      </w:pPr>
    </w:p>
    <w:p w14:paraId="7793B8E2" w14:textId="48A11CBC" w:rsidR="006F3D0A" w:rsidRPr="00FB352E" w:rsidRDefault="006F3D0A" w:rsidP="006F3D0A">
      <w:pPr>
        <w:autoSpaceDE w:val="0"/>
        <w:autoSpaceDN w:val="0"/>
        <w:adjustRightInd w:val="0"/>
        <w:spacing w:after="0" w:line="240" w:lineRule="auto"/>
        <w:jc w:val="center"/>
        <w:rPr>
          <w:rFonts w:asciiTheme="majorBidi" w:hAnsiTheme="majorBidi" w:cstheme="majorBidi"/>
          <w:b/>
          <w:bCs/>
          <w:sz w:val="24"/>
          <w:szCs w:val="24"/>
        </w:rPr>
      </w:pPr>
    </w:p>
    <w:p w14:paraId="7928A764" w14:textId="77777777" w:rsidR="006F3D0A" w:rsidRPr="00177AB6" w:rsidRDefault="006F3D0A" w:rsidP="006F3D0A">
      <w:pPr>
        <w:autoSpaceDE w:val="0"/>
        <w:autoSpaceDN w:val="0"/>
        <w:adjustRightInd w:val="0"/>
        <w:spacing w:after="0" w:line="240" w:lineRule="auto"/>
        <w:jc w:val="center"/>
        <w:rPr>
          <w:rFonts w:asciiTheme="majorBidi" w:hAnsiTheme="majorBidi" w:cstheme="majorBidi"/>
          <w:sz w:val="24"/>
          <w:szCs w:val="24"/>
        </w:rPr>
      </w:pPr>
    </w:p>
    <w:p w14:paraId="27AA99BF" w14:textId="64B35DD5" w:rsidR="006F3D0A" w:rsidRPr="00FB352E" w:rsidRDefault="006F3D0A" w:rsidP="006F3D0A">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Matthew Russell Bennion</w:t>
      </w:r>
    </w:p>
    <w:p w14:paraId="56D8F5F3" w14:textId="77777777" w:rsidR="006F3D0A" w:rsidRPr="00177AB6" w:rsidRDefault="006F3D0A" w:rsidP="006F3D0A">
      <w:pPr>
        <w:autoSpaceDE w:val="0"/>
        <w:autoSpaceDN w:val="0"/>
        <w:adjustRightInd w:val="0"/>
        <w:spacing w:after="0" w:line="240" w:lineRule="auto"/>
        <w:rPr>
          <w:rFonts w:asciiTheme="majorBidi" w:hAnsiTheme="majorBidi" w:cstheme="majorBidi"/>
          <w:sz w:val="28"/>
          <w:szCs w:val="28"/>
        </w:rPr>
      </w:pPr>
    </w:p>
    <w:p w14:paraId="5C6042A4" w14:textId="77777777" w:rsidR="006F3D0A" w:rsidRDefault="006F3D0A" w:rsidP="006F3D0A">
      <w:pPr>
        <w:autoSpaceDE w:val="0"/>
        <w:autoSpaceDN w:val="0"/>
        <w:adjustRightInd w:val="0"/>
        <w:spacing w:after="0" w:line="240" w:lineRule="auto"/>
        <w:rPr>
          <w:rFonts w:asciiTheme="majorBidi" w:hAnsiTheme="majorBidi" w:cstheme="majorBidi"/>
          <w:sz w:val="24"/>
          <w:szCs w:val="24"/>
        </w:rPr>
      </w:pPr>
    </w:p>
    <w:p w14:paraId="73E985D6" w14:textId="77777777" w:rsidR="006F3D0A" w:rsidRDefault="006F3D0A" w:rsidP="006F3D0A">
      <w:pPr>
        <w:autoSpaceDE w:val="0"/>
        <w:autoSpaceDN w:val="0"/>
        <w:adjustRightInd w:val="0"/>
        <w:spacing w:after="0" w:line="240" w:lineRule="auto"/>
        <w:rPr>
          <w:rFonts w:asciiTheme="majorBidi" w:hAnsiTheme="majorBidi" w:cstheme="majorBidi"/>
          <w:sz w:val="24"/>
          <w:szCs w:val="24"/>
        </w:rPr>
      </w:pPr>
    </w:p>
    <w:p w14:paraId="60C05109" w14:textId="77777777" w:rsidR="006F3D0A" w:rsidRDefault="006F3D0A" w:rsidP="006F3D0A">
      <w:pPr>
        <w:autoSpaceDE w:val="0"/>
        <w:autoSpaceDN w:val="0"/>
        <w:adjustRightInd w:val="0"/>
        <w:spacing w:after="0" w:line="240" w:lineRule="auto"/>
        <w:rPr>
          <w:rFonts w:asciiTheme="majorBidi" w:hAnsiTheme="majorBidi" w:cstheme="majorBidi"/>
          <w:sz w:val="24"/>
          <w:szCs w:val="24"/>
        </w:rPr>
      </w:pPr>
    </w:p>
    <w:p w14:paraId="4CF1AE7F" w14:textId="77777777" w:rsidR="006F3D0A" w:rsidRPr="00D535FE" w:rsidRDefault="006F3D0A" w:rsidP="006F3D0A">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A thesis submitted in </w:t>
      </w:r>
      <w:r>
        <w:rPr>
          <w:rFonts w:asciiTheme="majorBidi" w:hAnsiTheme="majorBidi" w:cstheme="majorBidi"/>
          <w:sz w:val="24"/>
          <w:szCs w:val="24"/>
        </w:rPr>
        <w:t>partial</w:t>
      </w:r>
      <w:r w:rsidRPr="00D535FE">
        <w:rPr>
          <w:rFonts w:asciiTheme="majorBidi" w:hAnsiTheme="majorBidi" w:cstheme="majorBidi"/>
          <w:sz w:val="24"/>
          <w:szCs w:val="24"/>
        </w:rPr>
        <w:t xml:space="preserve"> fulfilment of the requirements </w:t>
      </w:r>
      <w:r>
        <w:rPr>
          <w:rFonts w:asciiTheme="majorBidi" w:hAnsiTheme="majorBidi" w:cstheme="majorBidi"/>
          <w:sz w:val="24"/>
          <w:szCs w:val="24"/>
        </w:rPr>
        <w:t>for</w:t>
      </w:r>
      <w:r w:rsidRPr="00D535FE">
        <w:rPr>
          <w:rFonts w:asciiTheme="majorBidi" w:hAnsiTheme="majorBidi" w:cstheme="majorBidi"/>
          <w:sz w:val="24"/>
          <w:szCs w:val="24"/>
        </w:rPr>
        <w:t xml:space="preserve"> the degree of</w:t>
      </w:r>
    </w:p>
    <w:p w14:paraId="6EC00B03" w14:textId="77777777" w:rsidR="006F3D0A" w:rsidRDefault="006F3D0A" w:rsidP="006F3D0A">
      <w:pPr>
        <w:jc w:val="center"/>
        <w:rPr>
          <w:rFonts w:asciiTheme="majorBidi" w:hAnsiTheme="majorBidi" w:cstheme="majorBidi"/>
          <w:sz w:val="24"/>
          <w:szCs w:val="24"/>
        </w:rPr>
      </w:pPr>
      <w:r w:rsidRPr="00D535FE">
        <w:rPr>
          <w:rFonts w:asciiTheme="majorBidi" w:hAnsiTheme="majorBidi" w:cstheme="majorBidi"/>
          <w:sz w:val="24"/>
          <w:szCs w:val="24"/>
        </w:rPr>
        <w:t>Doctor of Philosophy</w:t>
      </w:r>
      <w:r>
        <w:rPr>
          <w:rFonts w:asciiTheme="majorBidi" w:hAnsiTheme="majorBidi" w:cstheme="majorBidi"/>
          <w:sz w:val="24"/>
          <w:szCs w:val="24"/>
        </w:rPr>
        <w:t xml:space="preserve"> </w:t>
      </w:r>
    </w:p>
    <w:p w14:paraId="587359DD" w14:textId="77777777" w:rsidR="006F3D0A" w:rsidRDefault="006F3D0A" w:rsidP="006F3D0A">
      <w:pPr>
        <w:jc w:val="center"/>
        <w:rPr>
          <w:rFonts w:asciiTheme="majorBidi" w:hAnsiTheme="majorBidi" w:cstheme="majorBidi"/>
          <w:sz w:val="24"/>
          <w:szCs w:val="24"/>
        </w:rPr>
      </w:pPr>
    </w:p>
    <w:p w14:paraId="5C4B6327" w14:textId="77777777" w:rsidR="006F3D0A" w:rsidRDefault="006F3D0A" w:rsidP="006F3D0A">
      <w:pPr>
        <w:jc w:val="center"/>
        <w:rPr>
          <w:rFonts w:asciiTheme="majorBidi" w:hAnsiTheme="majorBidi" w:cstheme="majorBidi"/>
          <w:sz w:val="24"/>
          <w:szCs w:val="24"/>
        </w:rPr>
      </w:pPr>
    </w:p>
    <w:p w14:paraId="5327B046" w14:textId="77777777" w:rsidR="006F3D0A" w:rsidRDefault="006F3D0A" w:rsidP="006F3D0A">
      <w:pPr>
        <w:jc w:val="center"/>
        <w:rPr>
          <w:rFonts w:asciiTheme="majorBidi" w:hAnsiTheme="majorBidi" w:cstheme="majorBidi"/>
          <w:sz w:val="24"/>
          <w:szCs w:val="24"/>
        </w:rPr>
      </w:pPr>
    </w:p>
    <w:p w14:paraId="34A256DB" w14:textId="77777777" w:rsidR="006F3D0A" w:rsidRPr="00D535FE" w:rsidRDefault="006F3D0A" w:rsidP="006F3D0A">
      <w:pPr>
        <w:spacing w:after="0" w:line="240" w:lineRule="auto"/>
        <w:jc w:val="center"/>
        <w:rPr>
          <w:rFonts w:asciiTheme="majorBidi" w:hAnsiTheme="majorBidi" w:cstheme="majorBidi"/>
          <w:sz w:val="24"/>
          <w:szCs w:val="24"/>
        </w:rPr>
      </w:pPr>
      <w:r>
        <w:rPr>
          <w:rFonts w:asciiTheme="majorBidi" w:hAnsiTheme="majorBidi" w:cstheme="majorBidi"/>
          <w:sz w:val="24"/>
          <w:szCs w:val="24"/>
        </w:rPr>
        <w:t>The University of Sheffield</w:t>
      </w:r>
    </w:p>
    <w:p w14:paraId="52EAD8D6" w14:textId="25A25A53" w:rsidR="006F3D0A" w:rsidRPr="00D535FE" w:rsidRDefault="00574650" w:rsidP="00574650">
      <w:pPr>
        <w:tabs>
          <w:tab w:val="center" w:pos="4532"/>
          <w:tab w:val="left" w:pos="8337"/>
        </w:tabs>
        <w:autoSpaceDE w:val="0"/>
        <w:autoSpaceDN w:val="0"/>
        <w:adjustRightInd w:val="0"/>
        <w:spacing w:after="0" w:line="240" w:lineRule="auto"/>
        <w:rPr>
          <w:rFonts w:asciiTheme="majorBidi" w:hAnsiTheme="majorBidi" w:cstheme="majorBidi"/>
          <w:sz w:val="24"/>
          <w:szCs w:val="24"/>
        </w:rPr>
      </w:pPr>
      <w:r>
        <w:rPr>
          <w:rFonts w:asciiTheme="majorBidi" w:hAnsiTheme="majorBidi" w:cstheme="majorBidi"/>
          <w:sz w:val="24"/>
          <w:szCs w:val="24"/>
        </w:rPr>
        <w:tab/>
      </w:r>
      <w:r w:rsidR="006F3D0A" w:rsidRPr="00D535FE">
        <w:rPr>
          <w:rFonts w:asciiTheme="majorBidi" w:hAnsiTheme="majorBidi" w:cstheme="majorBidi"/>
          <w:sz w:val="24"/>
          <w:szCs w:val="24"/>
        </w:rPr>
        <w:t xml:space="preserve">Faculty of </w:t>
      </w:r>
      <w:r w:rsidR="006F3D0A">
        <w:rPr>
          <w:rFonts w:asciiTheme="majorBidi" w:hAnsiTheme="majorBidi" w:cstheme="majorBidi"/>
          <w:sz w:val="24"/>
          <w:szCs w:val="24"/>
        </w:rPr>
        <w:t>Social Sciences</w:t>
      </w:r>
      <w:r>
        <w:rPr>
          <w:rFonts w:asciiTheme="majorBidi" w:hAnsiTheme="majorBidi" w:cstheme="majorBidi"/>
          <w:sz w:val="24"/>
          <w:szCs w:val="24"/>
        </w:rPr>
        <w:tab/>
      </w:r>
    </w:p>
    <w:p w14:paraId="168D7C4F" w14:textId="2E4FC765" w:rsidR="006F3D0A" w:rsidRDefault="006F3D0A" w:rsidP="006F3D0A">
      <w:pPr>
        <w:jc w:val="center"/>
        <w:rPr>
          <w:rFonts w:asciiTheme="majorBidi" w:hAnsiTheme="majorBidi" w:cstheme="majorBidi"/>
          <w:sz w:val="24"/>
          <w:szCs w:val="24"/>
        </w:rPr>
      </w:pPr>
      <w:r>
        <w:rPr>
          <w:rFonts w:asciiTheme="majorBidi" w:hAnsiTheme="majorBidi" w:cstheme="majorBidi"/>
          <w:sz w:val="24"/>
          <w:szCs w:val="24"/>
        </w:rPr>
        <w:t>Department</w:t>
      </w:r>
      <w:r w:rsidRPr="00D535FE">
        <w:rPr>
          <w:rFonts w:asciiTheme="majorBidi" w:hAnsiTheme="majorBidi" w:cstheme="majorBidi"/>
          <w:sz w:val="24"/>
          <w:szCs w:val="24"/>
        </w:rPr>
        <w:t xml:space="preserve"> of </w:t>
      </w:r>
      <w:r>
        <w:rPr>
          <w:rFonts w:asciiTheme="majorBidi" w:hAnsiTheme="majorBidi" w:cstheme="majorBidi"/>
          <w:sz w:val="24"/>
          <w:szCs w:val="24"/>
        </w:rPr>
        <w:t>Psychology</w:t>
      </w:r>
    </w:p>
    <w:p w14:paraId="4CE6B21F" w14:textId="77777777" w:rsidR="006F3D0A" w:rsidRDefault="006F3D0A" w:rsidP="006F3D0A">
      <w:pPr>
        <w:jc w:val="center"/>
        <w:rPr>
          <w:rFonts w:asciiTheme="majorBidi" w:hAnsiTheme="majorBidi" w:cstheme="majorBidi"/>
          <w:sz w:val="24"/>
          <w:szCs w:val="24"/>
        </w:rPr>
      </w:pPr>
    </w:p>
    <w:p w14:paraId="494C3DC8" w14:textId="77777777" w:rsidR="006F3D0A" w:rsidRDefault="006F3D0A" w:rsidP="006F3D0A">
      <w:pPr>
        <w:jc w:val="center"/>
        <w:rPr>
          <w:rFonts w:asciiTheme="majorBidi" w:hAnsiTheme="majorBidi" w:cstheme="majorBidi"/>
          <w:sz w:val="24"/>
          <w:szCs w:val="24"/>
        </w:rPr>
      </w:pPr>
      <w:r>
        <w:rPr>
          <w:rFonts w:asciiTheme="majorBidi" w:hAnsiTheme="majorBidi" w:cstheme="majorBidi"/>
          <w:sz w:val="24"/>
          <w:szCs w:val="24"/>
        </w:rPr>
        <w:t xml:space="preserve"> </w:t>
      </w:r>
    </w:p>
    <w:p w14:paraId="0CEAF86D" w14:textId="77777777" w:rsidR="006F3D0A" w:rsidRDefault="006F3D0A" w:rsidP="006F3D0A">
      <w:pPr>
        <w:jc w:val="center"/>
        <w:rPr>
          <w:rFonts w:asciiTheme="majorBidi" w:hAnsiTheme="majorBidi" w:cstheme="majorBidi"/>
          <w:sz w:val="24"/>
          <w:szCs w:val="24"/>
        </w:rPr>
      </w:pPr>
    </w:p>
    <w:p w14:paraId="2D492E1D" w14:textId="77777777" w:rsidR="006F3D0A" w:rsidRDefault="006F3D0A" w:rsidP="006F3D0A">
      <w:pPr>
        <w:jc w:val="center"/>
        <w:rPr>
          <w:rFonts w:asciiTheme="majorBidi" w:hAnsiTheme="majorBidi" w:cstheme="majorBidi"/>
          <w:sz w:val="24"/>
          <w:szCs w:val="24"/>
        </w:rPr>
      </w:pPr>
    </w:p>
    <w:p w14:paraId="6B7AD112" w14:textId="77777777" w:rsidR="006F3D0A" w:rsidRDefault="006F3D0A" w:rsidP="006F3D0A">
      <w:pPr>
        <w:jc w:val="center"/>
        <w:rPr>
          <w:rFonts w:asciiTheme="majorBidi" w:hAnsiTheme="majorBidi" w:cstheme="majorBidi"/>
          <w:sz w:val="24"/>
          <w:szCs w:val="24"/>
        </w:rPr>
      </w:pPr>
    </w:p>
    <w:p w14:paraId="567770A9" w14:textId="77777777" w:rsidR="00162365" w:rsidRDefault="006F3D0A" w:rsidP="00162365">
      <w:pPr>
        <w:jc w:val="center"/>
        <w:rPr>
          <w:rFonts w:asciiTheme="majorBidi" w:hAnsiTheme="majorBidi" w:cstheme="majorBidi"/>
          <w:sz w:val="24"/>
          <w:szCs w:val="24"/>
        </w:rPr>
      </w:pPr>
      <w:r>
        <w:rPr>
          <w:rFonts w:asciiTheme="majorBidi" w:hAnsiTheme="majorBidi" w:cstheme="majorBidi"/>
          <w:sz w:val="24"/>
          <w:szCs w:val="24"/>
        </w:rPr>
        <w:t>Submission</w:t>
      </w:r>
      <w:r w:rsidRPr="00DE2DFA">
        <w:rPr>
          <w:rFonts w:asciiTheme="majorBidi" w:hAnsiTheme="majorBidi" w:cstheme="majorBidi"/>
          <w:sz w:val="24"/>
          <w:szCs w:val="24"/>
        </w:rPr>
        <w:t xml:space="preserve"> </w:t>
      </w:r>
      <w:r>
        <w:rPr>
          <w:rFonts w:asciiTheme="majorBidi" w:hAnsiTheme="majorBidi" w:cstheme="majorBidi"/>
          <w:sz w:val="24"/>
          <w:szCs w:val="24"/>
        </w:rPr>
        <w:t>Dat</w:t>
      </w:r>
      <w:r w:rsidR="00162365">
        <w:rPr>
          <w:rFonts w:asciiTheme="majorBidi" w:hAnsiTheme="majorBidi" w:cstheme="majorBidi"/>
          <w:sz w:val="24"/>
          <w:szCs w:val="24"/>
        </w:rPr>
        <w:t>e</w:t>
      </w:r>
    </w:p>
    <w:p w14:paraId="2F5F56DE" w14:textId="15116C7B" w:rsidR="00162365" w:rsidRPr="00F84751" w:rsidRDefault="00162365" w:rsidP="00F84751">
      <w:pPr>
        <w:ind w:left="720" w:hanging="720"/>
        <w:jc w:val="center"/>
        <w:rPr>
          <w:rFonts w:ascii="Times New Roman" w:hAnsi="Times New Roman" w:cs="Times New Roman"/>
          <w:sz w:val="24"/>
        </w:rPr>
        <w:sectPr w:rsidR="00162365" w:rsidRPr="00F84751" w:rsidSect="00574650">
          <w:pgSz w:w="11900" w:h="16840"/>
          <w:pgMar w:top="851" w:right="851" w:bottom="851" w:left="851" w:header="720" w:footer="720" w:gutter="1134"/>
          <w:cols w:space="720"/>
          <w:docGrid w:linePitch="360"/>
        </w:sectPr>
      </w:pPr>
      <w:r w:rsidRPr="00F84751">
        <w:rPr>
          <w:rFonts w:ascii="Times New Roman" w:hAnsi="Times New Roman" w:cs="Times New Roman"/>
          <w:sz w:val="24"/>
        </w:rPr>
        <w:t>25/</w:t>
      </w:r>
      <w:r w:rsidR="00F84751" w:rsidRPr="00F84751">
        <w:rPr>
          <w:rFonts w:ascii="Times New Roman" w:hAnsi="Times New Roman" w:cs="Times New Roman"/>
          <w:sz w:val="24"/>
        </w:rPr>
        <w:t>11/2018</w:t>
      </w:r>
    </w:p>
    <w:p w14:paraId="472B1F1E" w14:textId="41F000E6" w:rsidR="00D50EFA" w:rsidRDefault="00067319" w:rsidP="00A3163C">
      <w:pPr>
        <w:pStyle w:val="Heading1"/>
        <w:numPr>
          <w:ilvl w:val="0"/>
          <w:numId w:val="0"/>
        </w:numPr>
        <w:ind w:left="432" w:hanging="432"/>
      </w:pPr>
      <w:bookmarkStart w:id="3" w:name="_Toc3538037"/>
      <w:r>
        <w:lastRenderedPageBreak/>
        <w:t>Abstract</w:t>
      </w:r>
      <w:bookmarkEnd w:id="0"/>
      <w:bookmarkEnd w:id="1"/>
      <w:bookmarkEnd w:id="3"/>
    </w:p>
    <w:p w14:paraId="3E87493C" w14:textId="019F11A4" w:rsidR="00A307D0" w:rsidRPr="001907A7" w:rsidRDefault="006C6716" w:rsidP="00067319">
      <w:pPr>
        <w:rPr>
          <w:color w:val="000000" w:themeColor="text1"/>
        </w:rPr>
      </w:pPr>
      <w:r>
        <w:rPr>
          <w:rFonts w:eastAsia="Times New Roman"/>
        </w:rPr>
        <w:t>This thesis concerns the use of e</w:t>
      </w:r>
      <w:r>
        <w:rPr>
          <w:rFonts w:eastAsia="Times New Roman"/>
        </w:rPr>
        <w:noBreakHyphen/>
        <w:t xml:space="preserve">therapies, that is, the delivery via a digital platform of a psychotherapeutic intervention. </w:t>
      </w:r>
      <w:r w:rsidR="006406E6">
        <w:rPr>
          <w:rFonts w:eastAsia="Times New Roman"/>
        </w:rPr>
        <w:t xml:space="preserve"> </w:t>
      </w:r>
      <w:r>
        <w:rPr>
          <w:rFonts w:eastAsia="Times New Roman"/>
        </w:rPr>
        <w:t>More specifically, it concerns the use of e</w:t>
      </w:r>
      <w:r>
        <w:rPr>
          <w:rFonts w:eastAsia="Times New Roman"/>
        </w:rPr>
        <w:noBreakHyphen/>
        <w:t>therapies for mild to moderate stress, anxiety and depression by older adults, a sector of the population hitherto neglected both in the design of e</w:t>
      </w:r>
      <w:r>
        <w:rPr>
          <w:rFonts w:eastAsia="Times New Roman"/>
        </w:rPr>
        <w:noBreakHyphen/>
        <w:t xml:space="preserve">therapies and in research of this nature. </w:t>
      </w:r>
      <w:r w:rsidR="001F5564">
        <w:rPr>
          <w:rFonts w:eastAsia="Times New Roman"/>
        </w:rPr>
        <w:t xml:space="preserve"> </w:t>
      </w:r>
      <w:r w:rsidRPr="00006460">
        <w:rPr>
          <w:rFonts w:eastAsia="Times New Roman"/>
        </w:rPr>
        <w:t>The primary aim of th</w:t>
      </w:r>
      <w:r>
        <w:rPr>
          <w:rFonts w:eastAsia="Times New Roman"/>
        </w:rPr>
        <w:t>e</w:t>
      </w:r>
      <w:r w:rsidRPr="00006460">
        <w:rPr>
          <w:rFonts w:eastAsia="Times New Roman"/>
        </w:rPr>
        <w:t xml:space="preserve"> work was to explore ways in which the user interface of an e</w:t>
      </w:r>
      <w:r>
        <w:rPr>
          <w:rFonts w:eastAsia="Times New Roman"/>
        </w:rPr>
        <w:noBreakHyphen/>
      </w:r>
      <w:r w:rsidRPr="00006460">
        <w:rPr>
          <w:rFonts w:eastAsia="Times New Roman"/>
        </w:rPr>
        <w:t>therapy could be enhanced to</w:t>
      </w:r>
      <w:r w:rsidRPr="00006460">
        <w:rPr>
          <w:rFonts w:eastAsia="Times New Roman"/>
          <w:shd w:val="clear" w:color="auto" w:fill="FFFFFF"/>
        </w:rPr>
        <w:t xml:space="preserve"> improve usability </w:t>
      </w:r>
      <w:r>
        <w:rPr>
          <w:rFonts w:eastAsia="Times New Roman"/>
          <w:shd w:val="clear" w:color="auto" w:fill="FFFFFF"/>
        </w:rPr>
        <w:t xml:space="preserve">for </w:t>
      </w:r>
      <w:r w:rsidRPr="00006460">
        <w:rPr>
          <w:rFonts w:eastAsia="Times New Roman"/>
          <w:shd w:val="clear" w:color="auto" w:fill="FFFFFF"/>
        </w:rPr>
        <w:t xml:space="preserve">and promote acceptability </w:t>
      </w:r>
      <w:r>
        <w:rPr>
          <w:rFonts w:eastAsia="Times New Roman"/>
          <w:shd w:val="clear" w:color="auto" w:fill="FFFFFF"/>
        </w:rPr>
        <w:t>by</w:t>
      </w:r>
      <w:r w:rsidRPr="00006460">
        <w:rPr>
          <w:rFonts w:eastAsia="Times New Roman"/>
          <w:shd w:val="clear" w:color="auto" w:fill="FFFFFF"/>
        </w:rPr>
        <w:t xml:space="preserve"> older adults</w:t>
      </w:r>
      <w:r>
        <w:rPr>
          <w:rFonts w:eastAsia="Times New Roman"/>
          <w:shd w:val="clear" w:color="auto" w:fill="FFFFFF"/>
        </w:rPr>
        <w:t>, and hence improve access to this mode of therapy for this particular service user group</w:t>
      </w:r>
      <w:r w:rsidRPr="00006460">
        <w:rPr>
          <w:rFonts w:eastAsia="Times New Roman"/>
          <w:shd w:val="clear" w:color="auto" w:fill="FFFFFF"/>
        </w:rPr>
        <w:t>.</w:t>
      </w:r>
      <w:r w:rsidR="00C513F2">
        <w:rPr>
          <w:rFonts w:eastAsia="Times New Roman"/>
          <w:shd w:val="clear" w:color="auto" w:fill="FFFFFF"/>
        </w:rPr>
        <w:t xml:space="preserve"> </w:t>
      </w:r>
      <w:r w:rsidRPr="00006460">
        <w:rPr>
          <w:rFonts w:eastAsia="Times New Roman"/>
          <w:shd w:val="clear" w:color="auto" w:fill="FFFFFF"/>
        </w:rPr>
        <w:t xml:space="preserve"> Secondary aims were to examine whether perceived usability is associated with other factors</w:t>
      </w:r>
      <w:r>
        <w:rPr>
          <w:rFonts w:eastAsia="Times New Roman"/>
          <w:shd w:val="clear" w:color="auto" w:fill="FFFFFF"/>
        </w:rPr>
        <w:t xml:space="preserve"> that influence the delivery of therapy</w:t>
      </w:r>
      <w:r w:rsidRPr="00006460">
        <w:rPr>
          <w:rFonts w:eastAsia="Times New Roman"/>
          <w:shd w:val="clear" w:color="auto" w:fill="FFFFFF"/>
        </w:rPr>
        <w:t xml:space="preserve"> such as credibility, pre-expectancy and the therapeutic relationship. </w:t>
      </w:r>
      <w:r>
        <w:rPr>
          <w:rFonts w:eastAsia="Times New Roman"/>
        </w:rPr>
        <w:t xml:space="preserve"> </w:t>
      </w:r>
      <w:proofErr w:type="gramStart"/>
      <w:r>
        <w:rPr>
          <w:rFonts w:eastAsia="Times New Roman"/>
        </w:rPr>
        <w:t>Phase</w:t>
      </w:r>
      <w:proofErr w:type="gramEnd"/>
      <w:r>
        <w:rPr>
          <w:rFonts w:eastAsia="Times New Roman"/>
        </w:rPr>
        <w:t xml:space="preserve"> one, comprising two surveys and a meta-analysis, mapped the landscape of </w:t>
      </w:r>
      <w:r>
        <w:rPr>
          <w:rFonts w:eastAsia="Times New Roman"/>
          <w:color w:val="000000"/>
        </w:rPr>
        <w:t>contemporary</w:t>
      </w:r>
      <w:r w:rsidRPr="00006460">
        <w:rPr>
          <w:rFonts w:eastAsia="Times New Roman"/>
          <w:color w:val="000000"/>
        </w:rPr>
        <w:t xml:space="preserve"> e</w:t>
      </w:r>
      <w:r w:rsidRPr="00006460">
        <w:rPr>
          <w:rFonts w:eastAsia="Times New Roman"/>
          <w:color w:val="000000"/>
        </w:rPr>
        <w:noBreakHyphen/>
        <w:t xml:space="preserve">therapy use within NHS </w:t>
      </w:r>
      <w:r>
        <w:rPr>
          <w:rFonts w:eastAsia="Times New Roman"/>
          <w:color w:val="000000"/>
        </w:rPr>
        <w:t xml:space="preserve">England </w:t>
      </w:r>
      <w:r w:rsidRPr="00006460">
        <w:rPr>
          <w:rFonts w:eastAsia="Times New Roman"/>
          <w:color w:val="000000"/>
        </w:rPr>
        <w:t>in order to determine: what e</w:t>
      </w:r>
      <w:r w:rsidRPr="00006460">
        <w:rPr>
          <w:rFonts w:eastAsia="Times New Roman"/>
          <w:color w:val="000000"/>
        </w:rPr>
        <w:noBreakHyphen/>
        <w:t>therapies are used; what evidence exists for them</w:t>
      </w:r>
      <w:r>
        <w:rPr>
          <w:rFonts w:eastAsia="Times New Roman"/>
          <w:color w:val="000000"/>
        </w:rPr>
        <w:t>;</w:t>
      </w:r>
      <w:r w:rsidRPr="00006460">
        <w:rPr>
          <w:rFonts w:eastAsia="Times New Roman"/>
          <w:color w:val="000000"/>
        </w:rPr>
        <w:t xml:space="preserve"> and whether they are suitable for older adults. </w:t>
      </w:r>
      <w:r w:rsidR="00056473">
        <w:rPr>
          <w:rFonts w:eastAsia="Times New Roman"/>
          <w:color w:val="000000"/>
        </w:rPr>
        <w:t xml:space="preserve"> </w:t>
      </w:r>
      <w:r>
        <w:rPr>
          <w:rFonts w:eastAsia="Times New Roman"/>
          <w:color w:val="000000"/>
        </w:rPr>
        <w:t xml:space="preserve">Findings indicated that e-therapies used in the NHS are broadly effective, but they are less effective with age, and there is a dearth of research on their use in older adults. </w:t>
      </w:r>
      <w:r w:rsidRPr="00006460">
        <w:rPr>
          <w:rFonts w:eastAsia="Times New Roman"/>
        </w:rPr>
        <w:t xml:space="preserve"> </w:t>
      </w:r>
      <w:proofErr w:type="gramStart"/>
      <w:r>
        <w:rPr>
          <w:rFonts w:eastAsia="Times New Roman"/>
        </w:rPr>
        <w:t xml:space="preserve">Following on from this, phase two, </w:t>
      </w:r>
      <w:r w:rsidRPr="001907A7">
        <w:rPr>
          <w:rFonts w:eastAsia="Times New Roman"/>
          <w:color w:val="000000" w:themeColor="text1"/>
        </w:rPr>
        <w:t>comprising three empirical studies, investigated: the relationship between usability and expectancies and acceptability of e-therapies, in older adults.</w:t>
      </w:r>
      <w:proofErr w:type="gramEnd"/>
      <w:r w:rsidR="00056473" w:rsidRPr="001907A7">
        <w:rPr>
          <w:rFonts w:eastAsia="Times New Roman"/>
          <w:color w:val="000000" w:themeColor="text1"/>
        </w:rPr>
        <w:t xml:space="preserve">  </w:t>
      </w:r>
      <w:r w:rsidRPr="001907A7">
        <w:rPr>
          <w:rFonts w:eastAsia="Times New Roman"/>
          <w:color w:val="000000" w:themeColor="text1"/>
        </w:rPr>
        <w:t>Findings indicated that the</w:t>
      </w:r>
      <w:r w:rsidR="008C4402" w:rsidRPr="001907A7">
        <w:rPr>
          <w:rFonts w:eastAsia="Times New Roman"/>
          <w:color w:val="000000" w:themeColor="text1"/>
        </w:rPr>
        <w:t xml:space="preserve"> perceived</w:t>
      </w:r>
      <w:r w:rsidRPr="001907A7">
        <w:rPr>
          <w:rFonts w:eastAsia="Times New Roman"/>
          <w:color w:val="000000" w:themeColor="text1"/>
        </w:rPr>
        <w:t xml:space="preserve"> therapeutic relationship older </w:t>
      </w:r>
      <w:r w:rsidR="008C4402" w:rsidRPr="001907A7">
        <w:rPr>
          <w:rFonts w:eastAsia="Times New Roman"/>
          <w:color w:val="000000" w:themeColor="text1"/>
        </w:rPr>
        <w:t>adults formed with the e-therapy was</w:t>
      </w:r>
      <w:r w:rsidRPr="001907A7">
        <w:rPr>
          <w:rFonts w:eastAsia="Times New Roman"/>
          <w:color w:val="000000" w:themeColor="text1"/>
        </w:rPr>
        <w:t xml:space="preserve"> related to </w:t>
      </w:r>
      <w:r w:rsidR="008C4402" w:rsidRPr="001907A7">
        <w:rPr>
          <w:rFonts w:eastAsia="Times New Roman"/>
          <w:color w:val="000000" w:themeColor="text1"/>
        </w:rPr>
        <w:t xml:space="preserve">the e-therapy’s </w:t>
      </w:r>
      <w:r w:rsidRPr="001907A7">
        <w:rPr>
          <w:rFonts w:eastAsia="Times New Roman"/>
          <w:color w:val="000000" w:themeColor="text1"/>
        </w:rPr>
        <w:t>usability, suggesting that usability is an important factor in e-therapy design that requires further research attention.</w:t>
      </w:r>
    </w:p>
    <w:p w14:paraId="5E363962" w14:textId="6682AF2D" w:rsidR="00A307D0" w:rsidRPr="00067319" w:rsidRDefault="00A307D0" w:rsidP="00067319">
      <w:pPr>
        <w:sectPr w:rsidR="00A307D0" w:rsidRPr="00067319" w:rsidSect="00452C07">
          <w:pgSz w:w="11900" w:h="16840"/>
          <w:pgMar w:top="851" w:right="851" w:bottom="851" w:left="1134" w:header="720" w:footer="720" w:gutter="0"/>
          <w:cols w:space="720"/>
          <w:docGrid w:linePitch="360"/>
        </w:sectPr>
      </w:pPr>
    </w:p>
    <w:bookmarkStart w:id="4" w:name="_Toc3538038" w:displacedByCustomXml="next"/>
    <w:sdt>
      <w:sdtPr>
        <w:rPr>
          <w:rFonts w:asciiTheme="minorHAnsi" w:eastAsiaTheme="minorEastAsia" w:hAnsiTheme="minorHAnsi" w:cstheme="minorBidi"/>
          <w:b w:val="0"/>
          <w:bCs w:val="0"/>
          <w:smallCaps w:val="0"/>
          <w:color w:val="auto"/>
          <w:sz w:val="22"/>
          <w:szCs w:val="22"/>
        </w:rPr>
        <w:id w:val="913361250"/>
        <w:docPartObj>
          <w:docPartGallery w:val="Table of Contents"/>
          <w:docPartUnique/>
        </w:docPartObj>
      </w:sdtPr>
      <w:sdtEndPr>
        <w:rPr>
          <w:rFonts w:cstheme="minorHAnsi"/>
          <w:noProof/>
        </w:rPr>
      </w:sdtEndPr>
      <w:sdtContent>
        <w:p w14:paraId="6E6C0434" w14:textId="02F8BB5D" w:rsidR="00663CD6" w:rsidRPr="006F3D0A" w:rsidRDefault="00663CD6" w:rsidP="006F3D0A">
          <w:pPr>
            <w:pStyle w:val="Heading1"/>
            <w:numPr>
              <w:ilvl w:val="0"/>
              <w:numId w:val="0"/>
            </w:numPr>
            <w:ind w:left="432" w:hanging="432"/>
            <w:rPr>
              <w:rStyle w:val="Heading1Char"/>
            </w:rPr>
          </w:pPr>
          <w:r w:rsidRPr="006F3D0A">
            <w:rPr>
              <w:rStyle w:val="Heading1Char"/>
            </w:rPr>
            <w:t>Contents</w:t>
          </w:r>
          <w:bookmarkEnd w:id="4"/>
        </w:p>
        <w:p w14:paraId="7ED4D7C2" w14:textId="77777777" w:rsidR="009C1853" w:rsidRPr="009C1853" w:rsidRDefault="00663CD6">
          <w:pPr>
            <w:pStyle w:val="TOC1"/>
            <w:rPr>
              <w:rFonts w:asciiTheme="minorHAnsi" w:hAnsiTheme="minorHAnsi"/>
              <w:shd w:val="clear" w:color="auto" w:fill="auto"/>
              <w:lang w:eastAsia="en-GB"/>
            </w:rPr>
          </w:pPr>
          <w:r w:rsidRPr="009C1853">
            <w:rPr>
              <w:rFonts w:asciiTheme="minorHAnsi" w:hAnsiTheme="minorHAnsi" w:cstheme="minorHAnsi"/>
              <w:b/>
              <w:bCs/>
            </w:rPr>
            <w:fldChar w:fldCharType="begin"/>
          </w:r>
          <w:r w:rsidRPr="009C1853">
            <w:rPr>
              <w:rFonts w:asciiTheme="minorHAnsi" w:hAnsiTheme="minorHAnsi" w:cstheme="minorHAnsi"/>
              <w:b/>
              <w:bCs/>
            </w:rPr>
            <w:instrText xml:space="preserve"> TOC \o "1-3" \h \z \u </w:instrText>
          </w:r>
          <w:r w:rsidRPr="009C1853">
            <w:rPr>
              <w:rFonts w:asciiTheme="minorHAnsi" w:hAnsiTheme="minorHAnsi" w:cstheme="minorHAnsi"/>
              <w:b/>
              <w:bCs/>
            </w:rPr>
            <w:fldChar w:fldCharType="separate"/>
          </w:r>
          <w:hyperlink w:anchor="_Toc3538036" w:history="1">
            <w:r w:rsidR="009C1853" w:rsidRPr="009C1853">
              <w:rPr>
                <w:rStyle w:val="Hyperlink"/>
                <w:rFonts w:asciiTheme="minorHAnsi" w:hAnsiTheme="minorHAnsi"/>
              </w:rPr>
              <w:t>An Investigation Into E-therapies for Older Adults</w:t>
            </w:r>
            <w:r w:rsidR="009C1853" w:rsidRPr="009C1853">
              <w:rPr>
                <w:rFonts w:asciiTheme="minorHAnsi" w:hAnsiTheme="minorHAnsi"/>
                <w:webHidden/>
              </w:rPr>
              <w:tab/>
            </w:r>
            <w:r w:rsidR="009C1853" w:rsidRPr="009C1853">
              <w:rPr>
                <w:rFonts w:asciiTheme="minorHAnsi" w:hAnsiTheme="minorHAnsi"/>
                <w:webHidden/>
              </w:rPr>
              <w:fldChar w:fldCharType="begin"/>
            </w:r>
            <w:r w:rsidR="009C1853" w:rsidRPr="009C1853">
              <w:rPr>
                <w:rFonts w:asciiTheme="minorHAnsi" w:hAnsiTheme="minorHAnsi"/>
                <w:webHidden/>
              </w:rPr>
              <w:instrText xml:space="preserve"> PAGEREF _Toc3538036 \h </w:instrText>
            </w:r>
            <w:r w:rsidR="009C1853" w:rsidRPr="009C1853">
              <w:rPr>
                <w:rFonts w:asciiTheme="minorHAnsi" w:hAnsiTheme="minorHAnsi"/>
                <w:webHidden/>
              </w:rPr>
            </w:r>
            <w:r w:rsidR="009C1853" w:rsidRPr="009C1853">
              <w:rPr>
                <w:rFonts w:asciiTheme="minorHAnsi" w:hAnsiTheme="minorHAnsi"/>
                <w:webHidden/>
              </w:rPr>
              <w:fldChar w:fldCharType="separate"/>
            </w:r>
            <w:r w:rsidR="009C1853" w:rsidRPr="009C1853">
              <w:rPr>
                <w:rFonts w:asciiTheme="minorHAnsi" w:hAnsiTheme="minorHAnsi"/>
                <w:webHidden/>
              </w:rPr>
              <w:t>1</w:t>
            </w:r>
            <w:r w:rsidR="009C1853" w:rsidRPr="009C1853">
              <w:rPr>
                <w:rFonts w:asciiTheme="minorHAnsi" w:hAnsiTheme="minorHAnsi"/>
                <w:webHidden/>
              </w:rPr>
              <w:fldChar w:fldCharType="end"/>
            </w:r>
          </w:hyperlink>
        </w:p>
        <w:p w14:paraId="46662D87" w14:textId="77777777" w:rsidR="009C1853" w:rsidRPr="009C1853" w:rsidRDefault="00FF643F">
          <w:pPr>
            <w:pStyle w:val="TOC1"/>
            <w:rPr>
              <w:rFonts w:asciiTheme="minorHAnsi" w:hAnsiTheme="minorHAnsi"/>
              <w:shd w:val="clear" w:color="auto" w:fill="auto"/>
              <w:lang w:eastAsia="en-GB"/>
            </w:rPr>
          </w:pPr>
          <w:hyperlink w:anchor="_Toc3538037" w:history="1">
            <w:r w:rsidR="009C1853" w:rsidRPr="009C1853">
              <w:rPr>
                <w:rStyle w:val="Hyperlink"/>
                <w:rFonts w:asciiTheme="minorHAnsi" w:hAnsiTheme="minorHAnsi"/>
              </w:rPr>
              <w:t>Abstract</w:t>
            </w:r>
            <w:r w:rsidR="009C1853" w:rsidRPr="009C1853">
              <w:rPr>
                <w:rFonts w:asciiTheme="minorHAnsi" w:hAnsiTheme="minorHAnsi"/>
                <w:webHidden/>
              </w:rPr>
              <w:tab/>
            </w:r>
            <w:r w:rsidR="009C1853" w:rsidRPr="009C1853">
              <w:rPr>
                <w:rFonts w:asciiTheme="minorHAnsi" w:hAnsiTheme="minorHAnsi"/>
                <w:webHidden/>
              </w:rPr>
              <w:fldChar w:fldCharType="begin"/>
            </w:r>
            <w:r w:rsidR="009C1853" w:rsidRPr="009C1853">
              <w:rPr>
                <w:rFonts w:asciiTheme="minorHAnsi" w:hAnsiTheme="minorHAnsi"/>
                <w:webHidden/>
              </w:rPr>
              <w:instrText xml:space="preserve"> PAGEREF _Toc3538037 \h </w:instrText>
            </w:r>
            <w:r w:rsidR="009C1853" w:rsidRPr="009C1853">
              <w:rPr>
                <w:rFonts w:asciiTheme="minorHAnsi" w:hAnsiTheme="minorHAnsi"/>
                <w:webHidden/>
              </w:rPr>
            </w:r>
            <w:r w:rsidR="009C1853" w:rsidRPr="009C1853">
              <w:rPr>
                <w:rFonts w:asciiTheme="minorHAnsi" w:hAnsiTheme="minorHAnsi"/>
                <w:webHidden/>
              </w:rPr>
              <w:fldChar w:fldCharType="separate"/>
            </w:r>
            <w:r w:rsidR="009C1853" w:rsidRPr="009C1853">
              <w:rPr>
                <w:rFonts w:asciiTheme="minorHAnsi" w:hAnsiTheme="minorHAnsi"/>
                <w:webHidden/>
              </w:rPr>
              <w:t>2</w:t>
            </w:r>
            <w:r w:rsidR="009C1853" w:rsidRPr="009C1853">
              <w:rPr>
                <w:rFonts w:asciiTheme="minorHAnsi" w:hAnsiTheme="minorHAnsi"/>
                <w:webHidden/>
              </w:rPr>
              <w:fldChar w:fldCharType="end"/>
            </w:r>
          </w:hyperlink>
        </w:p>
        <w:p w14:paraId="58ED7E37" w14:textId="77777777" w:rsidR="009C1853" w:rsidRPr="009C1853" w:rsidRDefault="00FF643F">
          <w:pPr>
            <w:pStyle w:val="TOC1"/>
            <w:rPr>
              <w:rFonts w:asciiTheme="minorHAnsi" w:hAnsiTheme="minorHAnsi"/>
              <w:shd w:val="clear" w:color="auto" w:fill="auto"/>
              <w:lang w:eastAsia="en-GB"/>
            </w:rPr>
          </w:pPr>
          <w:hyperlink w:anchor="_Toc3538038" w:history="1">
            <w:r w:rsidR="009C1853" w:rsidRPr="009C1853">
              <w:rPr>
                <w:rStyle w:val="Hyperlink"/>
                <w:rFonts w:asciiTheme="minorHAnsi" w:hAnsiTheme="minorHAnsi"/>
              </w:rPr>
              <w:t>Contents</w:t>
            </w:r>
            <w:r w:rsidR="009C1853" w:rsidRPr="009C1853">
              <w:rPr>
                <w:rFonts w:asciiTheme="minorHAnsi" w:hAnsiTheme="minorHAnsi"/>
                <w:webHidden/>
              </w:rPr>
              <w:tab/>
            </w:r>
            <w:r w:rsidR="009C1853" w:rsidRPr="009C1853">
              <w:rPr>
                <w:rFonts w:asciiTheme="minorHAnsi" w:hAnsiTheme="minorHAnsi"/>
                <w:webHidden/>
              </w:rPr>
              <w:fldChar w:fldCharType="begin"/>
            </w:r>
            <w:r w:rsidR="009C1853" w:rsidRPr="009C1853">
              <w:rPr>
                <w:rFonts w:asciiTheme="minorHAnsi" w:hAnsiTheme="minorHAnsi"/>
                <w:webHidden/>
              </w:rPr>
              <w:instrText xml:space="preserve"> PAGEREF _Toc3538038 \h </w:instrText>
            </w:r>
            <w:r w:rsidR="009C1853" w:rsidRPr="009C1853">
              <w:rPr>
                <w:rFonts w:asciiTheme="minorHAnsi" w:hAnsiTheme="minorHAnsi"/>
                <w:webHidden/>
              </w:rPr>
            </w:r>
            <w:r w:rsidR="009C1853" w:rsidRPr="009C1853">
              <w:rPr>
                <w:rFonts w:asciiTheme="minorHAnsi" w:hAnsiTheme="minorHAnsi"/>
                <w:webHidden/>
              </w:rPr>
              <w:fldChar w:fldCharType="separate"/>
            </w:r>
            <w:r w:rsidR="009C1853" w:rsidRPr="009C1853">
              <w:rPr>
                <w:rFonts w:asciiTheme="minorHAnsi" w:hAnsiTheme="minorHAnsi"/>
                <w:webHidden/>
              </w:rPr>
              <w:t>3</w:t>
            </w:r>
            <w:r w:rsidR="009C1853" w:rsidRPr="009C1853">
              <w:rPr>
                <w:rFonts w:asciiTheme="minorHAnsi" w:hAnsiTheme="minorHAnsi"/>
                <w:webHidden/>
              </w:rPr>
              <w:fldChar w:fldCharType="end"/>
            </w:r>
          </w:hyperlink>
        </w:p>
        <w:p w14:paraId="2A0FEC95" w14:textId="77777777" w:rsidR="009C1853" w:rsidRPr="009C1853" w:rsidRDefault="00FF643F">
          <w:pPr>
            <w:pStyle w:val="TOC1"/>
            <w:rPr>
              <w:rFonts w:asciiTheme="minorHAnsi" w:hAnsiTheme="minorHAnsi"/>
              <w:shd w:val="clear" w:color="auto" w:fill="auto"/>
              <w:lang w:eastAsia="en-GB"/>
            </w:rPr>
          </w:pPr>
          <w:hyperlink w:anchor="_Toc3538039" w:history="1">
            <w:r w:rsidR="009C1853" w:rsidRPr="009C1853">
              <w:rPr>
                <w:rStyle w:val="Hyperlink"/>
                <w:rFonts w:asciiTheme="minorHAnsi" w:hAnsiTheme="minorHAnsi"/>
              </w:rPr>
              <w:t>List of Tables</w:t>
            </w:r>
            <w:r w:rsidR="009C1853" w:rsidRPr="009C1853">
              <w:rPr>
                <w:rFonts w:asciiTheme="minorHAnsi" w:hAnsiTheme="minorHAnsi"/>
                <w:webHidden/>
              </w:rPr>
              <w:tab/>
            </w:r>
            <w:r w:rsidR="009C1853" w:rsidRPr="009C1853">
              <w:rPr>
                <w:rFonts w:asciiTheme="minorHAnsi" w:hAnsiTheme="minorHAnsi"/>
                <w:webHidden/>
              </w:rPr>
              <w:fldChar w:fldCharType="begin"/>
            </w:r>
            <w:r w:rsidR="009C1853" w:rsidRPr="009C1853">
              <w:rPr>
                <w:rFonts w:asciiTheme="minorHAnsi" w:hAnsiTheme="minorHAnsi"/>
                <w:webHidden/>
              </w:rPr>
              <w:instrText xml:space="preserve"> PAGEREF _Toc3538039 \h </w:instrText>
            </w:r>
            <w:r w:rsidR="009C1853" w:rsidRPr="009C1853">
              <w:rPr>
                <w:rFonts w:asciiTheme="minorHAnsi" w:hAnsiTheme="minorHAnsi"/>
                <w:webHidden/>
              </w:rPr>
            </w:r>
            <w:r w:rsidR="009C1853" w:rsidRPr="009C1853">
              <w:rPr>
                <w:rFonts w:asciiTheme="minorHAnsi" w:hAnsiTheme="minorHAnsi"/>
                <w:webHidden/>
              </w:rPr>
              <w:fldChar w:fldCharType="separate"/>
            </w:r>
            <w:r w:rsidR="009C1853" w:rsidRPr="009C1853">
              <w:rPr>
                <w:rFonts w:asciiTheme="minorHAnsi" w:hAnsiTheme="minorHAnsi"/>
                <w:webHidden/>
              </w:rPr>
              <w:t>10</w:t>
            </w:r>
            <w:r w:rsidR="009C1853" w:rsidRPr="009C1853">
              <w:rPr>
                <w:rFonts w:asciiTheme="minorHAnsi" w:hAnsiTheme="minorHAnsi"/>
                <w:webHidden/>
              </w:rPr>
              <w:fldChar w:fldCharType="end"/>
            </w:r>
          </w:hyperlink>
        </w:p>
        <w:p w14:paraId="3FF3D97C" w14:textId="77777777" w:rsidR="009C1853" w:rsidRPr="009C1853" w:rsidRDefault="00FF643F">
          <w:pPr>
            <w:pStyle w:val="TOC1"/>
            <w:rPr>
              <w:rFonts w:asciiTheme="minorHAnsi" w:hAnsiTheme="minorHAnsi"/>
              <w:shd w:val="clear" w:color="auto" w:fill="auto"/>
              <w:lang w:eastAsia="en-GB"/>
            </w:rPr>
          </w:pPr>
          <w:hyperlink w:anchor="_Toc3538040" w:history="1">
            <w:r w:rsidR="009C1853" w:rsidRPr="009C1853">
              <w:rPr>
                <w:rStyle w:val="Hyperlink"/>
                <w:rFonts w:asciiTheme="minorHAnsi" w:hAnsiTheme="minorHAnsi"/>
              </w:rPr>
              <w:t>List of Figures</w:t>
            </w:r>
            <w:r w:rsidR="009C1853" w:rsidRPr="009C1853">
              <w:rPr>
                <w:rFonts w:asciiTheme="minorHAnsi" w:hAnsiTheme="minorHAnsi"/>
                <w:webHidden/>
              </w:rPr>
              <w:tab/>
            </w:r>
            <w:r w:rsidR="009C1853" w:rsidRPr="009C1853">
              <w:rPr>
                <w:rFonts w:asciiTheme="minorHAnsi" w:hAnsiTheme="minorHAnsi"/>
                <w:webHidden/>
              </w:rPr>
              <w:fldChar w:fldCharType="begin"/>
            </w:r>
            <w:r w:rsidR="009C1853" w:rsidRPr="009C1853">
              <w:rPr>
                <w:rFonts w:asciiTheme="minorHAnsi" w:hAnsiTheme="minorHAnsi"/>
                <w:webHidden/>
              </w:rPr>
              <w:instrText xml:space="preserve"> PAGEREF _Toc3538040 \h </w:instrText>
            </w:r>
            <w:r w:rsidR="009C1853" w:rsidRPr="009C1853">
              <w:rPr>
                <w:rFonts w:asciiTheme="minorHAnsi" w:hAnsiTheme="minorHAnsi"/>
                <w:webHidden/>
              </w:rPr>
            </w:r>
            <w:r w:rsidR="009C1853" w:rsidRPr="009C1853">
              <w:rPr>
                <w:rFonts w:asciiTheme="minorHAnsi" w:hAnsiTheme="minorHAnsi"/>
                <w:webHidden/>
              </w:rPr>
              <w:fldChar w:fldCharType="separate"/>
            </w:r>
            <w:r w:rsidR="009C1853" w:rsidRPr="009C1853">
              <w:rPr>
                <w:rFonts w:asciiTheme="minorHAnsi" w:hAnsiTheme="minorHAnsi"/>
                <w:webHidden/>
              </w:rPr>
              <w:t>11</w:t>
            </w:r>
            <w:r w:rsidR="009C1853" w:rsidRPr="009C1853">
              <w:rPr>
                <w:rFonts w:asciiTheme="minorHAnsi" w:hAnsiTheme="minorHAnsi"/>
                <w:webHidden/>
              </w:rPr>
              <w:fldChar w:fldCharType="end"/>
            </w:r>
          </w:hyperlink>
        </w:p>
        <w:p w14:paraId="08EB3D39" w14:textId="77777777" w:rsidR="009C1853" w:rsidRPr="009C1853" w:rsidRDefault="00FF643F">
          <w:pPr>
            <w:pStyle w:val="TOC1"/>
            <w:rPr>
              <w:rFonts w:asciiTheme="minorHAnsi" w:hAnsiTheme="minorHAnsi"/>
              <w:shd w:val="clear" w:color="auto" w:fill="auto"/>
              <w:lang w:eastAsia="en-GB"/>
            </w:rPr>
          </w:pPr>
          <w:hyperlink w:anchor="_Toc3538041" w:history="1">
            <w:r w:rsidR="009C1853" w:rsidRPr="009C1853">
              <w:rPr>
                <w:rStyle w:val="Hyperlink"/>
                <w:rFonts w:asciiTheme="minorHAnsi" w:hAnsiTheme="minorHAnsi"/>
              </w:rPr>
              <w:t>Acknowledgements</w:t>
            </w:r>
            <w:r w:rsidR="009C1853" w:rsidRPr="009C1853">
              <w:rPr>
                <w:rFonts w:asciiTheme="minorHAnsi" w:hAnsiTheme="minorHAnsi"/>
                <w:webHidden/>
              </w:rPr>
              <w:tab/>
            </w:r>
            <w:r w:rsidR="009C1853" w:rsidRPr="009C1853">
              <w:rPr>
                <w:rFonts w:asciiTheme="minorHAnsi" w:hAnsiTheme="minorHAnsi"/>
                <w:webHidden/>
              </w:rPr>
              <w:fldChar w:fldCharType="begin"/>
            </w:r>
            <w:r w:rsidR="009C1853" w:rsidRPr="009C1853">
              <w:rPr>
                <w:rFonts w:asciiTheme="minorHAnsi" w:hAnsiTheme="minorHAnsi"/>
                <w:webHidden/>
              </w:rPr>
              <w:instrText xml:space="preserve"> PAGEREF _Toc3538041 \h </w:instrText>
            </w:r>
            <w:r w:rsidR="009C1853" w:rsidRPr="009C1853">
              <w:rPr>
                <w:rFonts w:asciiTheme="minorHAnsi" w:hAnsiTheme="minorHAnsi"/>
                <w:webHidden/>
              </w:rPr>
            </w:r>
            <w:r w:rsidR="009C1853" w:rsidRPr="009C1853">
              <w:rPr>
                <w:rFonts w:asciiTheme="minorHAnsi" w:hAnsiTheme="minorHAnsi"/>
                <w:webHidden/>
              </w:rPr>
              <w:fldChar w:fldCharType="separate"/>
            </w:r>
            <w:r w:rsidR="009C1853" w:rsidRPr="009C1853">
              <w:rPr>
                <w:rFonts w:asciiTheme="minorHAnsi" w:hAnsiTheme="minorHAnsi"/>
                <w:webHidden/>
              </w:rPr>
              <w:t>13</w:t>
            </w:r>
            <w:r w:rsidR="009C1853" w:rsidRPr="009C1853">
              <w:rPr>
                <w:rFonts w:asciiTheme="minorHAnsi" w:hAnsiTheme="minorHAnsi"/>
                <w:webHidden/>
              </w:rPr>
              <w:fldChar w:fldCharType="end"/>
            </w:r>
          </w:hyperlink>
        </w:p>
        <w:p w14:paraId="439858A6" w14:textId="77777777" w:rsidR="009C1853" w:rsidRPr="009C1853" w:rsidRDefault="00FF643F">
          <w:pPr>
            <w:pStyle w:val="TOC1"/>
            <w:tabs>
              <w:tab w:val="left" w:pos="440"/>
            </w:tabs>
            <w:rPr>
              <w:rFonts w:asciiTheme="minorHAnsi" w:hAnsiTheme="minorHAnsi"/>
              <w:shd w:val="clear" w:color="auto" w:fill="auto"/>
              <w:lang w:eastAsia="en-GB"/>
            </w:rPr>
          </w:pPr>
          <w:hyperlink w:anchor="_Toc3538042" w:history="1">
            <w:r w:rsidR="009C1853" w:rsidRPr="009C1853">
              <w:rPr>
                <w:rStyle w:val="Hyperlink"/>
                <w:rFonts w:asciiTheme="minorHAnsi" w:hAnsiTheme="minorHAnsi"/>
              </w:rPr>
              <w:t>1</w:t>
            </w:r>
            <w:r w:rsidR="009C1853" w:rsidRPr="009C1853">
              <w:rPr>
                <w:rFonts w:asciiTheme="minorHAnsi" w:hAnsiTheme="minorHAnsi"/>
                <w:shd w:val="clear" w:color="auto" w:fill="auto"/>
                <w:lang w:eastAsia="en-GB"/>
              </w:rPr>
              <w:tab/>
            </w:r>
            <w:r w:rsidR="009C1853" w:rsidRPr="009C1853">
              <w:rPr>
                <w:rStyle w:val="Hyperlink"/>
                <w:rFonts w:asciiTheme="minorHAnsi" w:hAnsiTheme="minorHAnsi"/>
              </w:rPr>
              <w:t>General Introduction</w:t>
            </w:r>
            <w:r w:rsidR="009C1853" w:rsidRPr="009C1853">
              <w:rPr>
                <w:rFonts w:asciiTheme="minorHAnsi" w:hAnsiTheme="minorHAnsi"/>
                <w:webHidden/>
              </w:rPr>
              <w:tab/>
            </w:r>
            <w:r w:rsidR="009C1853" w:rsidRPr="009C1853">
              <w:rPr>
                <w:rFonts w:asciiTheme="minorHAnsi" w:hAnsiTheme="minorHAnsi"/>
                <w:webHidden/>
              </w:rPr>
              <w:fldChar w:fldCharType="begin"/>
            </w:r>
            <w:r w:rsidR="009C1853" w:rsidRPr="009C1853">
              <w:rPr>
                <w:rFonts w:asciiTheme="minorHAnsi" w:hAnsiTheme="minorHAnsi"/>
                <w:webHidden/>
              </w:rPr>
              <w:instrText xml:space="preserve"> PAGEREF _Toc3538042 \h </w:instrText>
            </w:r>
            <w:r w:rsidR="009C1853" w:rsidRPr="009C1853">
              <w:rPr>
                <w:rFonts w:asciiTheme="minorHAnsi" w:hAnsiTheme="minorHAnsi"/>
                <w:webHidden/>
              </w:rPr>
            </w:r>
            <w:r w:rsidR="009C1853" w:rsidRPr="009C1853">
              <w:rPr>
                <w:rFonts w:asciiTheme="minorHAnsi" w:hAnsiTheme="minorHAnsi"/>
                <w:webHidden/>
              </w:rPr>
              <w:fldChar w:fldCharType="separate"/>
            </w:r>
            <w:r w:rsidR="009C1853" w:rsidRPr="009C1853">
              <w:rPr>
                <w:rFonts w:asciiTheme="minorHAnsi" w:hAnsiTheme="minorHAnsi"/>
                <w:webHidden/>
              </w:rPr>
              <w:t>14</w:t>
            </w:r>
            <w:r w:rsidR="009C1853" w:rsidRPr="009C1853">
              <w:rPr>
                <w:rFonts w:asciiTheme="minorHAnsi" w:hAnsiTheme="minorHAnsi"/>
                <w:webHidden/>
              </w:rPr>
              <w:fldChar w:fldCharType="end"/>
            </w:r>
          </w:hyperlink>
        </w:p>
        <w:p w14:paraId="468DA0D6" w14:textId="77777777" w:rsidR="009C1853" w:rsidRPr="009C1853" w:rsidRDefault="00FF643F">
          <w:pPr>
            <w:pStyle w:val="TOC2"/>
            <w:tabs>
              <w:tab w:val="left" w:pos="880"/>
              <w:tab w:val="right" w:leader="dot" w:pos="9905"/>
            </w:tabs>
            <w:rPr>
              <w:noProof/>
              <w:lang w:eastAsia="en-GB"/>
            </w:rPr>
          </w:pPr>
          <w:hyperlink w:anchor="_Toc3538043" w:history="1">
            <w:r w:rsidR="009C1853" w:rsidRPr="009C1853">
              <w:rPr>
                <w:rStyle w:val="Hyperlink"/>
                <w:noProof/>
              </w:rPr>
              <w:t>1.1</w:t>
            </w:r>
            <w:r w:rsidR="009C1853" w:rsidRPr="009C1853">
              <w:rPr>
                <w:noProof/>
                <w:lang w:eastAsia="en-GB"/>
              </w:rPr>
              <w:tab/>
            </w:r>
            <w:r w:rsidR="009C1853" w:rsidRPr="009C1853">
              <w:rPr>
                <w:rStyle w:val="Hyperlink"/>
                <w:noProof/>
              </w:rPr>
              <w:t>Introduction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_Toc3538043 \h </w:instrText>
            </w:r>
            <w:r w:rsidR="009C1853" w:rsidRPr="009C1853">
              <w:rPr>
                <w:noProof/>
                <w:webHidden/>
              </w:rPr>
            </w:r>
            <w:r w:rsidR="009C1853" w:rsidRPr="009C1853">
              <w:rPr>
                <w:noProof/>
                <w:webHidden/>
              </w:rPr>
              <w:fldChar w:fldCharType="separate"/>
            </w:r>
            <w:r w:rsidR="009C1853" w:rsidRPr="009C1853">
              <w:rPr>
                <w:noProof/>
                <w:webHidden/>
              </w:rPr>
              <w:t>14</w:t>
            </w:r>
            <w:r w:rsidR="009C1853" w:rsidRPr="009C1853">
              <w:rPr>
                <w:noProof/>
                <w:webHidden/>
              </w:rPr>
              <w:fldChar w:fldCharType="end"/>
            </w:r>
          </w:hyperlink>
        </w:p>
        <w:p w14:paraId="426004FD" w14:textId="77777777" w:rsidR="009C1853" w:rsidRPr="009C1853" w:rsidRDefault="00FF643F">
          <w:pPr>
            <w:pStyle w:val="TOC3"/>
            <w:tabs>
              <w:tab w:val="left" w:pos="1320"/>
              <w:tab w:val="right" w:leader="dot" w:pos="9905"/>
            </w:tabs>
            <w:rPr>
              <w:noProof/>
              <w:lang w:eastAsia="en-GB"/>
            </w:rPr>
          </w:pPr>
          <w:hyperlink w:anchor="_Toc3538044" w:history="1">
            <w:r w:rsidR="009C1853" w:rsidRPr="009C1853">
              <w:rPr>
                <w:rStyle w:val="Hyperlink"/>
                <w:noProof/>
              </w:rPr>
              <w:t>1.1.1</w:t>
            </w:r>
            <w:r w:rsidR="009C1853" w:rsidRPr="009C1853">
              <w:rPr>
                <w:noProof/>
                <w:lang w:eastAsia="en-GB"/>
              </w:rPr>
              <w:tab/>
            </w:r>
            <w:r w:rsidR="009C1853" w:rsidRPr="009C1853">
              <w:rPr>
                <w:rStyle w:val="Hyperlink"/>
                <w:noProof/>
              </w:rPr>
              <w:t>Mental Health</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_Toc3538044 \h </w:instrText>
            </w:r>
            <w:r w:rsidR="009C1853" w:rsidRPr="009C1853">
              <w:rPr>
                <w:noProof/>
                <w:webHidden/>
              </w:rPr>
            </w:r>
            <w:r w:rsidR="009C1853" w:rsidRPr="009C1853">
              <w:rPr>
                <w:noProof/>
                <w:webHidden/>
              </w:rPr>
              <w:fldChar w:fldCharType="separate"/>
            </w:r>
            <w:r w:rsidR="009C1853" w:rsidRPr="009C1853">
              <w:rPr>
                <w:noProof/>
                <w:webHidden/>
              </w:rPr>
              <w:t>14</w:t>
            </w:r>
            <w:r w:rsidR="009C1853" w:rsidRPr="009C1853">
              <w:rPr>
                <w:noProof/>
                <w:webHidden/>
              </w:rPr>
              <w:fldChar w:fldCharType="end"/>
            </w:r>
          </w:hyperlink>
        </w:p>
        <w:p w14:paraId="78AC302E" w14:textId="77777777" w:rsidR="009C1853" w:rsidRPr="009C1853" w:rsidRDefault="00FF643F">
          <w:pPr>
            <w:pStyle w:val="TOC3"/>
            <w:tabs>
              <w:tab w:val="left" w:pos="1320"/>
              <w:tab w:val="right" w:leader="dot" w:pos="9905"/>
            </w:tabs>
            <w:rPr>
              <w:noProof/>
              <w:lang w:eastAsia="en-GB"/>
            </w:rPr>
          </w:pPr>
          <w:hyperlink w:anchor="_Toc3538045" w:history="1">
            <w:r w:rsidR="009C1853" w:rsidRPr="009C1853">
              <w:rPr>
                <w:rStyle w:val="Hyperlink"/>
                <w:noProof/>
              </w:rPr>
              <w:t>1.1.2</w:t>
            </w:r>
            <w:r w:rsidR="009C1853" w:rsidRPr="009C1853">
              <w:rPr>
                <w:noProof/>
                <w:lang w:eastAsia="en-GB"/>
              </w:rPr>
              <w:tab/>
            </w:r>
            <w:r w:rsidR="009C1853" w:rsidRPr="009C1853">
              <w:rPr>
                <w:rStyle w:val="Hyperlink"/>
                <w:noProof/>
              </w:rPr>
              <w:t>Older Adult Mental Health</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_Toc3538045 \h </w:instrText>
            </w:r>
            <w:r w:rsidR="009C1853" w:rsidRPr="009C1853">
              <w:rPr>
                <w:noProof/>
                <w:webHidden/>
              </w:rPr>
            </w:r>
            <w:r w:rsidR="009C1853" w:rsidRPr="009C1853">
              <w:rPr>
                <w:noProof/>
                <w:webHidden/>
              </w:rPr>
              <w:fldChar w:fldCharType="separate"/>
            </w:r>
            <w:r w:rsidR="009C1853" w:rsidRPr="009C1853">
              <w:rPr>
                <w:noProof/>
                <w:webHidden/>
              </w:rPr>
              <w:t>14</w:t>
            </w:r>
            <w:r w:rsidR="009C1853" w:rsidRPr="009C1853">
              <w:rPr>
                <w:noProof/>
                <w:webHidden/>
              </w:rPr>
              <w:fldChar w:fldCharType="end"/>
            </w:r>
          </w:hyperlink>
        </w:p>
        <w:p w14:paraId="00C13F7D" w14:textId="77777777" w:rsidR="009C1853" w:rsidRPr="009C1853" w:rsidRDefault="00FF643F">
          <w:pPr>
            <w:pStyle w:val="TOC3"/>
            <w:tabs>
              <w:tab w:val="left" w:pos="1320"/>
              <w:tab w:val="right" w:leader="dot" w:pos="9905"/>
            </w:tabs>
            <w:rPr>
              <w:noProof/>
              <w:lang w:eastAsia="en-GB"/>
            </w:rPr>
          </w:pPr>
          <w:hyperlink w:anchor="_Toc3538046" w:history="1">
            <w:r w:rsidR="009C1853" w:rsidRPr="009C1853">
              <w:rPr>
                <w:rStyle w:val="Hyperlink"/>
                <w:noProof/>
              </w:rPr>
              <w:t>1.1.3</w:t>
            </w:r>
            <w:r w:rsidR="009C1853" w:rsidRPr="009C1853">
              <w:rPr>
                <w:noProof/>
                <w:lang w:eastAsia="en-GB"/>
              </w:rPr>
              <w:tab/>
            </w:r>
            <w:r w:rsidR="009C1853" w:rsidRPr="009C1853">
              <w:rPr>
                <w:rStyle w:val="Hyperlink"/>
                <w:noProof/>
              </w:rPr>
              <w:t>NHS Treatments for Mental Health Issues in Older Adults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_Toc3538046 \h </w:instrText>
            </w:r>
            <w:r w:rsidR="009C1853" w:rsidRPr="009C1853">
              <w:rPr>
                <w:noProof/>
                <w:webHidden/>
              </w:rPr>
            </w:r>
            <w:r w:rsidR="009C1853" w:rsidRPr="009C1853">
              <w:rPr>
                <w:noProof/>
                <w:webHidden/>
              </w:rPr>
              <w:fldChar w:fldCharType="separate"/>
            </w:r>
            <w:r w:rsidR="009C1853" w:rsidRPr="009C1853">
              <w:rPr>
                <w:noProof/>
                <w:webHidden/>
              </w:rPr>
              <w:t>15</w:t>
            </w:r>
            <w:r w:rsidR="009C1853" w:rsidRPr="009C1853">
              <w:rPr>
                <w:noProof/>
                <w:webHidden/>
              </w:rPr>
              <w:fldChar w:fldCharType="end"/>
            </w:r>
          </w:hyperlink>
        </w:p>
        <w:p w14:paraId="10AD4BBF" w14:textId="77777777" w:rsidR="009C1853" w:rsidRPr="009C1853" w:rsidRDefault="00FF643F">
          <w:pPr>
            <w:pStyle w:val="TOC3"/>
            <w:tabs>
              <w:tab w:val="left" w:pos="1320"/>
              <w:tab w:val="right" w:leader="dot" w:pos="9905"/>
            </w:tabs>
            <w:rPr>
              <w:noProof/>
              <w:lang w:eastAsia="en-GB"/>
            </w:rPr>
          </w:pPr>
          <w:hyperlink w:anchor="_Toc3538047" w:history="1">
            <w:r w:rsidR="009C1853" w:rsidRPr="009C1853">
              <w:rPr>
                <w:rStyle w:val="Hyperlink"/>
                <w:noProof/>
              </w:rPr>
              <w:t>1.1.4</w:t>
            </w:r>
            <w:r w:rsidR="009C1853" w:rsidRPr="009C1853">
              <w:rPr>
                <w:noProof/>
                <w:lang w:eastAsia="en-GB"/>
              </w:rPr>
              <w:tab/>
            </w:r>
            <w:r w:rsidR="009C1853" w:rsidRPr="009C1853">
              <w:rPr>
                <w:rStyle w:val="Hyperlink"/>
                <w:noProof/>
              </w:rPr>
              <w:t>Barriers to NHS Treatments for Mental Health Issues in Older Adults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_Toc3538047 \h </w:instrText>
            </w:r>
            <w:r w:rsidR="009C1853" w:rsidRPr="009C1853">
              <w:rPr>
                <w:noProof/>
                <w:webHidden/>
              </w:rPr>
            </w:r>
            <w:r w:rsidR="009C1853" w:rsidRPr="009C1853">
              <w:rPr>
                <w:noProof/>
                <w:webHidden/>
              </w:rPr>
              <w:fldChar w:fldCharType="separate"/>
            </w:r>
            <w:r w:rsidR="009C1853" w:rsidRPr="009C1853">
              <w:rPr>
                <w:noProof/>
                <w:webHidden/>
              </w:rPr>
              <w:t>15</w:t>
            </w:r>
            <w:r w:rsidR="009C1853" w:rsidRPr="009C1853">
              <w:rPr>
                <w:noProof/>
                <w:webHidden/>
              </w:rPr>
              <w:fldChar w:fldCharType="end"/>
            </w:r>
          </w:hyperlink>
        </w:p>
        <w:p w14:paraId="633F8DBE" w14:textId="77777777" w:rsidR="009C1853" w:rsidRPr="009C1853" w:rsidRDefault="00FF643F">
          <w:pPr>
            <w:pStyle w:val="TOC3"/>
            <w:tabs>
              <w:tab w:val="left" w:pos="1320"/>
              <w:tab w:val="right" w:leader="dot" w:pos="9905"/>
            </w:tabs>
            <w:rPr>
              <w:noProof/>
              <w:lang w:eastAsia="en-GB"/>
            </w:rPr>
          </w:pPr>
          <w:hyperlink w:anchor="_Toc3538048" w:history="1">
            <w:r w:rsidR="009C1853" w:rsidRPr="009C1853">
              <w:rPr>
                <w:rStyle w:val="Hyperlink"/>
                <w:noProof/>
              </w:rPr>
              <w:t>1.1.5</w:t>
            </w:r>
            <w:r w:rsidR="009C1853" w:rsidRPr="009C1853">
              <w:rPr>
                <w:noProof/>
                <w:lang w:eastAsia="en-GB"/>
              </w:rPr>
              <w:tab/>
            </w:r>
            <w:r w:rsidR="009C1853" w:rsidRPr="009C1853">
              <w:rPr>
                <w:rStyle w:val="Hyperlink"/>
                <w:noProof/>
              </w:rPr>
              <w:t>E-therapy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_Toc3538048 \h </w:instrText>
            </w:r>
            <w:r w:rsidR="009C1853" w:rsidRPr="009C1853">
              <w:rPr>
                <w:noProof/>
                <w:webHidden/>
              </w:rPr>
            </w:r>
            <w:r w:rsidR="009C1853" w:rsidRPr="009C1853">
              <w:rPr>
                <w:noProof/>
                <w:webHidden/>
              </w:rPr>
              <w:fldChar w:fldCharType="separate"/>
            </w:r>
            <w:r w:rsidR="009C1853" w:rsidRPr="009C1853">
              <w:rPr>
                <w:noProof/>
                <w:webHidden/>
              </w:rPr>
              <w:t>16</w:t>
            </w:r>
            <w:r w:rsidR="009C1853" w:rsidRPr="009C1853">
              <w:rPr>
                <w:noProof/>
                <w:webHidden/>
              </w:rPr>
              <w:fldChar w:fldCharType="end"/>
            </w:r>
          </w:hyperlink>
        </w:p>
        <w:p w14:paraId="182D8F93" w14:textId="77777777" w:rsidR="009C1853" w:rsidRPr="009C1853" w:rsidRDefault="00FF643F">
          <w:pPr>
            <w:pStyle w:val="TOC3"/>
            <w:tabs>
              <w:tab w:val="left" w:pos="1320"/>
              <w:tab w:val="right" w:leader="dot" w:pos="9905"/>
            </w:tabs>
            <w:rPr>
              <w:noProof/>
              <w:lang w:eastAsia="en-GB"/>
            </w:rPr>
          </w:pPr>
          <w:hyperlink w:anchor="_Toc3538049" w:history="1">
            <w:r w:rsidR="009C1853" w:rsidRPr="009C1853">
              <w:rPr>
                <w:rStyle w:val="Hyperlink"/>
                <w:noProof/>
              </w:rPr>
              <w:t>1.1.6</w:t>
            </w:r>
            <w:r w:rsidR="009C1853" w:rsidRPr="009C1853">
              <w:rPr>
                <w:noProof/>
                <w:lang w:eastAsia="en-GB"/>
              </w:rPr>
              <w:tab/>
            </w:r>
            <w:r w:rsidR="009C1853" w:rsidRPr="009C1853">
              <w:rPr>
                <w:rStyle w:val="Hyperlink"/>
                <w:noProof/>
              </w:rPr>
              <w:t>Studies of E-therapy with Older Adults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_Toc3538049 \h </w:instrText>
            </w:r>
            <w:r w:rsidR="009C1853" w:rsidRPr="009C1853">
              <w:rPr>
                <w:noProof/>
                <w:webHidden/>
              </w:rPr>
            </w:r>
            <w:r w:rsidR="009C1853" w:rsidRPr="009C1853">
              <w:rPr>
                <w:noProof/>
                <w:webHidden/>
              </w:rPr>
              <w:fldChar w:fldCharType="separate"/>
            </w:r>
            <w:r w:rsidR="009C1853" w:rsidRPr="009C1853">
              <w:rPr>
                <w:noProof/>
                <w:webHidden/>
              </w:rPr>
              <w:t>16</w:t>
            </w:r>
            <w:r w:rsidR="009C1853" w:rsidRPr="009C1853">
              <w:rPr>
                <w:noProof/>
                <w:webHidden/>
              </w:rPr>
              <w:fldChar w:fldCharType="end"/>
            </w:r>
          </w:hyperlink>
        </w:p>
        <w:p w14:paraId="26E9B898" w14:textId="77777777" w:rsidR="009C1853" w:rsidRPr="009C1853" w:rsidRDefault="00FF643F">
          <w:pPr>
            <w:pStyle w:val="TOC3"/>
            <w:tabs>
              <w:tab w:val="left" w:pos="1320"/>
              <w:tab w:val="right" w:leader="dot" w:pos="9905"/>
            </w:tabs>
            <w:rPr>
              <w:noProof/>
              <w:lang w:eastAsia="en-GB"/>
            </w:rPr>
          </w:pPr>
          <w:hyperlink w:anchor="_Toc3538050" w:history="1">
            <w:r w:rsidR="009C1853" w:rsidRPr="009C1853">
              <w:rPr>
                <w:rStyle w:val="Hyperlink"/>
                <w:noProof/>
              </w:rPr>
              <w:t>1.1.7</w:t>
            </w:r>
            <w:r w:rsidR="009C1853" w:rsidRPr="009C1853">
              <w:rPr>
                <w:noProof/>
                <w:lang w:eastAsia="en-GB"/>
              </w:rPr>
              <w:tab/>
            </w:r>
            <w:r w:rsidR="009C1853" w:rsidRPr="009C1853">
              <w:rPr>
                <w:rStyle w:val="Hyperlink"/>
                <w:noProof/>
              </w:rPr>
              <w:t>Barriers to E-therapy for Older Adults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_Toc3538050 \h </w:instrText>
            </w:r>
            <w:r w:rsidR="009C1853" w:rsidRPr="009C1853">
              <w:rPr>
                <w:noProof/>
                <w:webHidden/>
              </w:rPr>
            </w:r>
            <w:r w:rsidR="009C1853" w:rsidRPr="009C1853">
              <w:rPr>
                <w:noProof/>
                <w:webHidden/>
              </w:rPr>
              <w:fldChar w:fldCharType="separate"/>
            </w:r>
            <w:r w:rsidR="009C1853" w:rsidRPr="009C1853">
              <w:rPr>
                <w:noProof/>
                <w:webHidden/>
              </w:rPr>
              <w:t>17</w:t>
            </w:r>
            <w:r w:rsidR="009C1853" w:rsidRPr="009C1853">
              <w:rPr>
                <w:noProof/>
                <w:webHidden/>
              </w:rPr>
              <w:fldChar w:fldCharType="end"/>
            </w:r>
          </w:hyperlink>
        </w:p>
        <w:p w14:paraId="6F5B6FEA" w14:textId="77777777" w:rsidR="009C1853" w:rsidRPr="009C1853" w:rsidRDefault="00FF643F">
          <w:pPr>
            <w:pStyle w:val="TOC2"/>
            <w:tabs>
              <w:tab w:val="left" w:pos="880"/>
              <w:tab w:val="right" w:leader="dot" w:pos="9905"/>
            </w:tabs>
            <w:rPr>
              <w:noProof/>
              <w:lang w:eastAsia="en-GB"/>
            </w:rPr>
          </w:pPr>
          <w:hyperlink w:anchor="_Toc3538051" w:history="1">
            <w:r w:rsidR="009C1853" w:rsidRPr="009C1853">
              <w:rPr>
                <w:rStyle w:val="Hyperlink"/>
                <w:noProof/>
              </w:rPr>
              <w:t>1.2</w:t>
            </w:r>
            <w:r w:rsidR="009C1853" w:rsidRPr="009C1853">
              <w:rPr>
                <w:noProof/>
                <w:lang w:eastAsia="en-GB"/>
              </w:rPr>
              <w:tab/>
            </w:r>
            <w:r w:rsidR="009C1853" w:rsidRPr="009C1853">
              <w:rPr>
                <w:rStyle w:val="Hyperlink"/>
                <w:noProof/>
              </w:rPr>
              <w:t>The Usability of E-therapy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_Toc3538051 \h </w:instrText>
            </w:r>
            <w:r w:rsidR="009C1853" w:rsidRPr="009C1853">
              <w:rPr>
                <w:noProof/>
                <w:webHidden/>
              </w:rPr>
            </w:r>
            <w:r w:rsidR="009C1853" w:rsidRPr="009C1853">
              <w:rPr>
                <w:noProof/>
                <w:webHidden/>
              </w:rPr>
              <w:fldChar w:fldCharType="separate"/>
            </w:r>
            <w:r w:rsidR="009C1853" w:rsidRPr="009C1853">
              <w:rPr>
                <w:noProof/>
                <w:webHidden/>
              </w:rPr>
              <w:t>19</w:t>
            </w:r>
            <w:r w:rsidR="009C1853" w:rsidRPr="009C1853">
              <w:rPr>
                <w:noProof/>
                <w:webHidden/>
              </w:rPr>
              <w:fldChar w:fldCharType="end"/>
            </w:r>
          </w:hyperlink>
        </w:p>
        <w:p w14:paraId="21E155E7" w14:textId="77777777" w:rsidR="009C1853" w:rsidRPr="009C1853" w:rsidRDefault="00FF643F">
          <w:pPr>
            <w:pStyle w:val="TOC2"/>
            <w:tabs>
              <w:tab w:val="left" w:pos="880"/>
              <w:tab w:val="right" w:leader="dot" w:pos="9905"/>
            </w:tabs>
            <w:rPr>
              <w:noProof/>
              <w:lang w:eastAsia="en-GB"/>
            </w:rPr>
          </w:pPr>
          <w:hyperlink w:anchor="_Toc3538052" w:history="1">
            <w:r w:rsidR="009C1853" w:rsidRPr="009C1853">
              <w:rPr>
                <w:rStyle w:val="Hyperlink"/>
                <w:noProof/>
              </w:rPr>
              <w:t>1.3</w:t>
            </w:r>
            <w:r w:rsidR="009C1853" w:rsidRPr="009C1853">
              <w:rPr>
                <w:noProof/>
                <w:lang w:eastAsia="en-GB"/>
              </w:rPr>
              <w:tab/>
            </w:r>
            <w:r w:rsidR="009C1853" w:rsidRPr="009C1853">
              <w:rPr>
                <w:rStyle w:val="Hyperlink"/>
                <w:noProof/>
              </w:rPr>
              <w:t>Overview of This Body of Work</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_Toc3538052 \h </w:instrText>
            </w:r>
            <w:r w:rsidR="009C1853" w:rsidRPr="009C1853">
              <w:rPr>
                <w:noProof/>
                <w:webHidden/>
              </w:rPr>
            </w:r>
            <w:r w:rsidR="009C1853" w:rsidRPr="009C1853">
              <w:rPr>
                <w:noProof/>
                <w:webHidden/>
              </w:rPr>
              <w:fldChar w:fldCharType="separate"/>
            </w:r>
            <w:r w:rsidR="009C1853" w:rsidRPr="009C1853">
              <w:rPr>
                <w:noProof/>
                <w:webHidden/>
              </w:rPr>
              <w:t>19</w:t>
            </w:r>
            <w:r w:rsidR="009C1853" w:rsidRPr="009C1853">
              <w:rPr>
                <w:noProof/>
                <w:webHidden/>
              </w:rPr>
              <w:fldChar w:fldCharType="end"/>
            </w:r>
          </w:hyperlink>
        </w:p>
        <w:p w14:paraId="5CA935FD" w14:textId="77777777" w:rsidR="009C1853" w:rsidRPr="009C1853" w:rsidRDefault="00FF643F">
          <w:pPr>
            <w:pStyle w:val="TOC1"/>
            <w:tabs>
              <w:tab w:val="left" w:pos="440"/>
            </w:tabs>
            <w:rPr>
              <w:rFonts w:asciiTheme="minorHAnsi" w:hAnsiTheme="minorHAnsi"/>
              <w:shd w:val="clear" w:color="auto" w:fill="auto"/>
              <w:lang w:eastAsia="en-GB"/>
            </w:rPr>
          </w:pPr>
          <w:hyperlink w:anchor="_Toc3538053" w:history="1">
            <w:r w:rsidR="009C1853" w:rsidRPr="009C1853">
              <w:rPr>
                <w:rStyle w:val="Hyperlink"/>
                <w:rFonts w:asciiTheme="minorHAnsi" w:hAnsiTheme="minorHAnsi"/>
              </w:rPr>
              <w:t>2</w:t>
            </w:r>
            <w:r w:rsidR="009C1853" w:rsidRPr="009C1853">
              <w:rPr>
                <w:rFonts w:asciiTheme="minorHAnsi" w:hAnsiTheme="minorHAnsi"/>
                <w:shd w:val="clear" w:color="auto" w:fill="auto"/>
                <w:lang w:eastAsia="en-GB"/>
              </w:rPr>
              <w:tab/>
            </w:r>
            <w:r w:rsidR="009C1853" w:rsidRPr="009C1853">
              <w:rPr>
                <w:rStyle w:val="Hyperlink"/>
                <w:rFonts w:asciiTheme="minorHAnsi" w:hAnsiTheme="minorHAnsi"/>
              </w:rPr>
              <w:t>NHS Service Provision Panorama Part 1 (NHS E-therapies Survey)</w:t>
            </w:r>
            <w:r w:rsidR="009C1853" w:rsidRPr="009C1853">
              <w:rPr>
                <w:rFonts w:asciiTheme="minorHAnsi" w:hAnsiTheme="minorHAnsi"/>
                <w:webHidden/>
              </w:rPr>
              <w:tab/>
            </w:r>
            <w:r w:rsidR="009C1853" w:rsidRPr="009C1853">
              <w:rPr>
                <w:rFonts w:asciiTheme="minorHAnsi" w:hAnsiTheme="minorHAnsi"/>
                <w:webHidden/>
              </w:rPr>
              <w:fldChar w:fldCharType="begin"/>
            </w:r>
            <w:r w:rsidR="009C1853" w:rsidRPr="009C1853">
              <w:rPr>
                <w:rFonts w:asciiTheme="minorHAnsi" w:hAnsiTheme="minorHAnsi"/>
                <w:webHidden/>
              </w:rPr>
              <w:instrText xml:space="preserve"> PAGEREF _Toc3538053 \h </w:instrText>
            </w:r>
            <w:r w:rsidR="009C1853" w:rsidRPr="009C1853">
              <w:rPr>
                <w:rFonts w:asciiTheme="minorHAnsi" w:hAnsiTheme="minorHAnsi"/>
                <w:webHidden/>
              </w:rPr>
            </w:r>
            <w:r w:rsidR="009C1853" w:rsidRPr="009C1853">
              <w:rPr>
                <w:rFonts w:asciiTheme="minorHAnsi" w:hAnsiTheme="minorHAnsi"/>
                <w:webHidden/>
              </w:rPr>
              <w:fldChar w:fldCharType="separate"/>
            </w:r>
            <w:r w:rsidR="009C1853" w:rsidRPr="009C1853">
              <w:rPr>
                <w:rFonts w:asciiTheme="minorHAnsi" w:hAnsiTheme="minorHAnsi"/>
                <w:webHidden/>
              </w:rPr>
              <w:t>23</w:t>
            </w:r>
            <w:r w:rsidR="009C1853" w:rsidRPr="009C1853">
              <w:rPr>
                <w:rFonts w:asciiTheme="minorHAnsi" w:hAnsiTheme="minorHAnsi"/>
                <w:webHidden/>
              </w:rPr>
              <w:fldChar w:fldCharType="end"/>
            </w:r>
          </w:hyperlink>
        </w:p>
        <w:p w14:paraId="62891827" w14:textId="77777777" w:rsidR="009C1853" w:rsidRPr="009C1853" w:rsidRDefault="00FF643F">
          <w:pPr>
            <w:pStyle w:val="TOC2"/>
            <w:tabs>
              <w:tab w:val="left" w:pos="880"/>
              <w:tab w:val="right" w:leader="dot" w:pos="9905"/>
            </w:tabs>
            <w:rPr>
              <w:noProof/>
              <w:lang w:eastAsia="en-GB"/>
            </w:rPr>
          </w:pPr>
          <w:hyperlink w:anchor="_Toc3538054" w:history="1">
            <w:r w:rsidR="009C1853" w:rsidRPr="009C1853">
              <w:rPr>
                <w:rStyle w:val="Hyperlink"/>
                <w:noProof/>
              </w:rPr>
              <w:t>2.1</w:t>
            </w:r>
            <w:r w:rsidR="009C1853" w:rsidRPr="009C1853">
              <w:rPr>
                <w:noProof/>
                <w:lang w:eastAsia="en-GB"/>
              </w:rPr>
              <w:tab/>
            </w:r>
            <w:r w:rsidR="009C1853" w:rsidRPr="009C1853">
              <w:rPr>
                <w:rStyle w:val="Hyperlink"/>
                <w:noProof/>
              </w:rPr>
              <w:t>Introduction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_Toc3538054 \h </w:instrText>
            </w:r>
            <w:r w:rsidR="009C1853" w:rsidRPr="009C1853">
              <w:rPr>
                <w:noProof/>
                <w:webHidden/>
              </w:rPr>
            </w:r>
            <w:r w:rsidR="009C1853" w:rsidRPr="009C1853">
              <w:rPr>
                <w:noProof/>
                <w:webHidden/>
              </w:rPr>
              <w:fldChar w:fldCharType="separate"/>
            </w:r>
            <w:r w:rsidR="009C1853" w:rsidRPr="009C1853">
              <w:rPr>
                <w:noProof/>
                <w:webHidden/>
              </w:rPr>
              <w:t>23</w:t>
            </w:r>
            <w:r w:rsidR="009C1853" w:rsidRPr="009C1853">
              <w:rPr>
                <w:noProof/>
                <w:webHidden/>
              </w:rPr>
              <w:fldChar w:fldCharType="end"/>
            </w:r>
          </w:hyperlink>
        </w:p>
        <w:p w14:paraId="407089ED" w14:textId="77777777" w:rsidR="009C1853" w:rsidRPr="009C1853" w:rsidRDefault="00FF643F">
          <w:pPr>
            <w:pStyle w:val="TOC2"/>
            <w:tabs>
              <w:tab w:val="left" w:pos="880"/>
              <w:tab w:val="right" w:leader="dot" w:pos="9905"/>
            </w:tabs>
            <w:rPr>
              <w:noProof/>
              <w:lang w:eastAsia="en-GB"/>
            </w:rPr>
          </w:pPr>
          <w:hyperlink w:anchor="_Toc3538055" w:history="1">
            <w:r w:rsidR="009C1853" w:rsidRPr="009C1853">
              <w:rPr>
                <w:rStyle w:val="Hyperlink"/>
                <w:rFonts w:cs="Times New Roman"/>
                <w:noProof/>
              </w:rPr>
              <w:t>2.2</w:t>
            </w:r>
            <w:r w:rsidR="009C1853" w:rsidRPr="009C1853">
              <w:rPr>
                <w:noProof/>
                <w:lang w:eastAsia="en-GB"/>
              </w:rPr>
              <w:tab/>
            </w:r>
            <w:r w:rsidR="009C1853" w:rsidRPr="009C1853">
              <w:rPr>
                <w:rStyle w:val="Hyperlink"/>
                <w:rFonts w:cs="Times New Roman"/>
                <w:noProof/>
              </w:rPr>
              <w:t>Policy History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_Toc3538055 \h </w:instrText>
            </w:r>
            <w:r w:rsidR="009C1853" w:rsidRPr="009C1853">
              <w:rPr>
                <w:noProof/>
                <w:webHidden/>
              </w:rPr>
            </w:r>
            <w:r w:rsidR="009C1853" w:rsidRPr="009C1853">
              <w:rPr>
                <w:noProof/>
                <w:webHidden/>
              </w:rPr>
              <w:fldChar w:fldCharType="separate"/>
            </w:r>
            <w:r w:rsidR="009C1853" w:rsidRPr="009C1853">
              <w:rPr>
                <w:noProof/>
                <w:webHidden/>
              </w:rPr>
              <w:t>24</w:t>
            </w:r>
            <w:r w:rsidR="009C1853" w:rsidRPr="009C1853">
              <w:rPr>
                <w:noProof/>
                <w:webHidden/>
              </w:rPr>
              <w:fldChar w:fldCharType="end"/>
            </w:r>
          </w:hyperlink>
        </w:p>
        <w:p w14:paraId="3868294E" w14:textId="77777777" w:rsidR="009C1853" w:rsidRPr="009C1853" w:rsidRDefault="00FF643F">
          <w:pPr>
            <w:pStyle w:val="TOC3"/>
            <w:tabs>
              <w:tab w:val="left" w:pos="1320"/>
              <w:tab w:val="right" w:leader="dot" w:pos="9905"/>
            </w:tabs>
            <w:rPr>
              <w:noProof/>
              <w:lang w:eastAsia="en-GB"/>
            </w:rPr>
          </w:pPr>
          <w:hyperlink w:anchor="_Toc3538056" w:history="1">
            <w:r w:rsidR="009C1853" w:rsidRPr="009C1853">
              <w:rPr>
                <w:rStyle w:val="Hyperlink"/>
                <w:rFonts w:cs="Times New Roman"/>
                <w:noProof/>
              </w:rPr>
              <w:t>2.2.1</w:t>
            </w:r>
            <w:r w:rsidR="009C1853" w:rsidRPr="009C1853">
              <w:rPr>
                <w:noProof/>
                <w:lang w:eastAsia="en-GB"/>
              </w:rPr>
              <w:tab/>
            </w:r>
            <w:r w:rsidR="009C1853" w:rsidRPr="009C1853">
              <w:rPr>
                <w:rStyle w:val="Hyperlink"/>
                <w:rFonts w:cs="Times New Roman"/>
                <w:noProof/>
              </w:rPr>
              <w:t>Recent Technological Developments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_Toc3538056 \h </w:instrText>
            </w:r>
            <w:r w:rsidR="009C1853" w:rsidRPr="009C1853">
              <w:rPr>
                <w:noProof/>
                <w:webHidden/>
              </w:rPr>
            </w:r>
            <w:r w:rsidR="009C1853" w:rsidRPr="009C1853">
              <w:rPr>
                <w:noProof/>
                <w:webHidden/>
              </w:rPr>
              <w:fldChar w:fldCharType="separate"/>
            </w:r>
            <w:r w:rsidR="009C1853" w:rsidRPr="009C1853">
              <w:rPr>
                <w:noProof/>
                <w:webHidden/>
              </w:rPr>
              <w:t>25</w:t>
            </w:r>
            <w:r w:rsidR="009C1853" w:rsidRPr="009C1853">
              <w:rPr>
                <w:noProof/>
                <w:webHidden/>
              </w:rPr>
              <w:fldChar w:fldCharType="end"/>
            </w:r>
          </w:hyperlink>
        </w:p>
        <w:p w14:paraId="0F0577DF" w14:textId="77777777" w:rsidR="009C1853" w:rsidRPr="009C1853" w:rsidRDefault="00FF643F">
          <w:pPr>
            <w:pStyle w:val="TOC2"/>
            <w:tabs>
              <w:tab w:val="left" w:pos="880"/>
              <w:tab w:val="right" w:leader="dot" w:pos="9905"/>
            </w:tabs>
            <w:rPr>
              <w:noProof/>
              <w:lang w:eastAsia="en-GB"/>
            </w:rPr>
          </w:pPr>
          <w:hyperlink w:anchor="_Toc3538057" w:history="1">
            <w:r w:rsidR="009C1853" w:rsidRPr="009C1853">
              <w:rPr>
                <w:rStyle w:val="Hyperlink"/>
                <w:rFonts w:cs="Times New Roman"/>
                <w:noProof/>
              </w:rPr>
              <w:t>2.3</w:t>
            </w:r>
            <w:r w:rsidR="009C1853" w:rsidRPr="009C1853">
              <w:rPr>
                <w:noProof/>
                <w:lang w:eastAsia="en-GB"/>
              </w:rPr>
              <w:tab/>
            </w:r>
            <w:r w:rsidR="009C1853" w:rsidRPr="009C1853">
              <w:rPr>
                <w:rStyle w:val="Hyperlink"/>
                <w:rFonts w:cs="Times New Roman"/>
                <w:noProof/>
              </w:rPr>
              <w:t>Access to Digital Mental Healthcare in the NHS in England</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_Toc3538057 \h </w:instrText>
            </w:r>
            <w:r w:rsidR="009C1853" w:rsidRPr="009C1853">
              <w:rPr>
                <w:noProof/>
                <w:webHidden/>
              </w:rPr>
            </w:r>
            <w:r w:rsidR="009C1853" w:rsidRPr="009C1853">
              <w:rPr>
                <w:noProof/>
                <w:webHidden/>
              </w:rPr>
              <w:fldChar w:fldCharType="separate"/>
            </w:r>
            <w:r w:rsidR="009C1853" w:rsidRPr="009C1853">
              <w:rPr>
                <w:noProof/>
                <w:webHidden/>
              </w:rPr>
              <w:t>25</w:t>
            </w:r>
            <w:r w:rsidR="009C1853" w:rsidRPr="009C1853">
              <w:rPr>
                <w:noProof/>
                <w:webHidden/>
              </w:rPr>
              <w:fldChar w:fldCharType="end"/>
            </w:r>
          </w:hyperlink>
        </w:p>
        <w:p w14:paraId="5FD45404" w14:textId="77777777" w:rsidR="009C1853" w:rsidRPr="009C1853" w:rsidRDefault="00FF643F">
          <w:pPr>
            <w:pStyle w:val="TOC3"/>
            <w:tabs>
              <w:tab w:val="left" w:pos="1320"/>
              <w:tab w:val="right" w:leader="dot" w:pos="9905"/>
            </w:tabs>
            <w:rPr>
              <w:noProof/>
              <w:lang w:eastAsia="en-GB"/>
            </w:rPr>
          </w:pPr>
          <w:hyperlink w:anchor="_Toc3538058" w:history="1">
            <w:r w:rsidR="009C1853" w:rsidRPr="009C1853">
              <w:rPr>
                <w:rStyle w:val="Hyperlink"/>
                <w:noProof/>
              </w:rPr>
              <w:t>2.3.1</w:t>
            </w:r>
            <w:r w:rsidR="009C1853" w:rsidRPr="009C1853">
              <w:rPr>
                <w:noProof/>
                <w:lang w:eastAsia="en-GB"/>
              </w:rPr>
              <w:tab/>
            </w:r>
            <w:r w:rsidR="009C1853" w:rsidRPr="009C1853">
              <w:rPr>
                <w:rStyle w:val="Hyperlink"/>
                <w:noProof/>
              </w:rPr>
              <w:t>Referral</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_Toc3538058 \h </w:instrText>
            </w:r>
            <w:r w:rsidR="009C1853" w:rsidRPr="009C1853">
              <w:rPr>
                <w:noProof/>
                <w:webHidden/>
              </w:rPr>
            </w:r>
            <w:r w:rsidR="009C1853" w:rsidRPr="009C1853">
              <w:rPr>
                <w:noProof/>
                <w:webHidden/>
              </w:rPr>
              <w:fldChar w:fldCharType="separate"/>
            </w:r>
            <w:r w:rsidR="009C1853" w:rsidRPr="009C1853">
              <w:rPr>
                <w:noProof/>
                <w:webHidden/>
              </w:rPr>
              <w:t>25</w:t>
            </w:r>
            <w:r w:rsidR="009C1853" w:rsidRPr="009C1853">
              <w:rPr>
                <w:noProof/>
                <w:webHidden/>
              </w:rPr>
              <w:fldChar w:fldCharType="end"/>
            </w:r>
          </w:hyperlink>
        </w:p>
        <w:p w14:paraId="6FA80B85" w14:textId="77777777" w:rsidR="009C1853" w:rsidRPr="009C1853" w:rsidRDefault="00FF643F">
          <w:pPr>
            <w:pStyle w:val="TOC3"/>
            <w:tabs>
              <w:tab w:val="left" w:pos="1320"/>
              <w:tab w:val="right" w:leader="dot" w:pos="9905"/>
            </w:tabs>
            <w:rPr>
              <w:noProof/>
              <w:lang w:eastAsia="en-GB"/>
            </w:rPr>
          </w:pPr>
          <w:hyperlink w:anchor="_Toc3538059" w:history="1">
            <w:r w:rsidR="009C1853" w:rsidRPr="009C1853">
              <w:rPr>
                <w:rStyle w:val="Hyperlink"/>
                <w:noProof/>
              </w:rPr>
              <w:t>2.3.2</w:t>
            </w:r>
            <w:r w:rsidR="009C1853" w:rsidRPr="009C1853">
              <w:rPr>
                <w:noProof/>
                <w:lang w:eastAsia="en-GB"/>
              </w:rPr>
              <w:tab/>
            </w:r>
            <w:r w:rsidR="009C1853" w:rsidRPr="009C1853">
              <w:rPr>
                <w:rStyle w:val="Hyperlink"/>
                <w:noProof/>
              </w:rPr>
              <w:t>Self-Help</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_Toc3538059 \h </w:instrText>
            </w:r>
            <w:r w:rsidR="009C1853" w:rsidRPr="009C1853">
              <w:rPr>
                <w:noProof/>
                <w:webHidden/>
              </w:rPr>
            </w:r>
            <w:r w:rsidR="009C1853" w:rsidRPr="009C1853">
              <w:rPr>
                <w:noProof/>
                <w:webHidden/>
              </w:rPr>
              <w:fldChar w:fldCharType="separate"/>
            </w:r>
            <w:r w:rsidR="009C1853" w:rsidRPr="009C1853">
              <w:rPr>
                <w:noProof/>
                <w:webHidden/>
              </w:rPr>
              <w:t>26</w:t>
            </w:r>
            <w:r w:rsidR="009C1853" w:rsidRPr="009C1853">
              <w:rPr>
                <w:noProof/>
                <w:webHidden/>
              </w:rPr>
              <w:fldChar w:fldCharType="end"/>
            </w:r>
          </w:hyperlink>
        </w:p>
        <w:p w14:paraId="1CCEE701" w14:textId="77777777" w:rsidR="009C1853" w:rsidRPr="009C1853" w:rsidRDefault="00FF643F">
          <w:pPr>
            <w:pStyle w:val="TOC3"/>
            <w:tabs>
              <w:tab w:val="left" w:pos="1320"/>
              <w:tab w:val="right" w:leader="dot" w:pos="9905"/>
            </w:tabs>
            <w:rPr>
              <w:noProof/>
              <w:lang w:eastAsia="en-GB"/>
            </w:rPr>
          </w:pPr>
          <w:hyperlink w:anchor="_Toc3538060" w:history="1">
            <w:r w:rsidR="009C1853" w:rsidRPr="009C1853">
              <w:rPr>
                <w:rStyle w:val="Hyperlink"/>
                <w:noProof/>
              </w:rPr>
              <w:t>2.3.3</w:t>
            </w:r>
            <w:r w:rsidR="009C1853" w:rsidRPr="009C1853">
              <w:rPr>
                <w:noProof/>
                <w:lang w:eastAsia="en-GB"/>
              </w:rPr>
              <w:tab/>
            </w:r>
            <w:r w:rsidR="009C1853" w:rsidRPr="009C1853">
              <w:rPr>
                <w:rStyle w:val="Hyperlink"/>
                <w:noProof/>
              </w:rPr>
              <w:t>The Current Study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_Toc3538060 \h </w:instrText>
            </w:r>
            <w:r w:rsidR="009C1853" w:rsidRPr="009C1853">
              <w:rPr>
                <w:noProof/>
                <w:webHidden/>
              </w:rPr>
            </w:r>
            <w:r w:rsidR="009C1853" w:rsidRPr="009C1853">
              <w:rPr>
                <w:noProof/>
                <w:webHidden/>
              </w:rPr>
              <w:fldChar w:fldCharType="separate"/>
            </w:r>
            <w:r w:rsidR="009C1853" w:rsidRPr="009C1853">
              <w:rPr>
                <w:noProof/>
                <w:webHidden/>
              </w:rPr>
              <w:t>26</w:t>
            </w:r>
            <w:r w:rsidR="009C1853" w:rsidRPr="009C1853">
              <w:rPr>
                <w:noProof/>
                <w:webHidden/>
              </w:rPr>
              <w:fldChar w:fldCharType="end"/>
            </w:r>
          </w:hyperlink>
        </w:p>
        <w:p w14:paraId="4880C43D" w14:textId="77777777" w:rsidR="009C1853" w:rsidRPr="009C1853" w:rsidRDefault="00FF643F">
          <w:pPr>
            <w:pStyle w:val="TOC2"/>
            <w:tabs>
              <w:tab w:val="left" w:pos="880"/>
              <w:tab w:val="right" w:leader="dot" w:pos="9905"/>
            </w:tabs>
            <w:rPr>
              <w:noProof/>
              <w:lang w:eastAsia="en-GB"/>
            </w:rPr>
          </w:pPr>
          <w:hyperlink w:anchor="_Toc3538061" w:history="1">
            <w:r w:rsidR="009C1853" w:rsidRPr="009C1853">
              <w:rPr>
                <w:rStyle w:val="Hyperlink"/>
                <w:noProof/>
              </w:rPr>
              <w:t>2.4</w:t>
            </w:r>
            <w:r w:rsidR="009C1853" w:rsidRPr="009C1853">
              <w:rPr>
                <w:noProof/>
                <w:lang w:eastAsia="en-GB"/>
              </w:rPr>
              <w:tab/>
            </w:r>
            <w:r w:rsidR="009C1853" w:rsidRPr="009C1853">
              <w:rPr>
                <w:rStyle w:val="Hyperlink"/>
                <w:noProof/>
              </w:rPr>
              <w:t>Methods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_Toc3538061 \h </w:instrText>
            </w:r>
            <w:r w:rsidR="009C1853" w:rsidRPr="009C1853">
              <w:rPr>
                <w:noProof/>
                <w:webHidden/>
              </w:rPr>
            </w:r>
            <w:r w:rsidR="009C1853" w:rsidRPr="009C1853">
              <w:rPr>
                <w:noProof/>
                <w:webHidden/>
              </w:rPr>
              <w:fldChar w:fldCharType="separate"/>
            </w:r>
            <w:r w:rsidR="009C1853" w:rsidRPr="009C1853">
              <w:rPr>
                <w:noProof/>
                <w:webHidden/>
              </w:rPr>
              <w:t>27</w:t>
            </w:r>
            <w:r w:rsidR="009C1853" w:rsidRPr="009C1853">
              <w:rPr>
                <w:noProof/>
                <w:webHidden/>
              </w:rPr>
              <w:fldChar w:fldCharType="end"/>
            </w:r>
          </w:hyperlink>
        </w:p>
        <w:p w14:paraId="0EF53ED1" w14:textId="77777777" w:rsidR="009C1853" w:rsidRPr="009C1853" w:rsidRDefault="00FF643F">
          <w:pPr>
            <w:pStyle w:val="TOC3"/>
            <w:tabs>
              <w:tab w:val="left" w:pos="1320"/>
              <w:tab w:val="right" w:leader="dot" w:pos="9905"/>
            </w:tabs>
            <w:rPr>
              <w:noProof/>
              <w:lang w:eastAsia="en-GB"/>
            </w:rPr>
          </w:pPr>
          <w:hyperlink w:anchor="_Toc3538062" w:history="1">
            <w:r w:rsidR="009C1853" w:rsidRPr="009C1853">
              <w:rPr>
                <w:rStyle w:val="Hyperlink"/>
                <w:noProof/>
              </w:rPr>
              <w:t>2.4.1</w:t>
            </w:r>
            <w:r w:rsidR="009C1853" w:rsidRPr="009C1853">
              <w:rPr>
                <w:noProof/>
                <w:lang w:eastAsia="en-GB"/>
              </w:rPr>
              <w:tab/>
            </w:r>
            <w:r w:rsidR="009C1853" w:rsidRPr="009C1853">
              <w:rPr>
                <w:rStyle w:val="Hyperlink"/>
                <w:noProof/>
              </w:rPr>
              <w:t>Design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_Toc3538062 \h </w:instrText>
            </w:r>
            <w:r w:rsidR="009C1853" w:rsidRPr="009C1853">
              <w:rPr>
                <w:noProof/>
                <w:webHidden/>
              </w:rPr>
            </w:r>
            <w:r w:rsidR="009C1853" w:rsidRPr="009C1853">
              <w:rPr>
                <w:noProof/>
                <w:webHidden/>
              </w:rPr>
              <w:fldChar w:fldCharType="separate"/>
            </w:r>
            <w:r w:rsidR="009C1853" w:rsidRPr="009C1853">
              <w:rPr>
                <w:noProof/>
                <w:webHidden/>
              </w:rPr>
              <w:t>27</w:t>
            </w:r>
            <w:r w:rsidR="009C1853" w:rsidRPr="009C1853">
              <w:rPr>
                <w:noProof/>
                <w:webHidden/>
              </w:rPr>
              <w:fldChar w:fldCharType="end"/>
            </w:r>
          </w:hyperlink>
        </w:p>
        <w:p w14:paraId="7177858E" w14:textId="77777777" w:rsidR="009C1853" w:rsidRPr="009C1853" w:rsidRDefault="00FF643F">
          <w:pPr>
            <w:pStyle w:val="TOC3"/>
            <w:tabs>
              <w:tab w:val="left" w:pos="1320"/>
              <w:tab w:val="right" w:leader="dot" w:pos="9905"/>
            </w:tabs>
            <w:rPr>
              <w:noProof/>
              <w:lang w:eastAsia="en-GB"/>
            </w:rPr>
          </w:pPr>
          <w:hyperlink w:anchor="_Toc3538063" w:history="1">
            <w:r w:rsidR="009C1853" w:rsidRPr="009C1853">
              <w:rPr>
                <w:rStyle w:val="Hyperlink"/>
                <w:noProof/>
              </w:rPr>
              <w:t>2.4.2</w:t>
            </w:r>
            <w:r w:rsidR="009C1853" w:rsidRPr="009C1853">
              <w:rPr>
                <w:noProof/>
                <w:lang w:eastAsia="en-GB"/>
              </w:rPr>
              <w:tab/>
            </w:r>
            <w:r w:rsidR="009C1853" w:rsidRPr="009C1853">
              <w:rPr>
                <w:rStyle w:val="Hyperlink"/>
                <w:noProof/>
              </w:rPr>
              <w:t>Procedure</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_Toc3538063 \h </w:instrText>
            </w:r>
            <w:r w:rsidR="009C1853" w:rsidRPr="009C1853">
              <w:rPr>
                <w:noProof/>
                <w:webHidden/>
              </w:rPr>
            </w:r>
            <w:r w:rsidR="009C1853" w:rsidRPr="009C1853">
              <w:rPr>
                <w:noProof/>
                <w:webHidden/>
              </w:rPr>
              <w:fldChar w:fldCharType="separate"/>
            </w:r>
            <w:r w:rsidR="009C1853" w:rsidRPr="009C1853">
              <w:rPr>
                <w:noProof/>
                <w:webHidden/>
              </w:rPr>
              <w:t>27</w:t>
            </w:r>
            <w:r w:rsidR="009C1853" w:rsidRPr="009C1853">
              <w:rPr>
                <w:noProof/>
                <w:webHidden/>
              </w:rPr>
              <w:fldChar w:fldCharType="end"/>
            </w:r>
          </w:hyperlink>
        </w:p>
        <w:p w14:paraId="114B8A2E" w14:textId="77777777" w:rsidR="009C1853" w:rsidRPr="009C1853" w:rsidRDefault="00FF643F">
          <w:pPr>
            <w:pStyle w:val="TOC2"/>
            <w:tabs>
              <w:tab w:val="left" w:pos="880"/>
              <w:tab w:val="right" w:leader="dot" w:pos="9905"/>
            </w:tabs>
            <w:rPr>
              <w:noProof/>
              <w:lang w:eastAsia="en-GB"/>
            </w:rPr>
          </w:pPr>
          <w:hyperlink w:anchor="_Toc3538064" w:history="1">
            <w:r w:rsidR="009C1853" w:rsidRPr="009C1853">
              <w:rPr>
                <w:rStyle w:val="Hyperlink"/>
                <w:noProof/>
              </w:rPr>
              <w:t>2.5</w:t>
            </w:r>
            <w:r w:rsidR="009C1853" w:rsidRPr="009C1853">
              <w:rPr>
                <w:noProof/>
                <w:lang w:eastAsia="en-GB"/>
              </w:rPr>
              <w:tab/>
            </w:r>
            <w:r w:rsidR="009C1853" w:rsidRPr="009C1853">
              <w:rPr>
                <w:rStyle w:val="Hyperlink"/>
                <w:noProof/>
              </w:rPr>
              <w:t>Results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_Toc3538064 \h </w:instrText>
            </w:r>
            <w:r w:rsidR="009C1853" w:rsidRPr="009C1853">
              <w:rPr>
                <w:noProof/>
                <w:webHidden/>
              </w:rPr>
            </w:r>
            <w:r w:rsidR="009C1853" w:rsidRPr="009C1853">
              <w:rPr>
                <w:noProof/>
                <w:webHidden/>
              </w:rPr>
              <w:fldChar w:fldCharType="separate"/>
            </w:r>
            <w:r w:rsidR="009C1853" w:rsidRPr="009C1853">
              <w:rPr>
                <w:noProof/>
                <w:webHidden/>
              </w:rPr>
              <w:t>29</w:t>
            </w:r>
            <w:r w:rsidR="009C1853" w:rsidRPr="009C1853">
              <w:rPr>
                <w:noProof/>
                <w:webHidden/>
              </w:rPr>
              <w:fldChar w:fldCharType="end"/>
            </w:r>
          </w:hyperlink>
        </w:p>
        <w:p w14:paraId="1A00C847" w14:textId="77777777" w:rsidR="009C1853" w:rsidRPr="009C1853" w:rsidRDefault="00FF643F">
          <w:pPr>
            <w:pStyle w:val="TOC3"/>
            <w:tabs>
              <w:tab w:val="left" w:pos="1320"/>
              <w:tab w:val="right" w:leader="dot" w:pos="9905"/>
            </w:tabs>
            <w:rPr>
              <w:noProof/>
              <w:lang w:eastAsia="en-GB"/>
            </w:rPr>
          </w:pPr>
          <w:hyperlink w:anchor="_Toc3538065" w:history="1">
            <w:r w:rsidR="009C1853" w:rsidRPr="009C1853">
              <w:rPr>
                <w:rStyle w:val="Hyperlink"/>
                <w:noProof/>
              </w:rPr>
              <w:t>2.5.1</w:t>
            </w:r>
            <w:r w:rsidR="009C1853" w:rsidRPr="009C1853">
              <w:rPr>
                <w:noProof/>
                <w:lang w:eastAsia="en-GB"/>
              </w:rPr>
              <w:tab/>
            </w:r>
            <w:r w:rsidR="009C1853" w:rsidRPr="009C1853">
              <w:rPr>
                <w:rStyle w:val="Hyperlink"/>
                <w:noProof/>
              </w:rPr>
              <w:t>Improving Access to Psychological Therapies Services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_Toc3538065 \h </w:instrText>
            </w:r>
            <w:r w:rsidR="009C1853" w:rsidRPr="009C1853">
              <w:rPr>
                <w:noProof/>
                <w:webHidden/>
              </w:rPr>
            </w:r>
            <w:r w:rsidR="009C1853" w:rsidRPr="009C1853">
              <w:rPr>
                <w:noProof/>
                <w:webHidden/>
              </w:rPr>
              <w:fldChar w:fldCharType="separate"/>
            </w:r>
            <w:r w:rsidR="009C1853" w:rsidRPr="009C1853">
              <w:rPr>
                <w:noProof/>
                <w:webHidden/>
              </w:rPr>
              <w:t>35</w:t>
            </w:r>
            <w:r w:rsidR="009C1853" w:rsidRPr="009C1853">
              <w:rPr>
                <w:noProof/>
                <w:webHidden/>
              </w:rPr>
              <w:fldChar w:fldCharType="end"/>
            </w:r>
          </w:hyperlink>
        </w:p>
        <w:p w14:paraId="2B0FFCCC" w14:textId="77777777" w:rsidR="009C1853" w:rsidRPr="009C1853" w:rsidRDefault="00FF643F">
          <w:pPr>
            <w:pStyle w:val="TOC3"/>
            <w:tabs>
              <w:tab w:val="left" w:pos="1320"/>
              <w:tab w:val="right" w:leader="dot" w:pos="9905"/>
            </w:tabs>
            <w:rPr>
              <w:noProof/>
              <w:lang w:eastAsia="en-GB"/>
            </w:rPr>
          </w:pPr>
          <w:hyperlink w:anchor="_Toc3538066" w:history="1">
            <w:r w:rsidR="009C1853" w:rsidRPr="009C1853">
              <w:rPr>
                <w:rStyle w:val="Hyperlink"/>
                <w:noProof/>
              </w:rPr>
              <w:t>2.5.2</w:t>
            </w:r>
            <w:r w:rsidR="009C1853" w:rsidRPr="009C1853">
              <w:rPr>
                <w:noProof/>
                <w:lang w:eastAsia="en-GB"/>
              </w:rPr>
              <w:tab/>
            </w:r>
            <w:r w:rsidR="009C1853" w:rsidRPr="009C1853">
              <w:rPr>
                <w:rStyle w:val="Hyperlink"/>
                <w:noProof/>
              </w:rPr>
              <w:t>NHS Mental Health Trusts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_Toc3538066 \h </w:instrText>
            </w:r>
            <w:r w:rsidR="009C1853" w:rsidRPr="009C1853">
              <w:rPr>
                <w:noProof/>
                <w:webHidden/>
              </w:rPr>
            </w:r>
            <w:r w:rsidR="009C1853" w:rsidRPr="009C1853">
              <w:rPr>
                <w:noProof/>
                <w:webHidden/>
              </w:rPr>
              <w:fldChar w:fldCharType="separate"/>
            </w:r>
            <w:r w:rsidR="009C1853" w:rsidRPr="009C1853">
              <w:rPr>
                <w:noProof/>
                <w:webHidden/>
              </w:rPr>
              <w:t>35</w:t>
            </w:r>
            <w:r w:rsidR="009C1853" w:rsidRPr="009C1853">
              <w:rPr>
                <w:noProof/>
                <w:webHidden/>
              </w:rPr>
              <w:fldChar w:fldCharType="end"/>
            </w:r>
          </w:hyperlink>
        </w:p>
        <w:p w14:paraId="1F61F002" w14:textId="77777777" w:rsidR="009C1853" w:rsidRPr="009C1853" w:rsidRDefault="00FF643F">
          <w:pPr>
            <w:pStyle w:val="TOC3"/>
            <w:tabs>
              <w:tab w:val="left" w:pos="1320"/>
              <w:tab w:val="right" w:leader="dot" w:pos="9905"/>
            </w:tabs>
            <w:rPr>
              <w:noProof/>
              <w:lang w:eastAsia="en-GB"/>
            </w:rPr>
          </w:pPr>
          <w:hyperlink w:anchor="_Toc3538067" w:history="1">
            <w:r w:rsidR="009C1853" w:rsidRPr="009C1853">
              <w:rPr>
                <w:rStyle w:val="Hyperlink"/>
                <w:noProof/>
              </w:rPr>
              <w:t>2.5.3</w:t>
            </w:r>
            <w:r w:rsidR="009C1853" w:rsidRPr="009C1853">
              <w:rPr>
                <w:noProof/>
                <w:lang w:eastAsia="en-GB"/>
              </w:rPr>
              <w:tab/>
            </w:r>
            <w:r w:rsidR="009C1853" w:rsidRPr="009C1853">
              <w:rPr>
                <w:rStyle w:val="Hyperlink"/>
                <w:noProof/>
              </w:rPr>
              <w:t>Apps Libraries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_Toc3538067 \h </w:instrText>
            </w:r>
            <w:r w:rsidR="009C1853" w:rsidRPr="009C1853">
              <w:rPr>
                <w:noProof/>
                <w:webHidden/>
              </w:rPr>
            </w:r>
            <w:r w:rsidR="009C1853" w:rsidRPr="009C1853">
              <w:rPr>
                <w:noProof/>
                <w:webHidden/>
              </w:rPr>
              <w:fldChar w:fldCharType="separate"/>
            </w:r>
            <w:r w:rsidR="009C1853" w:rsidRPr="009C1853">
              <w:rPr>
                <w:noProof/>
                <w:webHidden/>
              </w:rPr>
              <w:t>36</w:t>
            </w:r>
            <w:r w:rsidR="009C1853" w:rsidRPr="009C1853">
              <w:rPr>
                <w:noProof/>
                <w:webHidden/>
              </w:rPr>
              <w:fldChar w:fldCharType="end"/>
            </w:r>
          </w:hyperlink>
        </w:p>
        <w:p w14:paraId="0B4144A9" w14:textId="77777777" w:rsidR="009C1853" w:rsidRPr="009C1853" w:rsidRDefault="00FF643F">
          <w:pPr>
            <w:pStyle w:val="TOC2"/>
            <w:tabs>
              <w:tab w:val="left" w:pos="880"/>
              <w:tab w:val="right" w:leader="dot" w:pos="9905"/>
            </w:tabs>
            <w:rPr>
              <w:noProof/>
              <w:lang w:eastAsia="en-GB"/>
            </w:rPr>
          </w:pPr>
          <w:hyperlink w:anchor="_Toc3538068" w:history="1">
            <w:r w:rsidR="009C1853" w:rsidRPr="009C1853">
              <w:rPr>
                <w:rStyle w:val="Hyperlink"/>
                <w:noProof/>
              </w:rPr>
              <w:t>2.6</w:t>
            </w:r>
            <w:r w:rsidR="009C1853" w:rsidRPr="009C1853">
              <w:rPr>
                <w:noProof/>
                <w:lang w:eastAsia="en-GB"/>
              </w:rPr>
              <w:tab/>
            </w:r>
            <w:r w:rsidR="009C1853" w:rsidRPr="009C1853">
              <w:rPr>
                <w:rStyle w:val="Hyperlink"/>
                <w:noProof/>
              </w:rPr>
              <w:t>Discussion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_Toc3538068 \h </w:instrText>
            </w:r>
            <w:r w:rsidR="009C1853" w:rsidRPr="009C1853">
              <w:rPr>
                <w:noProof/>
                <w:webHidden/>
              </w:rPr>
            </w:r>
            <w:r w:rsidR="009C1853" w:rsidRPr="009C1853">
              <w:rPr>
                <w:noProof/>
                <w:webHidden/>
              </w:rPr>
              <w:fldChar w:fldCharType="separate"/>
            </w:r>
            <w:r w:rsidR="009C1853" w:rsidRPr="009C1853">
              <w:rPr>
                <w:noProof/>
                <w:webHidden/>
              </w:rPr>
              <w:t>36</w:t>
            </w:r>
            <w:r w:rsidR="009C1853" w:rsidRPr="009C1853">
              <w:rPr>
                <w:noProof/>
                <w:webHidden/>
              </w:rPr>
              <w:fldChar w:fldCharType="end"/>
            </w:r>
          </w:hyperlink>
        </w:p>
        <w:p w14:paraId="61F3C941" w14:textId="77777777" w:rsidR="009C1853" w:rsidRPr="009C1853" w:rsidRDefault="00FF643F">
          <w:pPr>
            <w:pStyle w:val="TOC3"/>
            <w:tabs>
              <w:tab w:val="left" w:pos="1320"/>
              <w:tab w:val="right" w:leader="dot" w:pos="9905"/>
            </w:tabs>
            <w:rPr>
              <w:noProof/>
              <w:lang w:eastAsia="en-GB"/>
            </w:rPr>
          </w:pPr>
          <w:hyperlink w:anchor="_Toc3538069" w:history="1">
            <w:r w:rsidR="009C1853" w:rsidRPr="009C1853">
              <w:rPr>
                <w:rStyle w:val="Hyperlink"/>
                <w:noProof/>
              </w:rPr>
              <w:t>2.6.1</w:t>
            </w:r>
            <w:r w:rsidR="009C1853" w:rsidRPr="009C1853">
              <w:rPr>
                <w:noProof/>
                <w:lang w:eastAsia="en-GB"/>
              </w:rPr>
              <w:tab/>
            </w:r>
            <w:r w:rsidR="009C1853" w:rsidRPr="009C1853">
              <w:rPr>
                <w:rStyle w:val="Hyperlink"/>
                <w:noProof/>
              </w:rPr>
              <w:t>Data Accessibility and Quality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_Toc3538069 \h </w:instrText>
            </w:r>
            <w:r w:rsidR="009C1853" w:rsidRPr="009C1853">
              <w:rPr>
                <w:noProof/>
                <w:webHidden/>
              </w:rPr>
            </w:r>
            <w:r w:rsidR="009C1853" w:rsidRPr="009C1853">
              <w:rPr>
                <w:noProof/>
                <w:webHidden/>
              </w:rPr>
              <w:fldChar w:fldCharType="separate"/>
            </w:r>
            <w:r w:rsidR="009C1853" w:rsidRPr="009C1853">
              <w:rPr>
                <w:noProof/>
                <w:webHidden/>
              </w:rPr>
              <w:t>37</w:t>
            </w:r>
            <w:r w:rsidR="009C1853" w:rsidRPr="009C1853">
              <w:rPr>
                <w:noProof/>
                <w:webHidden/>
              </w:rPr>
              <w:fldChar w:fldCharType="end"/>
            </w:r>
          </w:hyperlink>
        </w:p>
        <w:p w14:paraId="607CB5DA" w14:textId="77777777" w:rsidR="009C1853" w:rsidRPr="009C1853" w:rsidRDefault="00FF643F">
          <w:pPr>
            <w:pStyle w:val="TOC3"/>
            <w:tabs>
              <w:tab w:val="left" w:pos="1320"/>
              <w:tab w:val="right" w:leader="dot" w:pos="9905"/>
            </w:tabs>
            <w:rPr>
              <w:noProof/>
              <w:lang w:eastAsia="en-GB"/>
            </w:rPr>
          </w:pPr>
          <w:hyperlink w:anchor="_Toc3538070" w:history="1">
            <w:r w:rsidR="009C1853" w:rsidRPr="009C1853">
              <w:rPr>
                <w:rStyle w:val="Hyperlink"/>
                <w:noProof/>
              </w:rPr>
              <w:t>2.6.2</w:t>
            </w:r>
            <w:r w:rsidR="009C1853" w:rsidRPr="009C1853">
              <w:rPr>
                <w:noProof/>
                <w:lang w:eastAsia="en-GB"/>
              </w:rPr>
              <w:tab/>
            </w:r>
            <w:r w:rsidR="009C1853" w:rsidRPr="009C1853">
              <w:rPr>
                <w:rStyle w:val="Hyperlink"/>
                <w:noProof/>
              </w:rPr>
              <w:t>NICE guidelines on E-therapies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_Toc3538070 \h </w:instrText>
            </w:r>
            <w:r w:rsidR="009C1853" w:rsidRPr="009C1853">
              <w:rPr>
                <w:noProof/>
                <w:webHidden/>
              </w:rPr>
            </w:r>
            <w:r w:rsidR="009C1853" w:rsidRPr="009C1853">
              <w:rPr>
                <w:noProof/>
                <w:webHidden/>
              </w:rPr>
              <w:fldChar w:fldCharType="separate"/>
            </w:r>
            <w:r w:rsidR="009C1853" w:rsidRPr="009C1853">
              <w:rPr>
                <w:noProof/>
                <w:webHidden/>
              </w:rPr>
              <w:t>37</w:t>
            </w:r>
            <w:r w:rsidR="009C1853" w:rsidRPr="009C1853">
              <w:rPr>
                <w:noProof/>
                <w:webHidden/>
              </w:rPr>
              <w:fldChar w:fldCharType="end"/>
            </w:r>
          </w:hyperlink>
        </w:p>
        <w:p w14:paraId="2B5953F9" w14:textId="77777777" w:rsidR="009C1853" w:rsidRPr="009C1853" w:rsidRDefault="00FF643F">
          <w:pPr>
            <w:pStyle w:val="TOC3"/>
            <w:tabs>
              <w:tab w:val="left" w:pos="1320"/>
              <w:tab w:val="right" w:leader="dot" w:pos="9905"/>
            </w:tabs>
            <w:rPr>
              <w:noProof/>
              <w:lang w:eastAsia="en-GB"/>
            </w:rPr>
          </w:pPr>
          <w:hyperlink w:anchor="_Toc3538071" w:history="1">
            <w:r w:rsidR="009C1853" w:rsidRPr="009C1853">
              <w:rPr>
                <w:rStyle w:val="Hyperlink"/>
                <w:noProof/>
              </w:rPr>
              <w:t>2.6.3</w:t>
            </w:r>
            <w:r w:rsidR="009C1853" w:rsidRPr="009C1853">
              <w:rPr>
                <w:noProof/>
                <w:lang w:eastAsia="en-GB"/>
              </w:rPr>
              <w:tab/>
            </w:r>
            <w:r w:rsidR="009C1853" w:rsidRPr="009C1853">
              <w:rPr>
                <w:rStyle w:val="Hyperlink"/>
                <w:noProof/>
              </w:rPr>
              <w:t>Ways of Evaluating E-therapies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_Toc3538071 \h </w:instrText>
            </w:r>
            <w:r w:rsidR="009C1853" w:rsidRPr="009C1853">
              <w:rPr>
                <w:noProof/>
                <w:webHidden/>
              </w:rPr>
            </w:r>
            <w:r w:rsidR="009C1853" w:rsidRPr="009C1853">
              <w:rPr>
                <w:noProof/>
                <w:webHidden/>
              </w:rPr>
              <w:fldChar w:fldCharType="separate"/>
            </w:r>
            <w:r w:rsidR="009C1853" w:rsidRPr="009C1853">
              <w:rPr>
                <w:noProof/>
                <w:webHidden/>
              </w:rPr>
              <w:t>38</w:t>
            </w:r>
            <w:r w:rsidR="009C1853" w:rsidRPr="009C1853">
              <w:rPr>
                <w:noProof/>
                <w:webHidden/>
              </w:rPr>
              <w:fldChar w:fldCharType="end"/>
            </w:r>
          </w:hyperlink>
        </w:p>
        <w:p w14:paraId="1CF740E4" w14:textId="77777777" w:rsidR="009C1853" w:rsidRPr="009C1853" w:rsidRDefault="00FF643F">
          <w:pPr>
            <w:pStyle w:val="TOC3"/>
            <w:tabs>
              <w:tab w:val="left" w:pos="1320"/>
              <w:tab w:val="right" w:leader="dot" w:pos="9905"/>
            </w:tabs>
            <w:rPr>
              <w:noProof/>
              <w:lang w:eastAsia="en-GB"/>
            </w:rPr>
          </w:pPr>
          <w:hyperlink w:anchor="_Toc3538072" w:history="1">
            <w:r w:rsidR="009C1853" w:rsidRPr="009C1853">
              <w:rPr>
                <w:rStyle w:val="Hyperlink"/>
                <w:noProof/>
              </w:rPr>
              <w:t>2.6.4</w:t>
            </w:r>
            <w:r w:rsidR="009C1853" w:rsidRPr="009C1853">
              <w:rPr>
                <w:noProof/>
                <w:lang w:eastAsia="en-GB"/>
              </w:rPr>
              <w:tab/>
            </w:r>
            <w:r w:rsidR="009C1853" w:rsidRPr="009C1853">
              <w:rPr>
                <w:rStyle w:val="Hyperlink"/>
                <w:noProof/>
              </w:rPr>
              <w:t>E-therapy Tailored to Specific Demographics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_Toc3538072 \h </w:instrText>
            </w:r>
            <w:r w:rsidR="009C1853" w:rsidRPr="009C1853">
              <w:rPr>
                <w:noProof/>
                <w:webHidden/>
              </w:rPr>
            </w:r>
            <w:r w:rsidR="009C1853" w:rsidRPr="009C1853">
              <w:rPr>
                <w:noProof/>
                <w:webHidden/>
              </w:rPr>
              <w:fldChar w:fldCharType="separate"/>
            </w:r>
            <w:r w:rsidR="009C1853" w:rsidRPr="009C1853">
              <w:rPr>
                <w:noProof/>
                <w:webHidden/>
              </w:rPr>
              <w:t>38</w:t>
            </w:r>
            <w:r w:rsidR="009C1853" w:rsidRPr="009C1853">
              <w:rPr>
                <w:noProof/>
                <w:webHidden/>
              </w:rPr>
              <w:fldChar w:fldCharType="end"/>
            </w:r>
          </w:hyperlink>
        </w:p>
        <w:p w14:paraId="54811E9A" w14:textId="77777777" w:rsidR="009C1853" w:rsidRPr="009C1853" w:rsidRDefault="00FF643F">
          <w:pPr>
            <w:pStyle w:val="TOC3"/>
            <w:tabs>
              <w:tab w:val="left" w:pos="1320"/>
              <w:tab w:val="right" w:leader="dot" w:pos="9905"/>
            </w:tabs>
            <w:rPr>
              <w:noProof/>
              <w:lang w:eastAsia="en-GB"/>
            </w:rPr>
          </w:pPr>
          <w:hyperlink w:anchor="_Toc3538073" w:history="1">
            <w:r w:rsidR="009C1853" w:rsidRPr="009C1853">
              <w:rPr>
                <w:rStyle w:val="Hyperlink"/>
                <w:noProof/>
              </w:rPr>
              <w:t>2.6.5</w:t>
            </w:r>
            <w:r w:rsidR="009C1853" w:rsidRPr="009C1853">
              <w:rPr>
                <w:noProof/>
                <w:lang w:eastAsia="en-GB"/>
              </w:rPr>
              <w:tab/>
            </w:r>
            <w:r w:rsidR="009C1853" w:rsidRPr="009C1853">
              <w:rPr>
                <w:rStyle w:val="Hyperlink"/>
                <w:noProof/>
              </w:rPr>
              <w:t>Older Adults and E-therapies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_Toc3538073 \h </w:instrText>
            </w:r>
            <w:r w:rsidR="009C1853" w:rsidRPr="009C1853">
              <w:rPr>
                <w:noProof/>
                <w:webHidden/>
              </w:rPr>
            </w:r>
            <w:r w:rsidR="009C1853" w:rsidRPr="009C1853">
              <w:rPr>
                <w:noProof/>
                <w:webHidden/>
              </w:rPr>
              <w:fldChar w:fldCharType="separate"/>
            </w:r>
            <w:r w:rsidR="009C1853" w:rsidRPr="009C1853">
              <w:rPr>
                <w:noProof/>
                <w:webHidden/>
              </w:rPr>
              <w:t>39</w:t>
            </w:r>
            <w:r w:rsidR="009C1853" w:rsidRPr="009C1853">
              <w:rPr>
                <w:noProof/>
                <w:webHidden/>
              </w:rPr>
              <w:fldChar w:fldCharType="end"/>
            </w:r>
          </w:hyperlink>
        </w:p>
        <w:p w14:paraId="787FE77D" w14:textId="77777777" w:rsidR="009C1853" w:rsidRPr="009C1853" w:rsidRDefault="00FF643F">
          <w:pPr>
            <w:pStyle w:val="TOC2"/>
            <w:tabs>
              <w:tab w:val="left" w:pos="880"/>
              <w:tab w:val="right" w:leader="dot" w:pos="9905"/>
            </w:tabs>
            <w:rPr>
              <w:noProof/>
              <w:lang w:eastAsia="en-GB"/>
            </w:rPr>
          </w:pPr>
          <w:hyperlink w:anchor="_Toc3538074" w:history="1">
            <w:r w:rsidR="009C1853" w:rsidRPr="009C1853">
              <w:rPr>
                <w:rStyle w:val="Hyperlink"/>
                <w:noProof/>
              </w:rPr>
              <w:t>2.7</w:t>
            </w:r>
            <w:r w:rsidR="009C1853" w:rsidRPr="009C1853">
              <w:rPr>
                <w:noProof/>
                <w:lang w:eastAsia="en-GB"/>
              </w:rPr>
              <w:tab/>
            </w:r>
            <w:r w:rsidR="009C1853" w:rsidRPr="009C1853">
              <w:rPr>
                <w:rStyle w:val="Hyperlink"/>
                <w:noProof/>
              </w:rPr>
              <w:t>Conclusions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_Toc3538074 \h </w:instrText>
            </w:r>
            <w:r w:rsidR="009C1853" w:rsidRPr="009C1853">
              <w:rPr>
                <w:noProof/>
                <w:webHidden/>
              </w:rPr>
            </w:r>
            <w:r w:rsidR="009C1853" w:rsidRPr="009C1853">
              <w:rPr>
                <w:noProof/>
                <w:webHidden/>
              </w:rPr>
              <w:fldChar w:fldCharType="separate"/>
            </w:r>
            <w:r w:rsidR="009C1853" w:rsidRPr="009C1853">
              <w:rPr>
                <w:noProof/>
                <w:webHidden/>
              </w:rPr>
              <w:t>39</w:t>
            </w:r>
            <w:r w:rsidR="009C1853" w:rsidRPr="009C1853">
              <w:rPr>
                <w:noProof/>
                <w:webHidden/>
              </w:rPr>
              <w:fldChar w:fldCharType="end"/>
            </w:r>
          </w:hyperlink>
        </w:p>
        <w:p w14:paraId="5DE095AD" w14:textId="77777777" w:rsidR="009C1853" w:rsidRPr="009C1853" w:rsidRDefault="00FF643F">
          <w:pPr>
            <w:pStyle w:val="TOC1"/>
            <w:tabs>
              <w:tab w:val="left" w:pos="440"/>
            </w:tabs>
            <w:rPr>
              <w:rFonts w:asciiTheme="minorHAnsi" w:hAnsiTheme="minorHAnsi"/>
              <w:shd w:val="clear" w:color="auto" w:fill="auto"/>
              <w:lang w:eastAsia="en-GB"/>
            </w:rPr>
          </w:pPr>
          <w:hyperlink w:anchor="_Toc3538075" w:history="1">
            <w:r w:rsidR="009C1853" w:rsidRPr="009C1853">
              <w:rPr>
                <w:rStyle w:val="Hyperlink"/>
                <w:rFonts w:asciiTheme="minorHAnsi" w:hAnsiTheme="minorHAnsi"/>
              </w:rPr>
              <w:t>3</w:t>
            </w:r>
            <w:r w:rsidR="009C1853" w:rsidRPr="009C1853">
              <w:rPr>
                <w:rFonts w:asciiTheme="minorHAnsi" w:hAnsiTheme="minorHAnsi"/>
                <w:shd w:val="clear" w:color="auto" w:fill="auto"/>
                <w:lang w:eastAsia="en-GB"/>
              </w:rPr>
              <w:tab/>
            </w:r>
            <w:r w:rsidR="009C1853" w:rsidRPr="009C1853">
              <w:rPr>
                <w:rStyle w:val="Hyperlink"/>
                <w:rFonts w:asciiTheme="minorHAnsi" w:hAnsiTheme="minorHAnsi"/>
              </w:rPr>
              <w:t>NHS Service Provision Panorama Part 2 (E-therapy Developers Survey)</w:t>
            </w:r>
            <w:r w:rsidR="009C1853" w:rsidRPr="009C1853">
              <w:rPr>
                <w:rFonts w:asciiTheme="minorHAnsi" w:hAnsiTheme="minorHAnsi"/>
                <w:webHidden/>
              </w:rPr>
              <w:tab/>
            </w:r>
            <w:r w:rsidR="009C1853" w:rsidRPr="009C1853">
              <w:rPr>
                <w:rFonts w:asciiTheme="minorHAnsi" w:hAnsiTheme="minorHAnsi"/>
                <w:webHidden/>
              </w:rPr>
              <w:fldChar w:fldCharType="begin"/>
            </w:r>
            <w:r w:rsidR="009C1853" w:rsidRPr="009C1853">
              <w:rPr>
                <w:rFonts w:asciiTheme="minorHAnsi" w:hAnsiTheme="minorHAnsi"/>
                <w:webHidden/>
              </w:rPr>
              <w:instrText xml:space="preserve"> PAGEREF _Toc3538075 \h </w:instrText>
            </w:r>
            <w:r w:rsidR="009C1853" w:rsidRPr="009C1853">
              <w:rPr>
                <w:rFonts w:asciiTheme="minorHAnsi" w:hAnsiTheme="minorHAnsi"/>
                <w:webHidden/>
              </w:rPr>
            </w:r>
            <w:r w:rsidR="009C1853" w:rsidRPr="009C1853">
              <w:rPr>
                <w:rFonts w:asciiTheme="minorHAnsi" w:hAnsiTheme="minorHAnsi"/>
                <w:webHidden/>
              </w:rPr>
              <w:fldChar w:fldCharType="separate"/>
            </w:r>
            <w:r w:rsidR="009C1853" w:rsidRPr="009C1853">
              <w:rPr>
                <w:rFonts w:asciiTheme="minorHAnsi" w:hAnsiTheme="minorHAnsi"/>
                <w:webHidden/>
              </w:rPr>
              <w:t>40</w:t>
            </w:r>
            <w:r w:rsidR="009C1853" w:rsidRPr="009C1853">
              <w:rPr>
                <w:rFonts w:asciiTheme="minorHAnsi" w:hAnsiTheme="minorHAnsi"/>
                <w:webHidden/>
              </w:rPr>
              <w:fldChar w:fldCharType="end"/>
            </w:r>
          </w:hyperlink>
        </w:p>
        <w:p w14:paraId="0BDB0403" w14:textId="77777777" w:rsidR="009C1853" w:rsidRPr="009C1853" w:rsidRDefault="00FF643F">
          <w:pPr>
            <w:pStyle w:val="TOC2"/>
            <w:tabs>
              <w:tab w:val="left" w:pos="880"/>
              <w:tab w:val="right" w:leader="dot" w:pos="9905"/>
            </w:tabs>
            <w:rPr>
              <w:noProof/>
              <w:lang w:eastAsia="en-GB"/>
            </w:rPr>
          </w:pPr>
          <w:hyperlink w:anchor="_Toc3538076" w:history="1">
            <w:r w:rsidR="009C1853" w:rsidRPr="009C1853">
              <w:rPr>
                <w:rStyle w:val="Hyperlink"/>
                <w:noProof/>
              </w:rPr>
              <w:t>3.1</w:t>
            </w:r>
            <w:r w:rsidR="009C1853" w:rsidRPr="009C1853">
              <w:rPr>
                <w:noProof/>
                <w:lang w:eastAsia="en-GB"/>
              </w:rPr>
              <w:tab/>
            </w:r>
            <w:r w:rsidR="009C1853" w:rsidRPr="009C1853">
              <w:rPr>
                <w:rStyle w:val="Hyperlink"/>
                <w:noProof/>
              </w:rPr>
              <w:t>Introduction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_Toc3538076 \h </w:instrText>
            </w:r>
            <w:r w:rsidR="009C1853" w:rsidRPr="009C1853">
              <w:rPr>
                <w:noProof/>
                <w:webHidden/>
              </w:rPr>
            </w:r>
            <w:r w:rsidR="009C1853" w:rsidRPr="009C1853">
              <w:rPr>
                <w:noProof/>
                <w:webHidden/>
              </w:rPr>
              <w:fldChar w:fldCharType="separate"/>
            </w:r>
            <w:r w:rsidR="009C1853" w:rsidRPr="009C1853">
              <w:rPr>
                <w:noProof/>
                <w:webHidden/>
              </w:rPr>
              <w:t>40</w:t>
            </w:r>
            <w:r w:rsidR="009C1853" w:rsidRPr="009C1853">
              <w:rPr>
                <w:noProof/>
                <w:webHidden/>
              </w:rPr>
              <w:fldChar w:fldCharType="end"/>
            </w:r>
          </w:hyperlink>
        </w:p>
        <w:p w14:paraId="6C35ABB9" w14:textId="77777777" w:rsidR="009C1853" w:rsidRPr="009C1853" w:rsidRDefault="00FF643F">
          <w:pPr>
            <w:pStyle w:val="TOC3"/>
            <w:tabs>
              <w:tab w:val="left" w:pos="1320"/>
              <w:tab w:val="right" w:leader="dot" w:pos="9905"/>
            </w:tabs>
            <w:rPr>
              <w:noProof/>
              <w:lang w:eastAsia="en-GB"/>
            </w:rPr>
          </w:pPr>
          <w:hyperlink w:anchor="_Toc3538077" w:history="1">
            <w:r w:rsidR="009C1853" w:rsidRPr="009C1853">
              <w:rPr>
                <w:rStyle w:val="Hyperlink"/>
                <w:noProof/>
              </w:rPr>
              <w:t>3.1.1</w:t>
            </w:r>
            <w:r w:rsidR="009C1853" w:rsidRPr="009C1853">
              <w:rPr>
                <w:noProof/>
                <w:lang w:eastAsia="en-GB"/>
              </w:rPr>
              <w:tab/>
            </w:r>
            <w:r w:rsidR="009C1853" w:rsidRPr="009C1853">
              <w:rPr>
                <w:rStyle w:val="Hyperlink"/>
                <w:noProof/>
              </w:rPr>
              <w:t>The Current Study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_Toc3538077 \h </w:instrText>
            </w:r>
            <w:r w:rsidR="009C1853" w:rsidRPr="009C1853">
              <w:rPr>
                <w:noProof/>
                <w:webHidden/>
              </w:rPr>
            </w:r>
            <w:r w:rsidR="009C1853" w:rsidRPr="009C1853">
              <w:rPr>
                <w:noProof/>
                <w:webHidden/>
              </w:rPr>
              <w:fldChar w:fldCharType="separate"/>
            </w:r>
            <w:r w:rsidR="009C1853" w:rsidRPr="009C1853">
              <w:rPr>
                <w:noProof/>
                <w:webHidden/>
              </w:rPr>
              <w:t>41</w:t>
            </w:r>
            <w:r w:rsidR="009C1853" w:rsidRPr="009C1853">
              <w:rPr>
                <w:noProof/>
                <w:webHidden/>
              </w:rPr>
              <w:fldChar w:fldCharType="end"/>
            </w:r>
          </w:hyperlink>
        </w:p>
        <w:p w14:paraId="6209C0BB" w14:textId="77777777" w:rsidR="009C1853" w:rsidRPr="009C1853" w:rsidRDefault="00FF643F">
          <w:pPr>
            <w:pStyle w:val="TOC3"/>
            <w:tabs>
              <w:tab w:val="left" w:pos="1320"/>
              <w:tab w:val="right" w:leader="dot" w:pos="9905"/>
            </w:tabs>
            <w:rPr>
              <w:noProof/>
              <w:lang w:eastAsia="en-GB"/>
            </w:rPr>
          </w:pPr>
          <w:hyperlink w:anchor="_Toc3538078" w:history="1">
            <w:r w:rsidR="009C1853" w:rsidRPr="009C1853">
              <w:rPr>
                <w:rStyle w:val="Hyperlink"/>
                <w:noProof/>
              </w:rPr>
              <w:t>3.1.2</w:t>
            </w:r>
            <w:r w:rsidR="009C1853" w:rsidRPr="009C1853">
              <w:rPr>
                <w:noProof/>
                <w:lang w:eastAsia="en-GB"/>
              </w:rPr>
              <w:tab/>
            </w:r>
            <w:r w:rsidR="009C1853" w:rsidRPr="009C1853">
              <w:rPr>
                <w:rStyle w:val="Hyperlink"/>
                <w:noProof/>
              </w:rPr>
              <w:t>Important Indicators of Quality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_Toc3538078 \h </w:instrText>
            </w:r>
            <w:r w:rsidR="009C1853" w:rsidRPr="009C1853">
              <w:rPr>
                <w:noProof/>
                <w:webHidden/>
              </w:rPr>
            </w:r>
            <w:r w:rsidR="009C1853" w:rsidRPr="009C1853">
              <w:rPr>
                <w:noProof/>
                <w:webHidden/>
              </w:rPr>
              <w:fldChar w:fldCharType="separate"/>
            </w:r>
            <w:r w:rsidR="009C1853" w:rsidRPr="009C1853">
              <w:rPr>
                <w:noProof/>
                <w:webHidden/>
              </w:rPr>
              <w:t>42</w:t>
            </w:r>
            <w:r w:rsidR="009C1853" w:rsidRPr="009C1853">
              <w:rPr>
                <w:noProof/>
                <w:webHidden/>
              </w:rPr>
              <w:fldChar w:fldCharType="end"/>
            </w:r>
          </w:hyperlink>
        </w:p>
        <w:p w14:paraId="2B33AEC3" w14:textId="77777777" w:rsidR="009C1853" w:rsidRPr="009C1853" w:rsidRDefault="00FF643F">
          <w:pPr>
            <w:pStyle w:val="TOC3"/>
            <w:tabs>
              <w:tab w:val="left" w:pos="1320"/>
              <w:tab w:val="right" w:leader="dot" w:pos="9905"/>
            </w:tabs>
            <w:rPr>
              <w:noProof/>
              <w:lang w:eastAsia="en-GB"/>
            </w:rPr>
          </w:pPr>
          <w:hyperlink w:anchor="_Toc3538079" w:history="1">
            <w:r w:rsidR="009C1853" w:rsidRPr="009C1853">
              <w:rPr>
                <w:rStyle w:val="Hyperlink"/>
                <w:noProof/>
              </w:rPr>
              <w:t>3.1.3</w:t>
            </w:r>
            <w:r w:rsidR="009C1853" w:rsidRPr="009C1853">
              <w:rPr>
                <w:noProof/>
                <w:lang w:eastAsia="en-GB"/>
              </w:rPr>
              <w:tab/>
            </w:r>
            <w:r w:rsidR="009C1853" w:rsidRPr="009C1853">
              <w:rPr>
                <w:rStyle w:val="Hyperlink"/>
                <w:noProof/>
              </w:rPr>
              <w:t>Using Indicators of Quality to Evaluate Apps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_Toc3538079 \h </w:instrText>
            </w:r>
            <w:r w:rsidR="009C1853" w:rsidRPr="009C1853">
              <w:rPr>
                <w:noProof/>
                <w:webHidden/>
              </w:rPr>
            </w:r>
            <w:r w:rsidR="009C1853" w:rsidRPr="009C1853">
              <w:rPr>
                <w:noProof/>
                <w:webHidden/>
              </w:rPr>
              <w:fldChar w:fldCharType="separate"/>
            </w:r>
            <w:r w:rsidR="009C1853" w:rsidRPr="009C1853">
              <w:rPr>
                <w:noProof/>
                <w:webHidden/>
              </w:rPr>
              <w:t>43</w:t>
            </w:r>
            <w:r w:rsidR="009C1853" w:rsidRPr="009C1853">
              <w:rPr>
                <w:noProof/>
                <w:webHidden/>
              </w:rPr>
              <w:fldChar w:fldCharType="end"/>
            </w:r>
          </w:hyperlink>
        </w:p>
        <w:p w14:paraId="78C426BC" w14:textId="77777777" w:rsidR="009C1853" w:rsidRPr="009C1853" w:rsidRDefault="00FF643F">
          <w:pPr>
            <w:pStyle w:val="TOC2"/>
            <w:tabs>
              <w:tab w:val="left" w:pos="880"/>
              <w:tab w:val="right" w:leader="dot" w:pos="9905"/>
            </w:tabs>
            <w:rPr>
              <w:noProof/>
              <w:lang w:eastAsia="en-GB"/>
            </w:rPr>
          </w:pPr>
          <w:hyperlink w:anchor="_Toc3538080" w:history="1">
            <w:r w:rsidR="009C1853" w:rsidRPr="009C1853">
              <w:rPr>
                <w:rStyle w:val="Hyperlink"/>
                <w:noProof/>
              </w:rPr>
              <w:t>3.2</w:t>
            </w:r>
            <w:r w:rsidR="009C1853" w:rsidRPr="009C1853">
              <w:rPr>
                <w:noProof/>
                <w:lang w:eastAsia="en-GB"/>
              </w:rPr>
              <w:tab/>
            </w:r>
            <w:r w:rsidR="009C1853" w:rsidRPr="009C1853">
              <w:rPr>
                <w:rStyle w:val="Hyperlink"/>
                <w:noProof/>
              </w:rPr>
              <w:t>Methods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_Toc3538080 \h </w:instrText>
            </w:r>
            <w:r w:rsidR="009C1853" w:rsidRPr="009C1853">
              <w:rPr>
                <w:noProof/>
                <w:webHidden/>
              </w:rPr>
            </w:r>
            <w:r w:rsidR="009C1853" w:rsidRPr="009C1853">
              <w:rPr>
                <w:noProof/>
                <w:webHidden/>
              </w:rPr>
              <w:fldChar w:fldCharType="separate"/>
            </w:r>
            <w:r w:rsidR="009C1853" w:rsidRPr="009C1853">
              <w:rPr>
                <w:noProof/>
                <w:webHidden/>
              </w:rPr>
              <w:t>43</w:t>
            </w:r>
            <w:r w:rsidR="009C1853" w:rsidRPr="009C1853">
              <w:rPr>
                <w:noProof/>
                <w:webHidden/>
              </w:rPr>
              <w:fldChar w:fldCharType="end"/>
            </w:r>
          </w:hyperlink>
        </w:p>
        <w:p w14:paraId="180EE778" w14:textId="77777777" w:rsidR="009C1853" w:rsidRPr="009C1853" w:rsidRDefault="00FF643F">
          <w:pPr>
            <w:pStyle w:val="TOC3"/>
            <w:tabs>
              <w:tab w:val="left" w:pos="1320"/>
              <w:tab w:val="right" w:leader="dot" w:pos="9905"/>
            </w:tabs>
            <w:rPr>
              <w:noProof/>
              <w:lang w:eastAsia="en-GB"/>
            </w:rPr>
          </w:pPr>
          <w:hyperlink w:anchor="_Toc3538081" w:history="1">
            <w:r w:rsidR="009C1853" w:rsidRPr="009C1853">
              <w:rPr>
                <w:rStyle w:val="Hyperlink"/>
                <w:noProof/>
              </w:rPr>
              <w:t>3.2.1</w:t>
            </w:r>
            <w:r w:rsidR="009C1853" w:rsidRPr="009C1853">
              <w:rPr>
                <w:noProof/>
                <w:lang w:eastAsia="en-GB"/>
              </w:rPr>
              <w:tab/>
            </w:r>
            <w:r w:rsidR="009C1853" w:rsidRPr="009C1853">
              <w:rPr>
                <w:rStyle w:val="Hyperlink"/>
                <w:noProof/>
              </w:rPr>
              <w:t>Design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_Toc3538081 \h </w:instrText>
            </w:r>
            <w:r w:rsidR="009C1853" w:rsidRPr="009C1853">
              <w:rPr>
                <w:noProof/>
                <w:webHidden/>
              </w:rPr>
            </w:r>
            <w:r w:rsidR="009C1853" w:rsidRPr="009C1853">
              <w:rPr>
                <w:noProof/>
                <w:webHidden/>
              </w:rPr>
              <w:fldChar w:fldCharType="separate"/>
            </w:r>
            <w:r w:rsidR="009C1853" w:rsidRPr="009C1853">
              <w:rPr>
                <w:noProof/>
                <w:webHidden/>
              </w:rPr>
              <w:t>43</w:t>
            </w:r>
            <w:r w:rsidR="009C1853" w:rsidRPr="009C1853">
              <w:rPr>
                <w:noProof/>
                <w:webHidden/>
              </w:rPr>
              <w:fldChar w:fldCharType="end"/>
            </w:r>
          </w:hyperlink>
        </w:p>
        <w:p w14:paraId="0ED2B319" w14:textId="77777777" w:rsidR="009C1853" w:rsidRPr="009C1853" w:rsidRDefault="00FF643F">
          <w:pPr>
            <w:pStyle w:val="TOC3"/>
            <w:tabs>
              <w:tab w:val="left" w:pos="1320"/>
              <w:tab w:val="right" w:leader="dot" w:pos="9905"/>
            </w:tabs>
            <w:rPr>
              <w:noProof/>
              <w:lang w:eastAsia="en-GB"/>
            </w:rPr>
          </w:pPr>
          <w:hyperlink w:anchor="_Toc3538082" w:history="1">
            <w:r w:rsidR="009C1853" w:rsidRPr="009C1853">
              <w:rPr>
                <w:rStyle w:val="Hyperlink"/>
                <w:noProof/>
              </w:rPr>
              <w:t>3.2.2</w:t>
            </w:r>
            <w:r w:rsidR="009C1853" w:rsidRPr="009C1853">
              <w:rPr>
                <w:noProof/>
                <w:lang w:eastAsia="en-GB"/>
              </w:rPr>
              <w:tab/>
            </w:r>
            <w:r w:rsidR="009C1853" w:rsidRPr="009C1853">
              <w:rPr>
                <w:rStyle w:val="Hyperlink"/>
                <w:noProof/>
              </w:rPr>
              <w:t>Participants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_Toc3538082 \h </w:instrText>
            </w:r>
            <w:r w:rsidR="009C1853" w:rsidRPr="009C1853">
              <w:rPr>
                <w:noProof/>
                <w:webHidden/>
              </w:rPr>
            </w:r>
            <w:r w:rsidR="009C1853" w:rsidRPr="009C1853">
              <w:rPr>
                <w:noProof/>
                <w:webHidden/>
              </w:rPr>
              <w:fldChar w:fldCharType="separate"/>
            </w:r>
            <w:r w:rsidR="009C1853" w:rsidRPr="009C1853">
              <w:rPr>
                <w:noProof/>
                <w:webHidden/>
              </w:rPr>
              <w:t>44</w:t>
            </w:r>
            <w:r w:rsidR="009C1853" w:rsidRPr="009C1853">
              <w:rPr>
                <w:noProof/>
                <w:webHidden/>
              </w:rPr>
              <w:fldChar w:fldCharType="end"/>
            </w:r>
          </w:hyperlink>
        </w:p>
        <w:p w14:paraId="442D8B04" w14:textId="77777777" w:rsidR="009C1853" w:rsidRPr="009C1853" w:rsidRDefault="00FF643F">
          <w:pPr>
            <w:pStyle w:val="TOC3"/>
            <w:tabs>
              <w:tab w:val="left" w:pos="1320"/>
              <w:tab w:val="right" w:leader="dot" w:pos="9905"/>
            </w:tabs>
            <w:rPr>
              <w:noProof/>
              <w:lang w:eastAsia="en-GB"/>
            </w:rPr>
          </w:pPr>
          <w:hyperlink w:anchor="_Toc3538083" w:history="1">
            <w:r w:rsidR="009C1853" w:rsidRPr="009C1853">
              <w:rPr>
                <w:rStyle w:val="Hyperlink"/>
                <w:noProof/>
              </w:rPr>
              <w:t>3.2.3</w:t>
            </w:r>
            <w:r w:rsidR="009C1853" w:rsidRPr="009C1853">
              <w:rPr>
                <w:noProof/>
                <w:lang w:eastAsia="en-GB"/>
              </w:rPr>
              <w:tab/>
            </w:r>
            <w:r w:rsidR="009C1853" w:rsidRPr="009C1853">
              <w:rPr>
                <w:rStyle w:val="Hyperlink"/>
                <w:noProof/>
              </w:rPr>
              <w:t>Procedure</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_Toc3538083 \h </w:instrText>
            </w:r>
            <w:r w:rsidR="009C1853" w:rsidRPr="009C1853">
              <w:rPr>
                <w:noProof/>
                <w:webHidden/>
              </w:rPr>
            </w:r>
            <w:r w:rsidR="009C1853" w:rsidRPr="009C1853">
              <w:rPr>
                <w:noProof/>
                <w:webHidden/>
              </w:rPr>
              <w:fldChar w:fldCharType="separate"/>
            </w:r>
            <w:r w:rsidR="009C1853" w:rsidRPr="009C1853">
              <w:rPr>
                <w:noProof/>
                <w:webHidden/>
              </w:rPr>
              <w:t>44</w:t>
            </w:r>
            <w:r w:rsidR="009C1853" w:rsidRPr="009C1853">
              <w:rPr>
                <w:noProof/>
                <w:webHidden/>
              </w:rPr>
              <w:fldChar w:fldCharType="end"/>
            </w:r>
          </w:hyperlink>
        </w:p>
        <w:p w14:paraId="223AF67E" w14:textId="77777777" w:rsidR="009C1853" w:rsidRPr="009C1853" w:rsidRDefault="00FF643F">
          <w:pPr>
            <w:pStyle w:val="TOC3"/>
            <w:tabs>
              <w:tab w:val="left" w:pos="1320"/>
              <w:tab w:val="right" w:leader="dot" w:pos="9905"/>
            </w:tabs>
            <w:rPr>
              <w:noProof/>
              <w:lang w:eastAsia="en-GB"/>
            </w:rPr>
          </w:pPr>
          <w:hyperlink w:anchor="_Toc3538084" w:history="1">
            <w:r w:rsidR="009C1853" w:rsidRPr="009C1853">
              <w:rPr>
                <w:rStyle w:val="Hyperlink"/>
                <w:noProof/>
              </w:rPr>
              <w:t>3.2.4</w:t>
            </w:r>
            <w:r w:rsidR="009C1853" w:rsidRPr="009C1853">
              <w:rPr>
                <w:noProof/>
                <w:lang w:eastAsia="en-GB"/>
              </w:rPr>
              <w:tab/>
            </w:r>
            <w:r w:rsidR="009C1853" w:rsidRPr="009C1853">
              <w:rPr>
                <w:rStyle w:val="Hyperlink"/>
                <w:noProof/>
              </w:rPr>
              <w:t>Statistical Analysis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_Toc3538084 \h </w:instrText>
            </w:r>
            <w:r w:rsidR="009C1853" w:rsidRPr="009C1853">
              <w:rPr>
                <w:noProof/>
                <w:webHidden/>
              </w:rPr>
            </w:r>
            <w:r w:rsidR="009C1853" w:rsidRPr="009C1853">
              <w:rPr>
                <w:noProof/>
                <w:webHidden/>
              </w:rPr>
              <w:fldChar w:fldCharType="separate"/>
            </w:r>
            <w:r w:rsidR="009C1853" w:rsidRPr="009C1853">
              <w:rPr>
                <w:noProof/>
                <w:webHidden/>
              </w:rPr>
              <w:t>44</w:t>
            </w:r>
            <w:r w:rsidR="009C1853" w:rsidRPr="009C1853">
              <w:rPr>
                <w:noProof/>
                <w:webHidden/>
              </w:rPr>
              <w:fldChar w:fldCharType="end"/>
            </w:r>
          </w:hyperlink>
        </w:p>
        <w:p w14:paraId="4B0EF1AD" w14:textId="77777777" w:rsidR="009C1853" w:rsidRPr="009C1853" w:rsidRDefault="00FF643F">
          <w:pPr>
            <w:pStyle w:val="TOC2"/>
            <w:tabs>
              <w:tab w:val="left" w:pos="880"/>
              <w:tab w:val="right" w:leader="dot" w:pos="9905"/>
            </w:tabs>
            <w:rPr>
              <w:noProof/>
              <w:lang w:eastAsia="en-GB"/>
            </w:rPr>
          </w:pPr>
          <w:hyperlink w:anchor="_Toc3538085" w:history="1">
            <w:r w:rsidR="009C1853" w:rsidRPr="009C1853">
              <w:rPr>
                <w:rStyle w:val="Hyperlink"/>
                <w:noProof/>
              </w:rPr>
              <w:t>3.3</w:t>
            </w:r>
            <w:r w:rsidR="009C1853" w:rsidRPr="009C1853">
              <w:rPr>
                <w:noProof/>
                <w:lang w:eastAsia="en-GB"/>
              </w:rPr>
              <w:tab/>
            </w:r>
            <w:r w:rsidR="009C1853" w:rsidRPr="009C1853">
              <w:rPr>
                <w:rStyle w:val="Hyperlink"/>
                <w:noProof/>
              </w:rPr>
              <w:t>Results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_Toc3538085 \h </w:instrText>
            </w:r>
            <w:r w:rsidR="009C1853" w:rsidRPr="009C1853">
              <w:rPr>
                <w:noProof/>
                <w:webHidden/>
              </w:rPr>
            </w:r>
            <w:r w:rsidR="009C1853" w:rsidRPr="009C1853">
              <w:rPr>
                <w:noProof/>
                <w:webHidden/>
              </w:rPr>
              <w:fldChar w:fldCharType="separate"/>
            </w:r>
            <w:r w:rsidR="009C1853" w:rsidRPr="009C1853">
              <w:rPr>
                <w:noProof/>
                <w:webHidden/>
              </w:rPr>
              <w:t>45</w:t>
            </w:r>
            <w:r w:rsidR="009C1853" w:rsidRPr="009C1853">
              <w:rPr>
                <w:noProof/>
                <w:webHidden/>
              </w:rPr>
              <w:fldChar w:fldCharType="end"/>
            </w:r>
          </w:hyperlink>
        </w:p>
        <w:p w14:paraId="175A52A4" w14:textId="77777777" w:rsidR="009C1853" w:rsidRPr="009C1853" w:rsidRDefault="00FF643F">
          <w:pPr>
            <w:pStyle w:val="TOC3"/>
            <w:tabs>
              <w:tab w:val="left" w:pos="1320"/>
              <w:tab w:val="right" w:leader="dot" w:pos="9905"/>
            </w:tabs>
            <w:rPr>
              <w:noProof/>
              <w:lang w:eastAsia="en-GB"/>
            </w:rPr>
          </w:pPr>
          <w:hyperlink w:anchor="_Toc3538086" w:history="1">
            <w:r w:rsidR="009C1853" w:rsidRPr="009C1853">
              <w:rPr>
                <w:rStyle w:val="Hyperlink"/>
                <w:noProof/>
              </w:rPr>
              <w:t>3.3.1</w:t>
            </w:r>
            <w:r w:rsidR="009C1853" w:rsidRPr="009C1853">
              <w:rPr>
                <w:noProof/>
                <w:lang w:eastAsia="en-GB"/>
              </w:rPr>
              <w:tab/>
            </w:r>
            <w:r w:rsidR="009C1853" w:rsidRPr="009C1853">
              <w:rPr>
                <w:rStyle w:val="Hyperlink"/>
                <w:noProof/>
              </w:rPr>
              <w:t>Clinical Involvement</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_Toc3538086 \h </w:instrText>
            </w:r>
            <w:r w:rsidR="009C1853" w:rsidRPr="009C1853">
              <w:rPr>
                <w:noProof/>
                <w:webHidden/>
              </w:rPr>
            </w:r>
            <w:r w:rsidR="009C1853" w:rsidRPr="009C1853">
              <w:rPr>
                <w:noProof/>
                <w:webHidden/>
              </w:rPr>
              <w:fldChar w:fldCharType="separate"/>
            </w:r>
            <w:r w:rsidR="009C1853" w:rsidRPr="009C1853">
              <w:rPr>
                <w:noProof/>
                <w:webHidden/>
              </w:rPr>
              <w:t>49</w:t>
            </w:r>
            <w:r w:rsidR="009C1853" w:rsidRPr="009C1853">
              <w:rPr>
                <w:noProof/>
                <w:webHidden/>
              </w:rPr>
              <w:fldChar w:fldCharType="end"/>
            </w:r>
          </w:hyperlink>
        </w:p>
        <w:p w14:paraId="7F211A6B" w14:textId="77777777" w:rsidR="009C1853" w:rsidRPr="009C1853" w:rsidRDefault="00FF643F">
          <w:pPr>
            <w:pStyle w:val="TOC3"/>
            <w:tabs>
              <w:tab w:val="left" w:pos="1320"/>
              <w:tab w:val="right" w:leader="dot" w:pos="9905"/>
            </w:tabs>
            <w:rPr>
              <w:noProof/>
              <w:lang w:eastAsia="en-GB"/>
            </w:rPr>
          </w:pPr>
          <w:hyperlink w:anchor="_Toc3538087" w:history="1">
            <w:r w:rsidR="009C1853" w:rsidRPr="009C1853">
              <w:rPr>
                <w:rStyle w:val="Hyperlink"/>
                <w:noProof/>
              </w:rPr>
              <w:t>3.3.2</w:t>
            </w:r>
            <w:r w:rsidR="009C1853" w:rsidRPr="009C1853">
              <w:rPr>
                <w:noProof/>
                <w:lang w:eastAsia="en-GB"/>
              </w:rPr>
              <w:tab/>
            </w:r>
            <w:r w:rsidR="009C1853" w:rsidRPr="009C1853">
              <w:rPr>
                <w:rStyle w:val="Hyperlink"/>
                <w:noProof/>
              </w:rPr>
              <w:t>Academic Involvement</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_Toc3538087 \h </w:instrText>
            </w:r>
            <w:r w:rsidR="009C1853" w:rsidRPr="009C1853">
              <w:rPr>
                <w:noProof/>
                <w:webHidden/>
              </w:rPr>
            </w:r>
            <w:r w:rsidR="009C1853" w:rsidRPr="009C1853">
              <w:rPr>
                <w:noProof/>
                <w:webHidden/>
              </w:rPr>
              <w:fldChar w:fldCharType="separate"/>
            </w:r>
            <w:r w:rsidR="009C1853" w:rsidRPr="009C1853">
              <w:rPr>
                <w:noProof/>
                <w:webHidden/>
              </w:rPr>
              <w:t>49</w:t>
            </w:r>
            <w:r w:rsidR="009C1853" w:rsidRPr="009C1853">
              <w:rPr>
                <w:noProof/>
                <w:webHidden/>
              </w:rPr>
              <w:fldChar w:fldCharType="end"/>
            </w:r>
          </w:hyperlink>
        </w:p>
        <w:p w14:paraId="33FF6798" w14:textId="77777777" w:rsidR="009C1853" w:rsidRPr="009C1853" w:rsidRDefault="00FF643F">
          <w:pPr>
            <w:pStyle w:val="TOC3"/>
            <w:tabs>
              <w:tab w:val="left" w:pos="1320"/>
              <w:tab w:val="right" w:leader="dot" w:pos="9905"/>
            </w:tabs>
            <w:rPr>
              <w:noProof/>
              <w:lang w:eastAsia="en-GB"/>
            </w:rPr>
          </w:pPr>
          <w:hyperlink w:anchor="_Toc3538088" w:history="1">
            <w:r w:rsidR="009C1853" w:rsidRPr="009C1853">
              <w:rPr>
                <w:rStyle w:val="Hyperlink"/>
                <w:noProof/>
              </w:rPr>
              <w:t>3.3.3</w:t>
            </w:r>
            <w:r w:rsidR="009C1853" w:rsidRPr="009C1853">
              <w:rPr>
                <w:noProof/>
                <w:lang w:eastAsia="en-GB"/>
              </w:rPr>
              <w:tab/>
            </w:r>
            <w:r w:rsidR="009C1853" w:rsidRPr="009C1853">
              <w:rPr>
                <w:rStyle w:val="Hyperlink"/>
                <w:noProof/>
              </w:rPr>
              <w:t>Publications Published or Forthcoming</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_Toc3538088 \h </w:instrText>
            </w:r>
            <w:r w:rsidR="009C1853" w:rsidRPr="009C1853">
              <w:rPr>
                <w:noProof/>
                <w:webHidden/>
              </w:rPr>
            </w:r>
            <w:r w:rsidR="009C1853" w:rsidRPr="009C1853">
              <w:rPr>
                <w:noProof/>
                <w:webHidden/>
              </w:rPr>
              <w:fldChar w:fldCharType="separate"/>
            </w:r>
            <w:r w:rsidR="009C1853" w:rsidRPr="009C1853">
              <w:rPr>
                <w:noProof/>
                <w:webHidden/>
              </w:rPr>
              <w:t>50</w:t>
            </w:r>
            <w:r w:rsidR="009C1853" w:rsidRPr="009C1853">
              <w:rPr>
                <w:noProof/>
                <w:webHidden/>
              </w:rPr>
              <w:fldChar w:fldCharType="end"/>
            </w:r>
          </w:hyperlink>
        </w:p>
        <w:p w14:paraId="6835FB46" w14:textId="77777777" w:rsidR="009C1853" w:rsidRPr="009C1853" w:rsidRDefault="00FF643F">
          <w:pPr>
            <w:pStyle w:val="TOC3"/>
            <w:tabs>
              <w:tab w:val="left" w:pos="1320"/>
              <w:tab w:val="right" w:leader="dot" w:pos="9905"/>
            </w:tabs>
            <w:rPr>
              <w:noProof/>
              <w:lang w:eastAsia="en-GB"/>
            </w:rPr>
          </w:pPr>
          <w:hyperlink w:anchor="_Toc3538089" w:history="1">
            <w:r w:rsidR="009C1853" w:rsidRPr="009C1853">
              <w:rPr>
                <w:rStyle w:val="Hyperlink"/>
                <w:noProof/>
              </w:rPr>
              <w:t>3.3.4</w:t>
            </w:r>
            <w:r w:rsidR="009C1853" w:rsidRPr="009C1853">
              <w:rPr>
                <w:noProof/>
                <w:lang w:eastAsia="en-GB"/>
              </w:rPr>
              <w:tab/>
            </w:r>
            <w:r w:rsidR="009C1853" w:rsidRPr="009C1853">
              <w:rPr>
                <w:rStyle w:val="Hyperlink"/>
                <w:noProof/>
              </w:rPr>
              <w:t>Other Evidence</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_Toc3538089 \h </w:instrText>
            </w:r>
            <w:r w:rsidR="009C1853" w:rsidRPr="009C1853">
              <w:rPr>
                <w:noProof/>
                <w:webHidden/>
              </w:rPr>
            </w:r>
            <w:r w:rsidR="009C1853" w:rsidRPr="009C1853">
              <w:rPr>
                <w:noProof/>
                <w:webHidden/>
              </w:rPr>
              <w:fldChar w:fldCharType="separate"/>
            </w:r>
            <w:r w:rsidR="009C1853" w:rsidRPr="009C1853">
              <w:rPr>
                <w:noProof/>
                <w:webHidden/>
              </w:rPr>
              <w:t>51</w:t>
            </w:r>
            <w:r w:rsidR="009C1853" w:rsidRPr="009C1853">
              <w:rPr>
                <w:noProof/>
                <w:webHidden/>
              </w:rPr>
              <w:fldChar w:fldCharType="end"/>
            </w:r>
          </w:hyperlink>
        </w:p>
        <w:p w14:paraId="79F58A16" w14:textId="77777777" w:rsidR="009C1853" w:rsidRPr="009C1853" w:rsidRDefault="00FF643F">
          <w:pPr>
            <w:pStyle w:val="TOC3"/>
            <w:tabs>
              <w:tab w:val="left" w:pos="1320"/>
              <w:tab w:val="right" w:leader="dot" w:pos="9905"/>
            </w:tabs>
            <w:rPr>
              <w:noProof/>
              <w:lang w:eastAsia="en-GB"/>
            </w:rPr>
          </w:pPr>
          <w:hyperlink w:anchor="_Toc3538090" w:history="1">
            <w:r w:rsidR="009C1853" w:rsidRPr="009C1853">
              <w:rPr>
                <w:rStyle w:val="Hyperlink"/>
                <w:noProof/>
              </w:rPr>
              <w:t>3.3.5</w:t>
            </w:r>
            <w:r w:rsidR="009C1853" w:rsidRPr="009C1853">
              <w:rPr>
                <w:noProof/>
                <w:lang w:eastAsia="en-GB"/>
              </w:rPr>
              <w:tab/>
            </w:r>
            <w:r w:rsidR="009C1853" w:rsidRPr="009C1853">
              <w:rPr>
                <w:rStyle w:val="Hyperlink"/>
                <w:noProof/>
                <w:highlight w:val="white"/>
              </w:rPr>
              <w:t>Psychological Approach or Theory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_Toc3538090 \h </w:instrText>
            </w:r>
            <w:r w:rsidR="009C1853" w:rsidRPr="009C1853">
              <w:rPr>
                <w:noProof/>
                <w:webHidden/>
              </w:rPr>
            </w:r>
            <w:r w:rsidR="009C1853" w:rsidRPr="009C1853">
              <w:rPr>
                <w:noProof/>
                <w:webHidden/>
              </w:rPr>
              <w:fldChar w:fldCharType="separate"/>
            </w:r>
            <w:r w:rsidR="009C1853" w:rsidRPr="009C1853">
              <w:rPr>
                <w:noProof/>
                <w:webHidden/>
              </w:rPr>
              <w:t>52</w:t>
            </w:r>
            <w:r w:rsidR="009C1853" w:rsidRPr="009C1853">
              <w:rPr>
                <w:noProof/>
                <w:webHidden/>
              </w:rPr>
              <w:fldChar w:fldCharType="end"/>
            </w:r>
          </w:hyperlink>
        </w:p>
        <w:p w14:paraId="5BBF7024" w14:textId="77777777" w:rsidR="009C1853" w:rsidRPr="009C1853" w:rsidRDefault="00FF643F">
          <w:pPr>
            <w:pStyle w:val="TOC2"/>
            <w:tabs>
              <w:tab w:val="left" w:pos="880"/>
              <w:tab w:val="right" w:leader="dot" w:pos="9905"/>
            </w:tabs>
            <w:rPr>
              <w:noProof/>
              <w:lang w:eastAsia="en-GB"/>
            </w:rPr>
          </w:pPr>
          <w:hyperlink w:anchor="_Toc3538091" w:history="1">
            <w:r w:rsidR="009C1853" w:rsidRPr="009C1853">
              <w:rPr>
                <w:rStyle w:val="Hyperlink"/>
                <w:noProof/>
              </w:rPr>
              <w:t>3.4</w:t>
            </w:r>
            <w:r w:rsidR="009C1853" w:rsidRPr="009C1853">
              <w:rPr>
                <w:noProof/>
                <w:lang w:eastAsia="en-GB"/>
              </w:rPr>
              <w:tab/>
            </w:r>
            <w:r w:rsidR="009C1853" w:rsidRPr="009C1853">
              <w:rPr>
                <w:rStyle w:val="Hyperlink"/>
                <w:noProof/>
              </w:rPr>
              <w:t>Discussion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_Toc3538091 \h </w:instrText>
            </w:r>
            <w:r w:rsidR="009C1853" w:rsidRPr="009C1853">
              <w:rPr>
                <w:noProof/>
                <w:webHidden/>
              </w:rPr>
            </w:r>
            <w:r w:rsidR="009C1853" w:rsidRPr="009C1853">
              <w:rPr>
                <w:noProof/>
                <w:webHidden/>
              </w:rPr>
              <w:fldChar w:fldCharType="separate"/>
            </w:r>
            <w:r w:rsidR="009C1853" w:rsidRPr="009C1853">
              <w:rPr>
                <w:noProof/>
                <w:webHidden/>
              </w:rPr>
              <w:t>53</w:t>
            </w:r>
            <w:r w:rsidR="009C1853" w:rsidRPr="009C1853">
              <w:rPr>
                <w:noProof/>
                <w:webHidden/>
              </w:rPr>
              <w:fldChar w:fldCharType="end"/>
            </w:r>
          </w:hyperlink>
        </w:p>
        <w:p w14:paraId="5A3E028C" w14:textId="77777777" w:rsidR="009C1853" w:rsidRPr="009C1853" w:rsidRDefault="00FF643F">
          <w:pPr>
            <w:pStyle w:val="TOC2"/>
            <w:tabs>
              <w:tab w:val="left" w:pos="880"/>
              <w:tab w:val="right" w:leader="dot" w:pos="9905"/>
            </w:tabs>
            <w:rPr>
              <w:noProof/>
              <w:lang w:eastAsia="en-GB"/>
            </w:rPr>
          </w:pPr>
          <w:hyperlink w:anchor="_Toc3538092" w:history="1">
            <w:r w:rsidR="009C1853" w:rsidRPr="009C1853">
              <w:rPr>
                <w:rStyle w:val="Hyperlink"/>
                <w:noProof/>
              </w:rPr>
              <w:t>3.5</w:t>
            </w:r>
            <w:r w:rsidR="009C1853" w:rsidRPr="009C1853">
              <w:rPr>
                <w:noProof/>
                <w:lang w:eastAsia="en-GB"/>
              </w:rPr>
              <w:tab/>
            </w:r>
            <w:r w:rsidR="009C1853" w:rsidRPr="009C1853">
              <w:rPr>
                <w:rStyle w:val="Hyperlink"/>
                <w:noProof/>
              </w:rPr>
              <w:t>Conclusions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_Toc3538092 \h </w:instrText>
            </w:r>
            <w:r w:rsidR="009C1853" w:rsidRPr="009C1853">
              <w:rPr>
                <w:noProof/>
                <w:webHidden/>
              </w:rPr>
            </w:r>
            <w:r w:rsidR="009C1853" w:rsidRPr="009C1853">
              <w:rPr>
                <w:noProof/>
                <w:webHidden/>
              </w:rPr>
              <w:fldChar w:fldCharType="separate"/>
            </w:r>
            <w:r w:rsidR="009C1853" w:rsidRPr="009C1853">
              <w:rPr>
                <w:noProof/>
                <w:webHidden/>
              </w:rPr>
              <w:t>55</w:t>
            </w:r>
            <w:r w:rsidR="009C1853" w:rsidRPr="009C1853">
              <w:rPr>
                <w:noProof/>
                <w:webHidden/>
              </w:rPr>
              <w:fldChar w:fldCharType="end"/>
            </w:r>
          </w:hyperlink>
        </w:p>
        <w:p w14:paraId="17F49D2A" w14:textId="77777777" w:rsidR="009C1853" w:rsidRPr="009C1853" w:rsidRDefault="00FF643F">
          <w:pPr>
            <w:pStyle w:val="TOC1"/>
            <w:tabs>
              <w:tab w:val="left" w:pos="440"/>
            </w:tabs>
            <w:rPr>
              <w:rFonts w:asciiTheme="minorHAnsi" w:hAnsiTheme="minorHAnsi"/>
              <w:shd w:val="clear" w:color="auto" w:fill="auto"/>
              <w:lang w:eastAsia="en-GB"/>
            </w:rPr>
          </w:pPr>
          <w:hyperlink w:anchor="_Toc3538093" w:history="1">
            <w:r w:rsidR="009C1853" w:rsidRPr="009C1853">
              <w:rPr>
                <w:rStyle w:val="Hyperlink"/>
                <w:rFonts w:asciiTheme="minorHAnsi" w:hAnsiTheme="minorHAnsi"/>
              </w:rPr>
              <w:t>4</w:t>
            </w:r>
            <w:r w:rsidR="009C1853" w:rsidRPr="009C1853">
              <w:rPr>
                <w:rFonts w:asciiTheme="minorHAnsi" w:hAnsiTheme="minorHAnsi"/>
                <w:shd w:val="clear" w:color="auto" w:fill="auto"/>
                <w:lang w:eastAsia="en-GB"/>
              </w:rPr>
              <w:tab/>
            </w:r>
            <w:r w:rsidR="009C1853" w:rsidRPr="009C1853">
              <w:rPr>
                <w:rStyle w:val="Hyperlink"/>
                <w:rFonts w:asciiTheme="minorHAnsi" w:hAnsiTheme="minorHAnsi"/>
              </w:rPr>
              <w:t>NHS Service Provision Panorama Part 3 (Meta-Analysis of NHS e</w:t>
            </w:r>
            <w:r w:rsidR="009C1853" w:rsidRPr="009C1853">
              <w:rPr>
                <w:rStyle w:val="Hyperlink"/>
                <w:rFonts w:asciiTheme="minorHAnsi" w:hAnsiTheme="minorHAnsi"/>
              </w:rPr>
              <w:noBreakHyphen/>
              <w:t>therapies)</w:t>
            </w:r>
            <w:r w:rsidR="009C1853" w:rsidRPr="009C1853">
              <w:rPr>
                <w:rFonts w:asciiTheme="minorHAnsi" w:hAnsiTheme="minorHAnsi"/>
                <w:webHidden/>
              </w:rPr>
              <w:tab/>
            </w:r>
            <w:r w:rsidR="009C1853" w:rsidRPr="009C1853">
              <w:rPr>
                <w:rFonts w:asciiTheme="minorHAnsi" w:hAnsiTheme="minorHAnsi"/>
                <w:webHidden/>
              </w:rPr>
              <w:fldChar w:fldCharType="begin"/>
            </w:r>
            <w:r w:rsidR="009C1853" w:rsidRPr="009C1853">
              <w:rPr>
                <w:rFonts w:asciiTheme="minorHAnsi" w:hAnsiTheme="minorHAnsi"/>
                <w:webHidden/>
              </w:rPr>
              <w:instrText xml:space="preserve"> PAGEREF _Toc3538093 \h </w:instrText>
            </w:r>
            <w:r w:rsidR="009C1853" w:rsidRPr="009C1853">
              <w:rPr>
                <w:rFonts w:asciiTheme="minorHAnsi" w:hAnsiTheme="minorHAnsi"/>
                <w:webHidden/>
              </w:rPr>
            </w:r>
            <w:r w:rsidR="009C1853" w:rsidRPr="009C1853">
              <w:rPr>
                <w:rFonts w:asciiTheme="minorHAnsi" w:hAnsiTheme="minorHAnsi"/>
                <w:webHidden/>
              </w:rPr>
              <w:fldChar w:fldCharType="separate"/>
            </w:r>
            <w:r w:rsidR="009C1853" w:rsidRPr="009C1853">
              <w:rPr>
                <w:rFonts w:asciiTheme="minorHAnsi" w:hAnsiTheme="minorHAnsi"/>
                <w:webHidden/>
              </w:rPr>
              <w:t>56</w:t>
            </w:r>
            <w:r w:rsidR="009C1853" w:rsidRPr="009C1853">
              <w:rPr>
                <w:rFonts w:asciiTheme="minorHAnsi" w:hAnsiTheme="minorHAnsi"/>
                <w:webHidden/>
              </w:rPr>
              <w:fldChar w:fldCharType="end"/>
            </w:r>
          </w:hyperlink>
        </w:p>
        <w:p w14:paraId="1E3E01BE" w14:textId="77777777" w:rsidR="009C1853" w:rsidRPr="009C1853" w:rsidRDefault="00FF643F">
          <w:pPr>
            <w:pStyle w:val="TOC2"/>
            <w:tabs>
              <w:tab w:val="left" w:pos="880"/>
              <w:tab w:val="right" w:leader="dot" w:pos="9905"/>
            </w:tabs>
            <w:rPr>
              <w:noProof/>
              <w:lang w:eastAsia="en-GB"/>
            </w:rPr>
          </w:pPr>
          <w:hyperlink w:anchor="_Toc3538094" w:history="1">
            <w:r w:rsidR="009C1853" w:rsidRPr="009C1853">
              <w:rPr>
                <w:rStyle w:val="Hyperlink"/>
                <w:noProof/>
              </w:rPr>
              <w:t>4.1</w:t>
            </w:r>
            <w:r w:rsidR="009C1853" w:rsidRPr="009C1853">
              <w:rPr>
                <w:noProof/>
                <w:lang w:eastAsia="en-GB"/>
              </w:rPr>
              <w:tab/>
            </w:r>
            <w:r w:rsidR="009C1853" w:rsidRPr="009C1853">
              <w:rPr>
                <w:rStyle w:val="Hyperlink"/>
                <w:noProof/>
              </w:rPr>
              <w:t>Introduction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_Toc3538094 \h </w:instrText>
            </w:r>
            <w:r w:rsidR="009C1853" w:rsidRPr="009C1853">
              <w:rPr>
                <w:noProof/>
                <w:webHidden/>
              </w:rPr>
            </w:r>
            <w:r w:rsidR="009C1853" w:rsidRPr="009C1853">
              <w:rPr>
                <w:noProof/>
                <w:webHidden/>
              </w:rPr>
              <w:fldChar w:fldCharType="separate"/>
            </w:r>
            <w:r w:rsidR="009C1853" w:rsidRPr="009C1853">
              <w:rPr>
                <w:noProof/>
                <w:webHidden/>
              </w:rPr>
              <w:t>56</w:t>
            </w:r>
            <w:r w:rsidR="009C1853" w:rsidRPr="009C1853">
              <w:rPr>
                <w:noProof/>
                <w:webHidden/>
              </w:rPr>
              <w:fldChar w:fldCharType="end"/>
            </w:r>
          </w:hyperlink>
        </w:p>
        <w:p w14:paraId="4BD59350" w14:textId="77777777" w:rsidR="009C1853" w:rsidRPr="009C1853" w:rsidRDefault="00FF643F">
          <w:pPr>
            <w:pStyle w:val="TOC2"/>
            <w:tabs>
              <w:tab w:val="left" w:pos="880"/>
              <w:tab w:val="right" w:leader="dot" w:pos="9905"/>
            </w:tabs>
            <w:rPr>
              <w:noProof/>
              <w:lang w:eastAsia="en-GB"/>
            </w:rPr>
          </w:pPr>
          <w:hyperlink w:anchor="_Toc3538095" w:history="1">
            <w:r w:rsidR="009C1853" w:rsidRPr="009C1853">
              <w:rPr>
                <w:rStyle w:val="Hyperlink"/>
                <w:noProof/>
              </w:rPr>
              <w:t>4.2</w:t>
            </w:r>
            <w:r w:rsidR="009C1853" w:rsidRPr="009C1853">
              <w:rPr>
                <w:noProof/>
                <w:lang w:eastAsia="en-GB"/>
              </w:rPr>
              <w:tab/>
            </w:r>
            <w:r w:rsidR="009C1853" w:rsidRPr="009C1853">
              <w:rPr>
                <w:rStyle w:val="Hyperlink"/>
                <w:noProof/>
              </w:rPr>
              <w:t>Methods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_Toc3538095 \h </w:instrText>
            </w:r>
            <w:r w:rsidR="009C1853" w:rsidRPr="009C1853">
              <w:rPr>
                <w:noProof/>
                <w:webHidden/>
              </w:rPr>
            </w:r>
            <w:r w:rsidR="009C1853" w:rsidRPr="009C1853">
              <w:rPr>
                <w:noProof/>
                <w:webHidden/>
              </w:rPr>
              <w:fldChar w:fldCharType="separate"/>
            </w:r>
            <w:r w:rsidR="009C1853" w:rsidRPr="009C1853">
              <w:rPr>
                <w:noProof/>
                <w:webHidden/>
              </w:rPr>
              <w:t>58</w:t>
            </w:r>
            <w:r w:rsidR="009C1853" w:rsidRPr="009C1853">
              <w:rPr>
                <w:noProof/>
                <w:webHidden/>
              </w:rPr>
              <w:fldChar w:fldCharType="end"/>
            </w:r>
          </w:hyperlink>
        </w:p>
        <w:p w14:paraId="5B81543B" w14:textId="77777777" w:rsidR="009C1853" w:rsidRPr="009C1853" w:rsidRDefault="00FF643F">
          <w:pPr>
            <w:pStyle w:val="TOC3"/>
            <w:tabs>
              <w:tab w:val="left" w:pos="1320"/>
              <w:tab w:val="right" w:leader="dot" w:pos="9905"/>
            </w:tabs>
            <w:rPr>
              <w:noProof/>
              <w:lang w:eastAsia="en-GB"/>
            </w:rPr>
          </w:pPr>
          <w:hyperlink w:anchor="_Toc3538096" w:history="1">
            <w:r w:rsidR="009C1853" w:rsidRPr="009C1853">
              <w:rPr>
                <w:rStyle w:val="Hyperlink"/>
                <w:noProof/>
              </w:rPr>
              <w:t>4.2.1</w:t>
            </w:r>
            <w:r w:rsidR="009C1853" w:rsidRPr="009C1853">
              <w:rPr>
                <w:noProof/>
                <w:lang w:eastAsia="en-GB"/>
              </w:rPr>
              <w:tab/>
            </w:r>
            <w:r w:rsidR="009C1853" w:rsidRPr="009C1853">
              <w:rPr>
                <w:rStyle w:val="Hyperlink"/>
                <w:noProof/>
              </w:rPr>
              <w:t>Search Strategy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_Toc3538096 \h </w:instrText>
            </w:r>
            <w:r w:rsidR="009C1853" w:rsidRPr="009C1853">
              <w:rPr>
                <w:noProof/>
                <w:webHidden/>
              </w:rPr>
            </w:r>
            <w:r w:rsidR="009C1853" w:rsidRPr="009C1853">
              <w:rPr>
                <w:noProof/>
                <w:webHidden/>
              </w:rPr>
              <w:fldChar w:fldCharType="separate"/>
            </w:r>
            <w:r w:rsidR="009C1853" w:rsidRPr="009C1853">
              <w:rPr>
                <w:noProof/>
                <w:webHidden/>
              </w:rPr>
              <w:t>59</w:t>
            </w:r>
            <w:r w:rsidR="009C1853" w:rsidRPr="009C1853">
              <w:rPr>
                <w:noProof/>
                <w:webHidden/>
              </w:rPr>
              <w:fldChar w:fldCharType="end"/>
            </w:r>
          </w:hyperlink>
        </w:p>
        <w:p w14:paraId="0B89320E" w14:textId="77777777" w:rsidR="009C1853" w:rsidRPr="009C1853" w:rsidRDefault="00FF643F">
          <w:pPr>
            <w:pStyle w:val="TOC3"/>
            <w:tabs>
              <w:tab w:val="left" w:pos="1320"/>
              <w:tab w:val="right" w:leader="dot" w:pos="9905"/>
            </w:tabs>
            <w:rPr>
              <w:noProof/>
              <w:lang w:eastAsia="en-GB"/>
            </w:rPr>
          </w:pPr>
          <w:hyperlink w:anchor="_Toc3538097" w:history="1">
            <w:r w:rsidR="009C1853" w:rsidRPr="009C1853">
              <w:rPr>
                <w:rStyle w:val="Hyperlink"/>
                <w:noProof/>
              </w:rPr>
              <w:t>4.2.2</w:t>
            </w:r>
            <w:r w:rsidR="009C1853" w:rsidRPr="009C1853">
              <w:rPr>
                <w:noProof/>
                <w:lang w:eastAsia="en-GB"/>
              </w:rPr>
              <w:tab/>
            </w:r>
            <w:r w:rsidR="009C1853" w:rsidRPr="009C1853">
              <w:rPr>
                <w:rStyle w:val="Hyperlink"/>
                <w:noProof/>
              </w:rPr>
              <w:t>Eligibility Criteria</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_Toc3538097 \h </w:instrText>
            </w:r>
            <w:r w:rsidR="009C1853" w:rsidRPr="009C1853">
              <w:rPr>
                <w:noProof/>
                <w:webHidden/>
              </w:rPr>
            </w:r>
            <w:r w:rsidR="009C1853" w:rsidRPr="009C1853">
              <w:rPr>
                <w:noProof/>
                <w:webHidden/>
              </w:rPr>
              <w:fldChar w:fldCharType="separate"/>
            </w:r>
            <w:r w:rsidR="009C1853" w:rsidRPr="009C1853">
              <w:rPr>
                <w:noProof/>
                <w:webHidden/>
              </w:rPr>
              <w:t>59</w:t>
            </w:r>
            <w:r w:rsidR="009C1853" w:rsidRPr="009C1853">
              <w:rPr>
                <w:noProof/>
                <w:webHidden/>
              </w:rPr>
              <w:fldChar w:fldCharType="end"/>
            </w:r>
          </w:hyperlink>
        </w:p>
        <w:p w14:paraId="2951F5AA" w14:textId="77777777" w:rsidR="009C1853" w:rsidRPr="009C1853" w:rsidRDefault="00FF643F">
          <w:pPr>
            <w:pStyle w:val="TOC3"/>
            <w:tabs>
              <w:tab w:val="left" w:pos="1320"/>
              <w:tab w:val="right" w:leader="dot" w:pos="9905"/>
            </w:tabs>
            <w:rPr>
              <w:noProof/>
              <w:lang w:eastAsia="en-GB"/>
            </w:rPr>
          </w:pPr>
          <w:hyperlink w:anchor="_Toc3538098" w:history="1">
            <w:r w:rsidR="009C1853" w:rsidRPr="009C1853">
              <w:rPr>
                <w:rStyle w:val="Hyperlink"/>
                <w:noProof/>
              </w:rPr>
              <w:t>4.2.3</w:t>
            </w:r>
            <w:r w:rsidR="009C1853" w:rsidRPr="009C1853">
              <w:rPr>
                <w:noProof/>
                <w:lang w:eastAsia="en-GB"/>
              </w:rPr>
              <w:tab/>
            </w:r>
            <w:r w:rsidR="009C1853" w:rsidRPr="009C1853">
              <w:rPr>
                <w:rStyle w:val="Hyperlink"/>
                <w:noProof/>
              </w:rPr>
              <w:t>Outcome Measures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_Toc3538098 \h </w:instrText>
            </w:r>
            <w:r w:rsidR="009C1853" w:rsidRPr="009C1853">
              <w:rPr>
                <w:noProof/>
                <w:webHidden/>
              </w:rPr>
            </w:r>
            <w:r w:rsidR="009C1853" w:rsidRPr="009C1853">
              <w:rPr>
                <w:noProof/>
                <w:webHidden/>
              </w:rPr>
              <w:fldChar w:fldCharType="separate"/>
            </w:r>
            <w:r w:rsidR="009C1853" w:rsidRPr="009C1853">
              <w:rPr>
                <w:noProof/>
                <w:webHidden/>
              </w:rPr>
              <w:t>59</w:t>
            </w:r>
            <w:r w:rsidR="009C1853" w:rsidRPr="009C1853">
              <w:rPr>
                <w:noProof/>
                <w:webHidden/>
              </w:rPr>
              <w:fldChar w:fldCharType="end"/>
            </w:r>
          </w:hyperlink>
        </w:p>
        <w:p w14:paraId="484A4589" w14:textId="77777777" w:rsidR="009C1853" w:rsidRPr="009C1853" w:rsidRDefault="00FF643F">
          <w:pPr>
            <w:pStyle w:val="TOC3"/>
            <w:tabs>
              <w:tab w:val="left" w:pos="1320"/>
              <w:tab w:val="right" w:leader="dot" w:pos="9905"/>
            </w:tabs>
            <w:rPr>
              <w:noProof/>
              <w:lang w:eastAsia="en-GB"/>
            </w:rPr>
          </w:pPr>
          <w:hyperlink w:anchor="_Toc3538099" w:history="1">
            <w:r w:rsidR="009C1853" w:rsidRPr="009C1853">
              <w:rPr>
                <w:rStyle w:val="Hyperlink"/>
                <w:noProof/>
              </w:rPr>
              <w:t>4.2.4</w:t>
            </w:r>
            <w:r w:rsidR="009C1853" w:rsidRPr="009C1853">
              <w:rPr>
                <w:noProof/>
                <w:lang w:eastAsia="en-GB"/>
              </w:rPr>
              <w:tab/>
            </w:r>
            <w:r w:rsidR="009C1853" w:rsidRPr="009C1853">
              <w:rPr>
                <w:rStyle w:val="Hyperlink"/>
                <w:noProof/>
              </w:rPr>
              <w:t>Data Extraction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_Toc3538099 \h </w:instrText>
            </w:r>
            <w:r w:rsidR="009C1853" w:rsidRPr="009C1853">
              <w:rPr>
                <w:noProof/>
                <w:webHidden/>
              </w:rPr>
            </w:r>
            <w:r w:rsidR="009C1853" w:rsidRPr="009C1853">
              <w:rPr>
                <w:noProof/>
                <w:webHidden/>
              </w:rPr>
              <w:fldChar w:fldCharType="separate"/>
            </w:r>
            <w:r w:rsidR="009C1853" w:rsidRPr="009C1853">
              <w:rPr>
                <w:noProof/>
                <w:webHidden/>
              </w:rPr>
              <w:t>59</w:t>
            </w:r>
            <w:r w:rsidR="009C1853" w:rsidRPr="009C1853">
              <w:rPr>
                <w:noProof/>
                <w:webHidden/>
              </w:rPr>
              <w:fldChar w:fldCharType="end"/>
            </w:r>
          </w:hyperlink>
        </w:p>
        <w:p w14:paraId="645A7D3F" w14:textId="77777777" w:rsidR="009C1853" w:rsidRPr="009C1853" w:rsidRDefault="00FF643F">
          <w:pPr>
            <w:pStyle w:val="TOC3"/>
            <w:tabs>
              <w:tab w:val="left" w:pos="1320"/>
              <w:tab w:val="right" w:leader="dot" w:pos="9905"/>
            </w:tabs>
            <w:rPr>
              <w:noProof/>
              <w:lang w:eastAsia="en-GB"/>
            </w:rPr>
          </w:pPr>
          <w:hyperlink w:anchor="_Toc3538100" w:history="1">
            <w:r w:rsidR="009C1853" w:rsidRPr="009C1853">
              <w:rPr>
                <w:rStyle w:val="Hyperlink"/>
                <w:noProof/>
              </w:rPr>
              <w:t>4.2.5</w:t>
            </w:r>
            <w:r w:rsidR="009C1853" w:rsidRPr="009C1853">
              <w:rPr>
                <w:noProof/>
                <w:lang w:eastAsia="en-GB"/>
              </w:rPr>
              <w:tab/>
            </w:r>
            <w:r w:rsidR="009C1853" w:rsidRPr="009C1853">
              <w:rPr>
                <w:rStyle w:val="Hyperlink"/>
                <w:noProof/>
              </w:rPr>
              <w:t>Within-Study Quality and Risk of Bias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_Toc3538100 \h </w:instrText>
            </w:r>
            <w:r w:rsidR="009C1853" w:rsidRPr="009C1853">
              <w:rPr>
                <w:noProof/>
                <w:webHidden/>
              </w:rPr>
            </w:r>
            <w:r w:rsidR="009C1853" w:rsidRPr="009C1853">
              <w:rPr>
                <w:noProof/>
                <w:webHidden/>
              </w:rPr>
              <w:fldChar w:fldCharType="separate"/>
            </w:r>
            <w:r w:rsidR="009C1853" w:rsidRPr="009C1853">
              <w:rPr>
                <w:noProof/>
                <w:webHidden/>
              </w:rPr>
              <w:t>60</w:t>
            </w:r>
            <w:r w:rsidR="009C1853" w:rsidRPr="009C1853">
              <w:rPr>
                <w:noProof/>
                <w:webHidden/>
              </w:rPr>
              <w:fldChar w:fldCharType="end"/>
            </w:r>
          </w:hyperlink>
        </w:p>
        <w:p w14:paraId="7E83C9FA" w14:textId="77777777" w:rsidR="009C1853" w:rsidRPr="009C1853" w:rsidRDefault="00FF643F">
          <w:pPr>
            <w:pStyle w:val="TOC3"/>
            <w:tabs>
              <w:tab w:val="left" w:pos="1320"/>
              <w:tab w:val="right" w:leader="dot" w:pos="9905"/>
            </w:tabs>
            <w:rPr>
              <w:noProof/>
              <w:lang w:eastAsia="en-GB"/>
            </w:rPr>
          </w:pPr>
          <w:hyperlink w:anchor="_Toc3538101" w:history="1">
            <w:r w:rsidR="009C1853" w:rsidRPr="009C1853">
              <w:rPr>
                <w:rStyle w:val="Hyperlink"/>
                <w:noProof/>
              </w:rPr>
              <w:t>4.2.6</w:t>
            </w:r>
            <w:r w:rsidR="009C1853" w:rsidRPr="009C1853">
              <w:rPr>
                <w:noProof/>
                <w:lang w:eastAsia="en-GB"/>
              </w:rPr>
              <w:tab/>
            </w:r>
            <w:r w:rsidR="009C1853" w:rsidRPr="009C1853">
              <w:rPr>
                <w:rStyle w:val="Hyperlink"/>
                <w:noProof/>
              </w:rPr>
              <w:t>Between-Group Effect Sizes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_Toc3538101 \h </w:instrText>
            </w:r>
            <w:r w:rsidR="009C1853" w:rsidRPr="009C1853">
              <w:rPr>
                <w:noProof/>
                <w:webHidden/>
              </w:rPr>
            </w:r>
            <w:r w:rsidR="009C1853" w:rsidRPr="009C1853">
              <w:rPr>
                <w:noProof/>
                <w:webHidden/>
              </w:rPr>
              <w:fldChar w:fldCharType="separate"/>
            </w:r>
            <w:r w:rsidR="009C1853" w:rsidRPr="009C1853">
              <w:rPr>
                <w:noProof/>
                <w:webHidden/>
              </w:rPr>
              <w:t>62</w:t>
            </w:r>
            <w:r w:rsidR="009C1853" w:rsidRPr="009C1853">
              <w:rPr>
                <w:noProof/>
                <w:webHidden/>
              </w:rPr>
              <w:fldChar w:fldCharType="end"/>
            </w:r>
          </w:hyperlink>
        </w:p>
        <w:p w14:paraId="20E871D6" w14:textId="77777777" w:rsidR="009C1853" w:rsidRPr="009C1853" w:rsidRDefault="00FF643F">
          <w:pPr>
            <w:pStyle w:val="TOC3"/>
            <w:tabs>
              <w:tab w:val="left" w:pos="1320"/>
              <w:tab w:val="right" w:leader="dot" w:pos="9905"/>
            </w:tabs>
            <w:rPr>
              <w:noProof/>
              <w:lang w:eastAsia="en-GB"/>
            </w:rPr>
          </w:pPr>
          <w:hyperlink w:anchor="_Toc3538102" w:history="1">
            <w:r w:rsidR="009C1853" w:rsidRPr="009C1853">
              <w:rPr>
                <w:rStyle w:val="Hyperlink"/>
                <w:noProof/>
              </w:rPr>
              <w:t>4.2.7</w:t>
            </w:r>
            <w:r w:rsidR="009C1853" w:rsidRPr="009C1853">
              <w:rPr>
                <w:noProof/>
                <w:lang w:eastAsia="en-GB"/>
              </w:rPr>
              <w:tab/>
            </w:r>
            <w:r w:rsidR="009C1853" w:rsidRPr="009C1853">
              <w:rPr>
                <w:rStyle w:val="Hyperlink"/>
                <w:noProof/>
              </w:rPr>
              <w:t>Meta-Analysis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_Toc3538102 \h </w:instrText>
            </w:r>
            <w:r w:rsidR="009C1853" w:rsidRPr="009C1853">
              <w:rPr>
                <w:noProof/>
                <w:webHidden/>
              </w:rPr>
            </w:r>
            <w:r w:rsidR="009C1853" w:rsidRPr="009C1853">
              <w:rPr>
                <w:noProof/>
                <w:webHidden/>
              </w:rPr>
              <w:fldChar w:fldCharType="separate"/>
            </w:r>
            <w:r w:rsidR="009C1853" w:rsidRPr="009C1853">
              <w:rPr>
                <w:noProof/>
                <w:webHidden/>
              </w:rPr>
              <w:t>62</w:t>
            </w:r>
            <w:r w:rsidR="009C1853" w:rsidRPr="009C1853">
              <w:rPr>
                <w:noProof/>
                <w:webHidden/>
              </w:rPr>
              <w:fldChar w:fldCharType="end"/>
            </w:r>
          </w:hyperlink>
        </w:p>
        <w:p w14:paraId="1063D585" w14:textId="77777777" w:rsidR="009C1853" w:rsidRPr="009C1853" w:rsidRDefault="00FF643F">
          <w:pPr>
            <w:pStyle w:val="TOC3"/>
            <w:tabs>
              <w:tab w:val="left" w:pos="1320"/>
              <w:tab w:val="right" w:leader="dot" w:pos="9905"/>
            </w:tabs>
            <w:rPr>
              <w:noProof/>
              <w:lang w:eastAsia="en-GB"/>
            </w:rPr>
          </w:pPr>
          <w:hyperlink w:anchor="_Toc3538103" w:history="1">
            <w:r w:rsidR="009C1853" w:rsidRPr="009C1853">
              <w:rPr>
                <w:rStyle w:val="Hyperlink"/>
                <w:noProof/>
              </w:rPr>
              <w:t>4.2.8</w:t>
            </w:r>
            <w:r w:rsidR="009C1853" w:rsidRPr="009C1853">
              <w:rPr>
                <w:noProof/>
                <w:lang w:eastAsia="en-GB"/>
              </w:rPr>
              <w:tab/>
            </w:r>
            <w:r w:rsidR="009C1853" w:rsidRPr="009C1853">
              <w:rPr>
                <w:rStyle w:val="Hyperlink"/>
                <w:noProof/>
              </w:rPr>
              <w:t>Analysis of Heterogeneity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_Toc3538103 \h </w:instrText>
            </w:r>
            <w:r w:rsidR="009C1853" w:rsidRPr="009C1853">
              <w:rPr>
                <w:noProof/>
                <w:webHidden/>
              </w:rPr>
            </w:r>
            <w:r w:rsidR="009C1853" w:rsidRPr="009C1853">
              <w:rPr>
                <w:noProof/>
                <w:webHidden/>
              </w:rPr>
              <w:fldChar w:fldCharType="separate"/>
            </w:r>
            <w:r w:rsidR="009C1853" w:rsidRPr="009C1853">
              <w:rPr>
                <w:noProof/>
                <w:webHidden/>
              </w:rPr>
              <w:t>63</w:t>
            </w:r>
            <w:r w:rsidR="009C1853" w:rsidRPr="009C1853">
              <w:rPr>
                <w:noProof/>
                <w:webHidden/>
              </w:rPr>
              <w:fldChar w:fldCharType="end"/>
            </w:r>
          </w:hyperlink>
        </w:p>
        <w:p w14:paraId="6102FA53" w14:textId="77777777" w:rsidR="009C1853" w:rsidRPr="009C1853" w:rsidRDefault="00FF643F">
          <w:pPr>
            <w:pStyle w:val="TOC3"/>
            <w:tabs>
              <w:tab w:val="left" w:pos="1320"/>
              <w:tab w:val="right" w:leader="dot" w:pos="9905"/>
            </w:tabs>
            <w:rPr>
              <w:noProof/>
              <w:lang w:eastAsia="en-GB"/>
            </w:rPr>
          </w:pPr>
          <w:hyperlink w:anchor="_Toc3538104" w:history="1">
            <w:r w:rsidR="009C1853" w:rsidRPr="009C1853">
              <w:rPr>
                <w:rStyle w:val="Hyperlink"/>
                <w:rFonts w:eastAsia="Times New Roman"/>
                <w:noProof/>
              </w:rPr>
              <w:t>4.2.9</w:t>
            </w:r>
            <w:r w:rsidR="009C1853" w:rsidRPr="009C1853">
              <w:rPr>
                <w:noProof/>
                <w:lang w:eastAsia="en-GB"/>
              </w:rPr>
              <w:tab/>
            </w:r>
            <w:r w:rsidR="009C1853" w:rsidRPr="009C1853">
              <w:rPr>
                <w:rStyle w:val="Hyperlink"/>
                <w:noProof/>
              </w:rPr>
              <w:t>Publication Bias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_Toc3538104 \h </w:instrText>
            </w:r>
            <w:r w:rsidR="009C1853" w:rsidRPr="009C1853">
              <w:rPr>
                <w:noProof/>
                <w:webHidden/>
              </w:rPr>
            </w:r>
            <w:r w:rsidR="009C1853" w:rsidRPr="009C1853">
              <w:rPr>
                <w:noProof/>
                <w:webHidden/>
              </w:rPr>
              <w:fldChar w:fldCharType="separate"/>
            </w:r>
            <w:r w:rsidR="009C1853" w:rsidRPr="009C1853">
              <w:rPr>
                <w:noProof/>
                <w:webHidden/>
              </w:rPr>
              <w:t>63</w:t>
            </w:r>
            <w:r w:rsidR="009C1853" w:rsidRPr="009C1853">
              <w:rPr>
                <w:noProof/>
                <w:webHidden/>
              </w:rPr>
              <w:fldChar w:fldCharType="end"/>
            </w:r>
          </w:hyperlink>
        </w:p>
        <w:p w14:paraId="4A4A2608" w14:textId="77777777" w:rsidR="009C1853" w:rsidRPr="009C1853" w:rsidRDefault="00FF643F">
          <w:pPr>
            <w:pStyle w:val="TOC2"/>
            <w:tabs>
              <w:tab w:val="left" w:pos="880"/>
              <w:tab w:val="right" w:leader="dot" w:pos="9905"/>
            </w:tabs>
            <w:rPr>
              <w:noProof/>
              <w:lang w:eastAsia="en-GB"/>
            </w:rPr>
          </w:pPr>
          <w:hyperlink w:anchor="_Toc3538105" w:history="1">
            <w:r w:rsidR="009C1853" w:rsidRPr="009C1853">
              <w:rPr>
                <w:rStyle w:val="Hyperlink"/>
                <w:noProof/>
              </w:rPr>
              <w:t>4.3</w:t>
            </w:r>
            <w:r w:rsidR="009C1853" w:rsidRPr="009C1853">
              <w:rPr>
                <w:noProof/>
                <w:lang w:eastAsia="en-GB"/>
              </w:rPr>
              <w:tab/>
            </w:r>
            <w:r w:rsidR="009C1853" w:rsidRPr="009C1853">
              <w:rPr>
                <w:rStyle w:val="Hyperlink"/>
                <w:noProof/>
              </w:rPr>
              <w:t>Results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_Toc3538105 \h </w:instrText>
            </w:r>
            <w:r w:rsidR="009C1853" w:rsidRPr="009C1853">
              <w:rPr>
                <w:noProof/>
                <w:webHidden/>
              </w:rPr>
            </w:r>
            <w:r w:rsidR="009C1853" w:rsidRPr="009C1853">
              <w:rPr>
                <w:noProof/>
                <w:webHidden/>
              </w:rPr>
              <w:fldChar w:fldCharType="separate"/>
            </w:r>
            <w:r w:rsidR="009C1853" w:rsidRPr="009C1853">
              <w:rPr>
                <w:noProof/>
                <w:webHidden/>
              </w:rPr>
              <w:t>63</w:t>
            </w:r>
            <w:r w:rsidR="009C1853" w:rsidRPr="009C1853">
              <w:rPr>
                <w:noProof/>
                <w:webHidden/>
              </w:rPr>
              <w:fldChar w:fldCharType="end"/>
            </w:r>
          </w:hyperlink>
        </w:p>
        <w:p w14:paraId="19A1DF9E" w14:textId="77777777" w:rsidR="009C1853" w:rsidRPr="009C1853" w:rsidRDefault="00FF643F">
          <w:pPr>
            <w:pStyle w:val="TOC3"/>
            <w:tabs>
              <w:tab w:val="left" w:pos="1320"/>
              <w:tab w:val="right" w:leader="dot" w:pos="9905"/>
            </w:tabs>
            <w:rPr>
              <w:noProof/>
              <w:lang w:eastAsia="en-GB"/>
            </w:rPr>
          </w:pPr>
          <w:hyperlink w:anchor="_Toc3538106" w:history="1">
            <w:r w:rsidR="009C1853" w:rsidRPr="009C1853">
              <w:rPr>
                <w:rStyle w:val="Hyperlink"/>
                <w:noProof/>
              </w:rPr>
              <w:t>4.3.1</w:t>
            </w:r>
            <w:r w:rsidR="009C1853" w:rsidRPr="009C1853">
              <w:rPr>
                <w:noProof/>
                <w:lang w:eastAsia="en-GB"/>
              </w:rPr>
              <w:tab/>
            </w:r>
            <w:r w:rsidR="009C1853" w:rsidRPr="009C1853">
              <w:rPr>
                <w:rStyle w:val="Hyperlink"/>
                <w:noProof/>
              </w:rPr>
              <w:t>Study Selection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_Toc3538106 \h </w:instrText>
            </w:r>
            <w:r w:rsidR="009C1853" w:rsidRPr="009C1853">
              <w:rPr>
                <w:noProof/>
                <w:webHidden/>
              </w:rPr>
            </w:r>
            <w:r w:rsidR="009C1853" w:rsidRPr="009C1853">
              <w:rPr>
                <w:noProof/>
                <w:webHidden/>
              </w:rPr>
              <w:fldChar w:fldCharType="separate"/>
            </w:r>
            <w:r w:rsidR="009C1853" w:rsidRPr="009C1853">
              <w:rPr>
                <w:noProof/>
                <w:webHidden/>
              </w:rPr>
              <w:t>63</w:t>
            </w:r>
            <w:r w:rsidR="009C1853" w:rsidRPr="009C1853">
              <w:rPr>
                <w:noProof/>
                <w:webHidden/>
              </w:rPr>
              <w:fldChar w:fldCharType="end"/>
            </w:r>
          </w:hyperlink>
        </w:p>
        <w:p w14:paraId="720C7AA6" w14:textId="77777777" w:rsidR="009C1853" w:rsidRPr="009C1853" w:rsidRDefault="00FF643F">
          <w:pPr>
            <w:pStyle w:val="TOC3"/>
            <w:tabs>
              <w:tab w:val="left" w:pos="1320"/>
              <w:tab w:val="right" w:leader="dot" w:pos="9905"/>
            </w:tabs>
            <w:rPr>
              <w:noProof/>
              <w:lang w:eastAsia="en-GB"/>
            </w:rPr>
          </w:pPr>
          <w:hyperlink w:anchor="_Toc3538107" w:history="1">
            <w:r w:rsidR="009C1853" w:rsidRPr="009C1853">
              <w:rPr>
                <w:rStyle w:val="Hyperlink"/>
                <w:noProof/>
              </w:rPr>
              <w:t>4.3.2</w:t>
            </w:r>
            <w:r w:rsidR="009C1853" w:rsidRPr="009C1853">
              <w:rPr>
                <w:noProof/>
                <w:lang w:eastAsia="en-GB"/>
              </w:rPr>
              <w:tab/>
            </w:r>
            <w:r w:rsidR="009C1853" w:rsidRPr="009C1853">
              <w:rPr>
                <w:rStyle w:val="Hyperlink"/>
                <w:noProof/>
              </w:rPr>
              <w:t>Characteristics of Included Studies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_Toc3538107 \h </w:instrText>
            </w:r>
            <w:r w:rsidR="009C1853" w:rsidRPr="009C1853">
              <w:rPr>
                <w:noProof/>
                <w:webHidden/>
              </w:rPr>
            </w:r>
            <w:r w:rsidR="009C1853" w:rsidRPr="009C1853">
              <w:rPr>
                <w:noProof/>
                <w:webHidden/>
              </w:rPr>
              <w:fldChar w:fldCharType="separate"/>
            </w:r>
            <w:r w:rsidR="009C1853" w:rsidRPr="009C1853">
              <w:rPr>
                <w:noProof/>
                <w:webHidden/>
              </w:rPr>
              <w:t>69</w:t>
            </w:r>
            <w:r w:rsidR="009C1853" w:rsidRPr="009C1853">
              <w:rPr>
                <w:noProof/>
                <w:webHidden/>
              </w:rPr>
              <w:fldChar w:fldCharType="end"/>
            </w:r>
          </w:hyperlink>
        </w:p>
        <w:p w14:paraId="63CA32BB" w14:textId="77777777" w:rsidR="009C1853" w:rsidRPr="009C1853" w:rsidRDefault="00FF643F">
          <w:pPr>
            <w:pStyle w:val="TOC3"/>
            <w:tabs>
              <w:tab w:val="left" w:pos="1320"/>
              <w:tab w:val="right" w:leader="dot" w:pos="9905"/>
            </w:tabs>
            <w:rPr>
              <w:noProof/>
              <w:lang w:eastAsia="en-GB"/>
            </w:rPr>
          </w:pPr>
          <w:hyperlink w:anchor="_Toc3538108" w:history="1">
            <w:r w:rsidR="009C1853" w:rsidRPr="009C1853">
              <w:rPr>
                <w:rStyle w:val="Hyperlink"/>
                <w:noProof/>
              </w:rPr>
              <w:t>4.3.3</w:t>
            </w:r>
            <w:r w:rsidR="009C1853" w:rsidRPr="009C1853">
              <w:rPr>
                <w:noProof/>
                <w:lang w:eastAsia="en-GB"/>
              </w:rPr>
              <w:tab/>
            </w:r>
            <w:r w:rsidR="009C1853" w:rsidRPr="009C1853">
              <w:rPr>
                <w:rStyle w:val="Hyperlink"/>
                <w:noProof/>
              </w:rPr>
              <w:t>Dropout Analysis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_Toc3538108 \h </w:instrText>
            </w:r>
            <w:r w:rsidR="009C1853" w:rsidRPr="009C1853">
              <w:rPr>
                <w:noProof/>
                <w:webHidden/>
              </w:rPr>
            </w:r>
            <w:r w:rsidR="009C1853" w:rsidRPr="009C1853">
              <w:rPr>
                <w:noProof/>
                <w:webHidden/>
              </w:rPr>
              <w:fldChar w:fldCharType="separate"/>
            </w:r>
            <w:r w:rsidR="009C1853" w:rsidRPr="009C1853">
              <w:rPr>
                <w:noProof/>
                <w:webHidden/>
              </w:rPr>
              <w:t>69</w:t>
            </w:r>
            <w:r w:rsidR="009C1853" w:rsidRPr="009C1853">
              <w:rPr>
                <w:noProof/>
                <w:webHidden/>
              </w:rPr>
              <w:fldChar w:fldCharType="end"/>
            </w:r>
          </w:hyperlink>
        </w:p>
        <w:p w14:paraId="5F0916A9" w14:textId="77777777" w:rsidR="009C1853" w:rsidRPr="009C1853" w:rsidRDefault="00FF643F">
          <w:pPr>
            <w:pStyle w:val="TOC2"/>
            <w:tabs>
              <w:tab w:val="left" w:pos="880"/>
              <w:tab w:val="right" w:leader="dot" w:pos="9905"/>
            </w:tabs>
            <w:rPr>
              <w:noProof/>
              <w:lang w:eastAsia="en-GB"/>
            </w:rPr>
          </w:pPr>
          <w:hyperlink w:anchor="_Toc3538109" w:history="1">
            <w:r w:rsidR="009C1853" w:rsidRPr="009C1853">
              <w:rPr>
                <w:rStyle w:val="Hyperlink"/>
                <w:noProof/>
              </w:rPr>
              <w:t>4.4</w:t>
            </w:r>
            <w:r w:rsidR="009C1853" w:rsidRPr="009C1853">
              <w:rPr>
                <w:noProof/>
                <w:lang w:eastAsia="en-GB"/>
              </w:rPr>
              <w:tab/>
            </w:r>
            <w:r w:rsidR="009C1853" w:rsidRPr="009C1853">
              <w:rPr>
                <w:rStyle w:val="Hyperlink"/>
                <w:noProof/>
              </w:rPr>
              <w:t>Meta-Analyses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_Toc3538109 \h </w:instrText>
            </w:r>
            <w:r w:rsidR="009C1853" w:rsidRPr="009C1853">
              <w:rPr>
                <w:noProof/>
                <w:webHidden/>
              </w:rPr>
            </w:r>
            <w:r w:rsidR="009C1853" w:rsidRPr="009C1853">
              <w:rPr>
                <w:noProof/>
                <w:webHidden/>
              </w:rPr>
              <w:fldChar w:fldCharType="separate"/>
            </w:r>
            <w:r w:rsidR="009C1853" w:rsidRPr="009C1853">
              <w:rPr>
                <w:noProof/>
                <w:webHidden/>
              </w:rPr>
              <w:t>69</w:t>
            </w:r>
            <w:r w:rsidR="009C1853" w:rsidRPr="009C1853">
              <w:rPr>
                <w:noProof/>
                <w:webHidden/>
              </w:rPr>
              <w:fldChar w:fldCharType="end"/>
            </w:r>
          </w:hyperlink>
        </w:p>
        <w:p w14:paraId="7AB72C5B" w14:textId="77777777" w:rsidR="009C1853" w:rsidRPr="009C1853" w:rsidRDefault="00FF643F">
          <w:pPr>
            <w:pStyle w:val="TOC3"/>
            <w:tabs>
              <w:tab w:val="left" w:pos="1320"/>
              <w:tab w:val="right" w:leader="dot" w:pos="9905"/>
            </w:tabs>
            <w:rPr>
              <w:noProof/>
              <w:lang w:eastAsia="en-GB"/>
            </w:rPr>
          </w:pPr>
          <w:hyperlink w:anchor="_Toc3538110" w:history="1">
            <w:r w:rsidR="009C1853" w:rsidRPr="009C1853">
              <w:rPr>
                <w:rStyle w:val="Hyperlink"/>
                <w:noProof/>
              </w:rPr>
              <w:t>4.4.1</w:t>
            </w:r>
            <w:r w:rsidR="009C1853" w:rsidRPr="009C1853">
              <w:rPr>
                <w:noProof/>
                <w:lang w:eastAsia="en-GB"/>
              </w:rPr>
              <w:tab/>
            </w:r>
            <w:r w:rsidR="009C1853" w:rsidRPr="009C1853">
              <w:rPr>
                <w:rStyle w:val="Hyperlink"/>
                <w:noProof/>
              </w:rPr>
              <w:t>Passive Controls - End of Treatment</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_Toc3538110 \h </w:instrText>
            </w:r>
            <w:r w:rsidR="009C1853" w:rsidRPr="009C1853">
              <w:rPr>
                <w:noProof/>
                <w:webHidden/>
              </w:rPr>
            </w:r>
            <w:r w:rsidR="009C1853" w:rsidRPr="009C1853">
              <w:rPr>
                <w:noProof/>
                <w:webHidden/>
              </w:rPr>
              <w:fldChar w:fldCharType="separate"/>
            </w:r>
            <w:r w:rsidR="009C1853" w:rsidRPr="009C1853">
              <w:rPr>
                <w:noProof/>
                <w:webHidden/>
              </w:rPr>
              <w:t>70</w:t>
            </w:r>
            <w:r w:rsidR="009C1853" w:rsidRPr="009C1853">
              <w:rPr>
                <w:noProof/>
                <w:webHidden/>
              </w:rPr>
              <w:fldChar w:fldCharType="end"/>
            </w:r>
          </w:hyperlink>
        </w:p>
        <w:p w14:paraId="602D8C87" w14:textId="77777777" w:rsidR="009C1853" w:rsidRPr="009C1853" w:rsidRDefault="00FF643F">
          <w:pPr>
            <w:pStyle w:val="TOC3"/>
            <w:tabs>
              <w:tab w:val="left" w:pos="1320"/>
              <w:tab w:val="right" w:leader="dot" w:pos="9905"/>
            </w:tabs>
            <w:rPr>
              <w:noProof/>
              <w:lang w:eastAsia="en-GB"/>
            </w:rPr>
          </w:pPr>
          <w:hyperlink w:anchor="_Toc3538111" w:history="1">
            <w:r w:rsidR="009C1853" w:rsidRPr="009C1853">
              <w:rPr>
                <w:rStyle w:val="Hyperlink"/>
                <w:noProof/>
              </w:rPr>
              <w:t>4.4.2</w:t>
            </w:r>
            <w:r w:rsidR="009C1853" w:rsidRPr="009C1853">
              <w:rPr>
                <w:noProof/>
                <w:lang w:eastAsia="en-GB"/>
              </w:rPr>
              <w:tab/>
            </w:r>
            <w:r w:rsidR="009C1853" w:rsidRPr="009C1853">
              <w:rPr>
                <w:rStyle w:val="Hyperlink"/>
                <w:noProof/>
              </w:rPr>
              <w:t>Active Controls - End of Treatment</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_Toc3538111 \h </w:instrText>
            </w:r>
            <w:r w:rsidR="009C1853" w:rsidRPr="009C1853">
              <w:rPr>
                <w:noProof/>
                <w:webHidden/>
              </w:rPr>
            </w:r>
            <w:r w:rsidR="009C1853" w:rsidRPr="009C1853">
              <w:rPr>
                <w:noProof/>
                <w:webHidden/>
              </w:rPr>
              <w:fldChar w:fldCharType="separate"/>
            </w:r>
            <w:r w:rsidR="009C1853" w:rsidRPr="009C1853">
              <w:rPr>
                <w:noProof/>
                <w:webHidden/>
              </w:rPr>
              <w:t>70</w:t>
            </w:r>
            <w:r w:rsidR="009C1853" w:rsidRPr="009C1853">
              <w:rPr>
                <w:noProof/>
                <w:webHidden/>
              </w:rPr>
              <w:fldChar w:fldCharType="end"/>
            </w:r>
          </w:hyperlink>
        </w:p>
        <w:p w14:paraId="4E74FF6B" w14:textId="77777777" w:rsidR="009C1853" w:rsidRPr="009C1853" w:rsidRDefault="00FF643F">
          <w:pPr>
            <w:pStyle w:val="TOC3"/>
            <w:tabs>
              <w:tab w:val="left" w:pos="1320"/>
              <w:tab w:val="right" w:leader="dot" w:pos="9905"/>
            </w:tabs>
            <w:rPr>
              <w:noProof/>
              <w:lang w:eastAsia="en-GB"/>
            </w:rPr>
          </w:pPr>
          <w:hyperlink w:anchor="_Toc3538112" w:history="1">
            <w:r w:rsidR="009C1853" w:rsidRPr="009C1853">
              <w:rPr>
                <w:rStyle w:val="Hyperlink"/>
                <w:noProof/>
              </w:rPr>
              <w:t>4.4.3</w:t>
            </w:r>
            <w:r w:rsidR="009C1853" w:rsidRPr="009C1853">
              <w:rPr>
                <w:noProof/>
                <w:lang w:eastAsia="en-GB"/>
              </w:rPr>
              <w:tab/>
            </w:r>
            <w:r w:rsidR="009C1853" w:rsidRPr="009C1853">
              <w:rPr>
                <w:rStyle w:val="Hyperlink"/>
                <w:noProof/>
              </w:rPr>
              <w:t>Passive Controls - Follow-Up</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_Toc3538112 \h </w:instrText>
            </w:r>
            <w:r w:rsidR="009C1853" w:rsidRPr="009C1853">
              <w:rPr>
                <w:noProof/>
                <w:webHidden/>
              </w:rPr>
            </w:r>
            <w:r w:rsidR="009C1853" w:rsidRPr="009C1853">
              <w:rPr>
                <w:noProof/>
                <w:webHidden/>
              </w:rPr>
              <w:fldChar w:fldCharType="separate"/>
            </w:r>
            <w:r w:rsidR="009C1853" w:rsidRPr="009C1853">
              <w:rPr>
                <w:noProof/>
                <w:webHidden/>
              </w:rPr>
              <w:t>71</w:t>
            </w:r>
            <w:r w:rsidR="009C1853" w:rsidRPr="009C1853">
              <w:rPr>
                <w:noProof/>
                <w:webHidden/>
              </w:rPr>
              <w:fldChar w:fldCharType="end"/>
            </w:r>
          </w:hyperlink>
        </w:p>
        <w:p w14:paraId="797786AE" w14:textId="77777777" w:rsidR="009C1853" w:rsidRPr="009C1853" w:rsidRDefault="00FF643F">
          <w:pPr>
            <w:pStyle w:val="TOC3"/>
            <w:tabs>
              <w:tab w:val="left" w:pos="1320"/>
              <w:tab w:val="right" w:leader="dot" w:pos="9905"/>
            </w:tabs>
            <w:rPr>
              <w:noProof/>
              <w:lang w:eastAsia="en-GB"/>
            </w:rPr>
          </w:pPr>
          <w:hyperlink w:anchor="_Toc3538113" w:history="1">
            <w:r w:rsidR="009C1853" w:rsidRPr="009C1853">
              <w:rPr>
                <w:rStyle w:val="Hyperlink"/>
                <w:noProof/>
              </w:rPr>
              <w:t>4.4.4</w:t>
            </w:r>
            <w:r w:rsidR="009C1853" w:rsidRPr="009C1853">
              <w:rPr>
                <w:noProof/>
                <w:lang w:eastAsia="en-GB"/>
              </w:rPr>
              <w:tab/>
            </w:r>
            <w:r w:rsidR="009C1853" w:rsidRPr="009C1853">
              <w:rPr>
                <w:rStyle w:val="Hyperlink"/>
                <w:noProof/>
              </w:rPr>
              <w:t>Active Controls - Follow-Up</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_Toc3538113 \h </w:instrText>
            </w:r>
            <w:r w:rsidR="009C1853" w:rsidRPr="009C1853">
              <w:rPr>
                <w:noProof/>
                <w:webHidden/>
              </w:rPr>
            </w:r>
            <w:r w:rsidR="009C1853" w:rsidRPr="009C1853">
              <w:rPr>
                <w:noProof/>
                <w:webHidden/>
              </w:rPr>
              <w:fldChar w:fldCharType="separate"/>
            </w:r>
            <w:r w:rsidR="009C1853" w:rsidRPr="009C1853">
              <w:rPr>
                <w:noProof/>
                <w:webHidden/>
              </w:rPr>
              <w:t>71</w:t>
            </w:r>
            <w:r w:rsidR="009C1853" w:rsidRPr="009C1853">
              <w:rPr>
                <w:noProof/>
                <w:webHidden/>
              </w:rPr>
              <w:fldChar w:fldCharType="end"/>
            </w:r>
          </w:hyperlink>
        </w:p>
        <w:p w14:paraId="7976C71B" w14:textId="77777777" w:rsidR="009C1853" w:rsidRPr="009C1853" w:rsidRDefault="00FF643F">
          <w:pPr>
            <w:pStyle w:val="TOC2"/>
            <w:tabs>
              <w:tab w:val="left" w:pos="880"/>
              <w:tab w:val="right" w:leader="dot" w:pos="9905"/>
            </w:tabs>
            <w:rPr>
              <w:noProof/>
              <w:lang w:eastAsia="en-GB"/>
            </w:rPr>
          </w:pPr>
          <w:hyperlink w:anchor="_Toc3538114" w:history="1">
            <w:r w:rsidR="009C1853" w:rsidRPr="009C1853">
              <w:rPr>
                <w:rStyle w:val="Hyperlink"/>
                <w:noProof/>
              </w:rPr>
              <w:t>4.5</w:t>
            </w:r>
            <w:r w:rsidR="009C1853" w:rsidRPr="009C1853">
              <w:rPr>
                <w:noProof/>
                <w:lang w:eastAsia="en-GB"/>
              </w:rPr>
              <w:tab/>
            </w:r>
            <w:r w:rsidR="009C1853" w:rsidRPr="009C1853">
              <w:rPr>
                <w:rStyle w:val="Hyperlink"/>
                <w:noProof/>
              </w:rPr>
              <w:t>Meta-Regression Analysis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_Toc3538114 \h </w:instrText>
            </w:r>
            <w:r w:rsidR="009C1853" w:rsidRPr="009C1853">
              <w:rPr>
                <w:noProof/>
                <w:webHidden/>
              </w:rPr>
            </w:r>
            <w:r w:rsidR="009C1853" w:rsidRPr="009C1853">
              <w:rPr>
                <w:noProof/>
                <w:webHidden/>
              </w:rPr>
              <w:fldChar w:fldCharType="separate"/>
            </w:r>
            <w:r w:rsidR="009C1853" w:rsidRPr="009C1853">
              <w:rPr>
                <w:noProof/>
                <w:webHidden/>
              </w:rPr>
              <w:t>72</w:t>
            </w:r>
            <w:r w:rsidR="009C1853" w:rsidRPr="009C1853">
              <w:rPr>
                <w:noProof/>
                <w:webHidden/>
              </w:rPr>
              <w:fldChar w:fldCharType="end"/>
            </w:r>
          </w:hyperlink>
        </w:p>
        <w:p w14:paraId="5CC1476D" w14:textId="77777777" w:rsidR="009C1853" w:rsidRPr="009C1853" w:rsidRDefault="00FF643F">
          <w:pPr>
            <w:pStyle w:val="TOC2"/>
            <w:tabs>
              <w:tab w:val="left" w:pos="880"/>
              <w:tab w:val="right" w:leader="dot" w:pos="9905"/>
            </w:tabs>
            <w:rPr>
              <w:noProof/>
              <w:lang w:eastAsia="en-GB"/>
            </w:rPr>
          </w:pPr>
          <w:hyperlink w:anchor="_Toc3538115" w:history="1">
            <w:r w:rsidR="009C1853" w:rsidRPr="009C1853">
              <w:rPr>
                <w:rStyle w:val="Hyperlink"/>
                <w:noProof/>
              </w:rPr>
              <w:t>4.6</w:t>
            </w:r>
            <w:r w:rsidR="009C1853" w:rsidRPr="009C1853">
              <w:rPr>
                <w:noProof/>
                <w:lang w:eastAsia="en-GB"/>
              </w:rPr>
              <w:tab/>
            </w:r>
            <w:r w:rsidR="009C1853" w:rsidRPr="009C1853">
              <w:rPr>
                <w:rStyle w:val="Hyperlink"/>
                <w:noProof/>
              </w:rPr>
              <w:t>Sub-group Analysis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_Toc3538115 \h </w:instrText>
            </w:r>
            <w:r w:rsidR="009C1853" w:rsidRPr="009C1853">
              <w:rPr>
                <w:noProof/>
                <w:webHidden/>
              </w:rPr>
            </w:r>
            <w:r w:rsidR="009C1853" w:rsidRPr="009C1853">
              <w:rPr>
                <w:noProof/>
                <w:webHidden/>
              </w:rPr>
              <w:fldChar w:fldCharType="separate"/>
            </w:r>
            <w:r w:rsidR="009C1853" w:rsidRPr="009C1853">
              <w:rPr>
                <w:noProof/>
                <w:webHidden/>
              </w:rPr>
              <w:t>74</w:t>
            </w:r>
            <w:r w:rsidR="009C1853" w:rsidRPr="009C1853">
              <w:rPr>
                <w:noProof/>
                <w:webHidden/>
              </w:rPr>
              <w:fldChar w:fldCharType="end"/>
            </w:r>
          </w:hyperlink>
        </w:p>
        <w:p w14:paraId="7DDDFABC" w14:textId="77777777" w:rsidR="009C1853" w:rsidRPr="009C1853" w:rsidRDefault="00FF643F">
          <w:pPr>
            <w:pStyle w:val="TOC2"/>
            <w:tabs>
              <w:tab w:val="left" w:pos="880"/>
              <w:tab w:val="right" w:leader="dot" w:pos="9905"/>
            </w:tabs>
            <w:rPr>
              <w:noProof/>
              <w:lang w:eastAsia="en-GB"/>
            </w:rPr>
          </w:pPr>
          <w:hyperlink w:anchor="_Toc3538116" w:history="1">
            <w:r w:rsidR="009C1853" w:rsidRPr="009C1853">
              <w:rPr>
                <w:rStyle w:val="Hyperlink"/>
                <w:noProof/>
              </w:rPr>
              <w:t>4.7</w:t>
            </w:r>
            <w:r w:rsidR="009C1853" w:rsidRPr="009C1853">
              <w:rPr>
                <w:noProof/>
                <w:lang w:eastAsia="en-GB"/>
              </w:rPr>
              <w:tab/>
            </w:r>
            <w:r w:rsidR="009C1853" w:rsidRPr="009C1853">
              <w:rPr>
                <w:rStyle w:val="Hyperlink"/>
                <w:noProof/>
              </w:rPr>
              <w:t>Reporting Bias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_Toc3538116 \h </w:instrText>
            </w:r>
            <w:r w:rsidR="009C1853" w:rsidRPr="009C1853">
              <w:rPr>
                <w:noProof/>
                <w:webHidden/>
              </w:rPr>
            </w:r>
            <w:r w:rsidR="009C1853" w:rsidRPr="009C1853">
              <w:rPr>
                <w:noProof/>
                <w:webHidden/>
              </w:rPr>
              <w:fldChar w:fldCharType="separate"/>
            </w:r>
            <w:r w:rsidR="009C1853" w:rsidRPr="009C1853">
              <w:rPr>
                <w:noProof/>
                <w:webHidden/>
              </w:rPr>
              <w:t>76</w:t>
            </w:r>
            <w:r w:rsidR="009C1853" w:rsidRPr="009C1853">
              <w:rPr>
                <w:noProof/>
                <w:webHidden/>
              </w:rPr>
              <w:fldChar w:fldCharType="end"/>
            </w:r>
          </w:hyperlink>
        </w:p>
        <w:p w14:paraId="47E8EBD8" w14:textId="77777777" w:rsidR="009C1853" w:rsidRPr="009C1853" w:rsidRDefault="00FF643F">
          <w:pPr>
            <w:pStyle w:val="TOC2"/>
            <w:tabs>
              <w:tab w:val="left" w:pos="880"/>
              <w:tab w:val="right" w:leader="dot" w:pos="9905"/>
            </w:tabs>
            <w:rPr>
              <w:noProof/>
              <w:lang w:eastAsia="en-GB"/>
            </w:rPr>
          </w:pPr>
          <w:hyperlink w:anchor="_Toc3538117" w:history="1">
            <w:r w:rsidR="009C1853" w:rsidRPr="009C1853">
              <w:rPr>
                <w:rStyle w:val="Hyperlink"/>
                <w:noProof/>
              </w:rPr>
              <w:t>4.8</w:t>
            </w:r>
            <w:r w:rsidR="009C1853" w:rsidRPr="009C1853">
              <w:rPr>
                <w:noProof/>
                <w:lang w:eastAsia="en-GB"/>
              </w:rPr>
              <w:tab/>
            </w:r>
            <w:r w:rsidR="009C1853" w:rsidRPr="009C1853">
              <w:rPr>
                <w:rStyle w:val="Hyperlink"/>
                <w:noProof/>
              </w:rPr>
              <w:t>Discussion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_Toc3538117 \h </w:instrText>
            </w:r>
            <w:r w:rsidR="009C1853" w:rsidRPr="009C1853">
              <w:rPr>
                <w:noProof/>
                <w:webHidden/>
              </w:rPr>
            </w:r>
            <w:r w:rsidR="009C1853" w:rsidRPr="009C1853">
              <w:rPr>
                <w:noProof/>
                <w:webHidden/>
              </w:rPr>
              <w:fldChar w:fldCharType="separate"/>
            </w:r>
            <w:r w:rsidR="009C1853" w:rsidRPr="009C1853">
              <w:rPr>
                <w:noProof/>
                <w:webHidden/>
              </w:rPr>
              <w:t>78</w:t>
            </w:r>
            <w:r w:rsidR="009C1853" w:rsidRPr="009C1853">
              <w:rPr>
                <w:noProof/>
                <w:webHidden/>
              </w:rPr>
              <w:fldChar w:fldCharType="end"/>
            </w:r>
          </w:hyperlink>
        </w:p>
        <w:p w14:paraId="4DAC8686" w14:textId="77777777" w:rsidR="009C1853" w:rsidRPr="009C1853" w:rsidRDefault="00FF643F">
          <w:pPr>
            <w:pStyle w:val="TOC3"/>
            <w:tabs>
              <w:tab w:val="left" w:pos="1320"/>
              <w:tab w:val="right" w:leader="dot" w:pos="9905"/>
            </w:tabs>
            <w:rPr>
              <w:noProof/>
              <w:lang w:eastAsia="en-GB"/>
            </w:rPr>
          </w:pPr>
          <w:hyperlink w:anchor="_Toc3538118" w:history="1">
            <w:r w:rsidR="009C1853" w:rsidRPr="009C1853">
              <w:rPr>
                <w:rStyle w:val="Hyperlink"/>
                <w:noProof/>
                <w:lang w:eastAsia="en-GB"/>
              </w:rPr>
              <w:t>4.8.1</w:t>
            </w:r>
            <w:r w:rsidR="009C1853" w:rsidRPr="009C1853">
              <w:rPr>
                <w:noProof/>
                <w:lang w:eastAsia="en-GB"/>
              </w:rPr>
              <w:tab/>
            </w:r>
            <w:r w:rsidR="009C1853" w:rsidRPr="009C1853">
              <w:rPr>
                <w:rStyle w:val="Hyperlink"/>
                <w:noProof/>
                <w:lang w:eastAsia="en-GB"/>
              </w:rPr>
              <w:t>Main Findings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_Toc3538118 \h </w:instrText>
            </w:r>
            <w:r w:rsidR="009C1853" w:rsidRPr="009C1853">
              <w:rPr>
                <w:noProof/>
                <w:webHidden/>
              </w:rPr>
            </w:r>
            <w:r w:rsidR="009C1853" w:rsidRPr="009C1853">
              <w:rPr>
                <w:noProof/>
                <w:webHidden/>
              </w:rPr>
              <w:fldChar w:fldCharType="separate"/>
            </w:r>
            <w:r w:rsidR="009C1853" w:rsidRPr="009C1853">
              <w:rPr>
                <w:noProof/>
                <w:webHidden/>
              </w:rPr>
              <w:t>78</w:t>
            </w:r>
            <w:r w:rsidR="009C1853" w:rsidRPr="009C1853">
              <w:rPr>
                <w:noProof/>
                <w:webHidden/>
              </w:rPr>
              <w:fldChar w:fldCharType="end"/>
            </w:r>
          </w:hyperlink>
        </w:p>
        <w:p w14:paraId="6EB1A056" w14:textId="77777777" w:rsidR="009C1853" w:rsidRPr="009C1853" w:rsidRDefault="00FF643F">
          <w:pPr>
            <w:pStyle w:val="TOC3"/>
            <w:tabs>
              <w:tab w:val="left" w:pos="1320"/>
              <w:tab w:val="right" w:leader="dot" w:pos="9905"/>
            </w:tabs>
            <w:rPr>
              <w:noProof/>
              <w:lang w:eastAsia="en-GB"/>
            </w:rPr>
          </w:pPr>
          <w:hyperlink w:anchor="_Toc3538119" w:history="1">
            <w:r w:rsidR="009C1853" w:rsidRPr="009C1853">
              <w:rPr>
                <w:rStyle w:val="Hyperlink"/>
                <w:noProof/>
              </w:rPr>
              <w:t>4.8.2</w:t>
            </w:r>
            <w:r w:rsidR="009C1853" w:rsidRPr="009C1853">
              <w:rPr>
                <w:noProof/>
                <w:lang w:eastAsia="en-GB"/>
              </w:rPr>
              <w:tab/>
            </w:r>
            <w:r w:rsidR="009C1853" w:rsidRPr="009C1853">
              <w:rPr>
                <w:rStyle w:val="Hyperlink"/>
                <w:noProof/>
              </w:rPr>
              <w:t>Methodological Lessons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_Toc3538119 \h </w:instrText>
            </w:r>
            <w:r w:rsidR="009C1853" w:rsidRPr="009C1853">
              <w:rPr>
                <w:noProof/>
                <w:webHidden/>
              </w:rPr>
            </w:r>
            <w:r w:rsidR="009C1853" w:rsidRPr="009C1853">
              <w:rPr>
                <w:noProof/>
                <w:webHidden/>
              </w:rPr>
              <w:fldChar w:fldCharType="separate"/>
            </w:r>
            <w:r w:rsidR="009C1853" w:rsidRPr="009C1853">
              <w:rPr>
                <w:noProof/>
                <w:webHidden/>
              </w:rPr>
              <w:t>81</w:t>
            </w:r>
            <w:r w:rsidR="009C1853" w:rsidRPr="009C1853">
              <w:rPr>
                <w:noProof/>
                <w:webHidden/>
              </w:rPr>
              <w:fldChar w:fldCharType="end"/>
            </w:r>
          </w:hyperlink>
        </w:p>
        <w:p w14:paraId="2F610565" w14:textId="77777777" w:rsidR="009C1853" w:rsidRPr="009C1853" w:rsidRDefault="00FF643F">
          <w:pPr>
            <w:pStyle w:val="TOC3"/>
            <w:tabs>
              <w:tab w:val="left" w:pos="1320"/>
              <w:tab w:val="right" w:leader="dot" w:pos="9905"/>
            </w:tabs>
            <w:rPr>
              <w:noProof/>
              <w:lang w:eastAsia="en-GB"/>
            </w:rPr>
          </w:pPr>
          <w:hyperlink w:anchor="_Toc3538120" w:history="1">
            <w:r w:rsidR="009C1853" w:rsidRPr="009C1853">
              <w:rPr>
                <w:rStyle w:val="Hyperlink"/>
                <w:noProof/>
              </w:rPr>
              <w:t>4.8.3</w:t>
            </w:r>
            <w:r w:rsidR="009C1853" w:rsidRPr="009C1853">
              <w:rPr>
                <w:noProof/>
                <w:lang w:eastAsia="en-GB"/>
              </w:rPr>
              <w:tab/>
            </w:r>
            <w:r w:rsidR="009C1853" w:rsidRPr="009C1853">
              <w:rPr>
                <w:rStyle w:val="Hyperlink"/>
                <w:noProof/>
              </w:rPr>
              <w:t>Limitations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_Toc3538120 \h </w:instrText>
            </w:r>
            <w:r w:rsidR="009C1853" w:rsidRPr="009C1853">
              <w:rPr>
                <w:noProof/>
                <w:webHidden/>
              </w:rPr>
            </w:r>
            <w:r w:rsidR="009C1853" w:rsidRPr="009C1853">
              <w:rPr>
                <w:noProof/>
                <w:webHidden/>
              </w:rPr>
              <w:fldChar w:fldCharType="separate"/>
            </w:r>
            <w:r w:rsidR="009C1853" w:rsidRPr="009C1853">
              <w:rPr>
                <w:noProof/>
                <w:webHidden/>
              </w:rPr>
              <w:t>82</w:t>
            </w:r>
            <w:r w:rsidR="009C1853" w:rsidRPr="009C1853">
              <w:rPr>
                <w:noProof/>
                <w:webHidden/>
              </w:rPr>
              <w:fldChar w:fldCharType="end"/>
            </w:r>
          </w:hyperlink>
        </w:p>
        <w:p w14:paraId="3818BACD" w14:textId="77777777" w:rsidR="009C1853" w:rsidRPr="009C1853" w:rsidRDefault="00FF643F">
          <w:pPr>
            <w:pStyle w:val="TOC3"/>
            <w:tabs>
              <w:tab w:val="left" w:pos="1320"/>
              <w:tab w:val="right" w:leader="dot" w:pos="9905"/>
            </w:tabs>
            <w:rPr>
              <w:noProof/>
              <w:lang w:eastAsia="en-GB"/>
            </w:rPr>
          </w:pPr>
          <w:hyperlink w:anchor="_Toc3538121" w:history="1">
            <w:r w:rsidR="009C1853" w:rsidRPr="009C1853">
              <w:rPr>
                <w:rStyle w:val="Hyperlink"/>
                <w:noProof/>
                <w:lang w:eastAsia="en-GB"/>
              </w:rPr>
              <w:t>4.8.4</w:t>
            </w:r>
            <w:r w:rsidR="009C1853" w:rsidRPr="009C1853">
              <w:rPr>
                <w:noProof/>
                <w:lang w:eastAsia="en-GB"/>
              </w:rPr>
              <w:tab/>
            </w:r>
            <w:r w:rsidR="009C1853" w:rsidRPr="009C1853">
              <w:rPr>
                <w:rStyle w:val="Hyperlink"/>
                <w:noProof/>
                <w:lang w:eastAsia="en-GB"/>
              </w:rPr>
              <w:t>Clinical and Service Implications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_Toc3538121 \h </w:instrText>
            </w:r>
            <w:r w:rsidR="009C1853" w:rsidRPr="009C1853">
              <w:rPr>
                <w:noProof/>
                <w:webHidden/>
              </w:rPr>
            </w:r>
            <w:r w:rsidR="009C1853" w:rsidRPr="009C1853">
              <w:rPr>
                <w:noProof/>
                <w:webHidden/>
              </w:rPr>
              <w:fldChar w:fldCharType="separate"/>
            </w:r>
            <w:r w:rsidR="009C1853" w:rsidRPr="009C1853">
              <w:rPr>
                <w:noProof/>
                <w:webHidden/>
              </w:rPr>
              <w:t>82</w:t>
            </w:r>
            <w:r w:rsidR="009C1853" w:rsidRPr="009C1853">
              <w:rPr>
                <w:noProof/>
                <w:webHidden/>
              </w:rPr>
              <w:fldChar w:fldCharType="end"/>
            </w:r>
          </w:hyperlink>
        </w:p>
        <w:p w14:paraId="27C30C69" w14:textId="77777777" w:rsidR="009C1853" w:rsidRPr="009C1853" w:rsidRDefault="00FF643F">
          <w:pPr>
            <w:pStyle w:val="TOC3"/>
            <w:tabs>
              <w:tab w:val="left" w:pos="1320"/>
              <w:tab w:val="right" w:leader="dot" w:pos="9905"/>
            </w:tabs>
            <w:rPr>
              <w:noProof/>
              <w:lang w:eastAsia="en-GB"/>
            </w:rPr>
          </w:pPr>
          <w:hyperlink w:anchor="_Toc3538122" w:history="1">
            <w:r w:rsidR="009C1853" w:rsidRPr="009C1853">
              <w:rPr>
                <w:rStyle w:val="Hyperlink"/>
                <w:noProof/>
                <w:lang w:eastAsia="en-GB"/>
              </w:rPr>
              <w:t>4.8.5</w:t>
            </w:r>
            <w:r w:rsidR="009C1853" w:rsidRPr="009C1853">
              <w:rPr>
                <w:noProof/>
                <w:lang w:eastAsia="en-GB"/>
              </w:rPr>
              <w:tab/>
            </w:r>
            <w:r w:rsidR="009C1853" w:rsidRPr="009C1853">
              <w:rPr>
                <w:rStyle w:val="Hyperlink"/>
                <w:noProof/>
                <w:lang w:eastAsia="en-GB"/>
              </w:rPr>
              <w:t>Overall Conclusions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_Toc3538122 \h </w:instrText>
            </w:r>
            <w:r w:rsidR="009C1853" w:rsidRPr="009C1853">
              <w:rPr>
                <w:noProof/>
                <w:webHidden/>
              </w:rPr>
            </w:r>
            <w:r w:rsidR="009C1853" w:rsidRPr="009C1853">
              <w:rPr>
                <w:noProof/>
                <w:webHidden/>
              </w:rPr>
              <w:fldChar w:fldCharType="separate"/>
            </w:r>
            <w:r w:rsidR="009C1853" w:rsidRPr="009C1853">
              <w:rPr>
                <w:noProof/>
                <w:webHidden/>
              </w:rPr>
              <w:t>83</w:t>
            </w:r>
            <w:r w:rsidR="009C1853" w:rsidRPr="009C1853">
              <w:rPr>
                <w:noProof/>
                <w:webHidden/>
              </w:rPr>
              <w:fldChar w:fldCharType="end"/>
            </w:r>
          </w:hyperlink>
        </w:p>
        <w:p w14:paraId="00BFEBFE" w14:textId="77777777" w:rsidR="009C1853" w:rsidRPr="009C1853" w:rsidRDefault="00FF643F">
          <w:pPr>
            <w:pStyle w:val="TOC1"/>
            <w:tabs>
              <w:tab w:val="left" w:pos="440"/>
            </w:tabs>
            <w:rPr>
              <w:rFonts w:asciiTheme="minorHAnsi" w:hAnsiTheme="minorHAnsi"/>
              <w:shd w:val="clear" w:color="auto" w:fill="auto"/>
              <w:lang w:eastAsia="en-GB"/>
            </w:rPr>
          </w:pPr>
          <w:hyperlink w:anchor="_Toc3538123" w:history="1">
            <w:r w:rsidR="009C1853" w:rsidRPr="009C1853">
              <w:rPr>
                <w:rStyle w:val="Hyperlink"/>
                <w:rFonts w:asciiTheme="minorHAnsi" w:hAnsiTheme="minorHAnsi"/>
              </w:rPr>
              <w:t>5</w:t>
            </w:r>
            <w:r w:rsidR="009C1853" w:rsidRPr="009C1853">
              <w:rPr>
                <w:rFonts w:asciiTheme="minorHAnsi" w:hAnsiTheme="minorHAnsi"/>
                <w:shd w:val="clear" w:color="auto" w:fill="auto"/>
                <w:lang w:eastAsia="en-GB"/>
              </w:rPr>
              <w:tab/>
            </w:r>
            <w:r w:rsidR="009C1853" w:rsidRPr="009C1853">
              <w:rPr>
                <w:rStyle w:val="Hyperlink"/>
                <w:rFonts w:asciiTheme="minorHAnsi" w:hAnsiTheme="minorHAnsi"/>
              </w:rPr>
              <w:t>Usability, Feasibility, and Acceptability of MYLO</w:t>
            </w:r>
            <w:r w:rsidR="009C1853" w:rsidRPr="009C1853">
              <w:rPr>
                <w:rFonts w:asciiTheme="minorHAnsi" w:hAnsiTheme="minorHAnsi"/>
                <w:webHidden/>
              </w:rPr>
              <w:tab/>
            </w:r>
            <w:r w:rsidR="009C1853" w:rsidRPr="009C1853">
              <w:rPr>
                <w:rFonts w:asciiTheme="minorHAnsi" w:hAnsiTheme="minorHAnsi"/>
                <w:webHidden/>
              </w:rPr>
              <w:fldChar w:fldCharType="begin"/>
            </w:r>
            <w:r w:rsidR="009C1853" w:rsidRPr="009C1853">
              <w:rPr>
                <w:rFonts w:asciiTheme="minorHAnsi" w:hAnsiTheme="minorHAnsi"/>
                <w:webHidden/>
              </w:rPr>
              <w:instrText xml:space="preserve"> PAGEREF _Toc3538123 \h </w:instrText>
            </w:r>
            <w:r w:rsidR="009C1853" w:rsidRPr="009C1853">
              <w:rPr>
                <w:rFonts w:asciiTheme="minorHAnsi" w:hAnsiTheme="minorHAnsi"/>
                <w:webHidden/>
              </w:rPr>
            </w:r>
            <w:r w:rsidR="009C1853" w:rsidRPr="009C1853">
              <w:rPr>
                <w:rFonts w:asciiTheme="minorHAnsi" w:hAnsiTheme="minorHAnsi"/>
                <w:webHidden/>
              </w:rPr>
              <w:fldChar w:fldCharType="separate"/>
            </w:r>
            <w:r w:rsidR="009C1853" w:rsidRPr="009C1853">
              <w:rPr>
                <w:rFonts w:asciiTheme="minorHAnsi" w:hAnsiTheme="minorHAnsi"/>
                <w:webHidden/>
              </w:rPr>
              <w:t>85</w:t>
            </w:r>
            <w:r w:rsidR="009C1853" w:rsidRPr="009C1853">
              <w:rPr>
                <w:rFonts w:asciiTheme="minorHAnsi" w:hAnsiTheme="minorHAnsi"/>
                <w:webHidden/>
              </w:rPr>
              <w:fldChar w:fldCharType="end"/>
            </w:r>
          </w:hyperlink>
        </w:p>
        <w:p w14:paraId="5DCD2C90" w14:textId="77777777" w:rsidR="009C1853" w:rsidRPr="009C1853" w:rsidRDefault="00FF643F">
          <w:pPr>
            <w:pStyle w:val="TOC2"/>
            <w:tabs>
              <w:tab w:val="left" w:pos="880"/>
              <w:tab w:val="right" w:leader="dot" w:pos="9905"/>
            </w:tabs>
            <w:rPr>
              <w:noProof/>
              <w:lang w:eastAsia="en-GB"/>
            </w:rPr>
          </w:pPr>
          <w:hyperlink w:anchor="_Toc3538124" w:history="1">
            <w:r w:rsidR="009C1853" w:rsidRPr="009C1853">
              <w:rPr>
                <w:rStyle w:val="Hyperlink"/>
                <w:noProof/>
              </w:rPr>
              <w:t>5.1</w:t>
            </w:r>
            <w:r w:rsidR="009C1853" w:rsidRPr="009C1853">
              <w:rPr>
                <w:noProof/>
                <w:lang w:eastAsia="en-GB"/>
              </w:rPr>
              <w:tab/>
            </w:r>
            <w:r w:rsidR="009C1853" w:rsidRPr="009C1853">
              <w:rPr>
                <w:rStyle w:val="Hyperlink"/>
                <w:noProof/>
              </w:rPr>
              <w:t>Introduction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_Toc3538124 \h </w:instrText>
            </w:r>
            <w:r w:rsidR="009C1853" w:rsidRPr="009C1853">
              <w:rPr>
                <w:noProof/>
                <w:webHidden/>
              </w:rPr>
            </w:r>
            <w:r w:rsidR="009C1853" w:rsidRPr="009C1853">
              <w:rPr>
                <w:noProof/>
                <w:webHidden/>
              </w:rPr>
              <w:fldChar w:fldCharType="separate"/>
            </w:r>
            <w:r w:rsidR="009C1853" w:rsidRPr="009C1853">
              <w:rPr>
                <w:noProof/>
                <w:webHidden/>
              </w:rPr>
              <w:t>85</w:t>
            </w:r>
            <w:r w:rsidR="009C1853" w:rsidRPr="009C1853">
              <w:rPr>
                <w:noProof/>
                <w:webHidden/>
              </w:rPr>
              <w:fldChar w:fldCharType="end"/>
            </w:r>
          </w:hyperlink>
        </w:p>
        <w:p w14:paraId="2333807C" w14:textId="77777777" w:rsidR="009C1853" w:rsidRPr="009C1853" w:rsidRDefault="00FF643F">
          <w:pPr>
            <w:pStyle w:val="TOC3"/>
            <w:tabs>
              <w:tab w:val="left" w:pos="1320"/>
              <w:tab w:val="right" w:leader="dot" w:pos="9905"/>
            </w:tabs>
            <w:rPr>
              <w:noProof/>
              <w:lang w:eastAsia="en-GB"/>
            </w:rPr>
          </w:pPr>
          <w:hyperlink w:anchor="_Toc3538125" w:history="1">
            <w:r w:rsidR="009C1853" w:rsidRPr="009C1853">
              <w:rPr>
                <w:rStyle w:val="Hyperlink"/>
                <w:noProof/>
              </w:rPr>
              <w:t>5.1.1</w:t>
            </w:r>
            <w:r w:rsidR="009C1853" w:rsidRPr="009C1853">
              <w:rPr>
                <w:noProof/>
                <w:lang w:eastAsia="en-GB"/>
              </w:rPr>
              <w:tab/>
            </w:r>
            <w:r w:rsidR="009C1853" w:rsidRPr="009C1853">
              <w:rPr>
                <w:rStyle w:val="Hyperlink"/>
                <w:noProof/>
              </w:rPr>
              <w:t>E-therapy, Usability Testing and Engagement</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_Toc3538125 \h </w:instrText>
            </w:r>
            <w:r w:rsidR="009C1853" w:rsidRPr="009C1853">
              <w:rPr>
                <w:noProof/>
                <w:webHidden/>
              </w:rPr>
            </w:r>
            <w:r w:rsidR="009C1853" w:rsidRPr="009C1853">
              <w:rPr>
                <w:noProof/>
                <w:webHidden/>
              </w:rPr>
              <w:fldChar w:fldCharType="separate"/>
            </w:r>
            <w:r w:rsidR="009C1853" w:rsidRPr="009C1853">
              <w:rPr>
                <w:noProof/>
                <w:webHidden/>
              </w:rPr>
              <w:t>86</w:t>
            </w:r>
            <w:r w:rsidR="009C1853" w:rsidRPr="009C1853">
              <w:rPr>
                <w:noProof/>
                <w:webHidden/>
              </w:rPr>
              <w:fldChar w:fldCharType="end"/>
            </w:r>
          </w:hyperlink>
        </w:p>
        <w:p w14:paraId="09D4D0C5" w14:textId="77777777" w:rsidR="009C1853" w:rsidRPr="009C1853" w:rsidRDefault="00FF643F">
          <w:pPr>
            <w:pStyle w:val="TOC2"/>
            <w:tabs>
              <w:tab w:val="left" w:pos="880"/>
              <w:tab w:val="right" w:leader="dot" w:pos="9905"/>
            </w:tabs>
            <w:rPr>
              <w:noProof/>
              <w:lang w:eastAsia="en-GB"/>
            </w:rPr>
          </w:pPr>
          <w:hyperlink w:anchor="_Toc3538126" w:history="1">
            <w:r w:rsidR="009C1853" w:rsidRPr="009C1853">
              <w:rPr>
                <w:rStyle w:val="Hyperlink"/>
                <w:noProof/>
              </w:rPr>
              <w:t>5.2</w:t>
            </w:r>
            <w:r w:rsidR="009C1853" w:rsidRPr="009C1853">
              <w:rPr>
                <w:noProof/>
                <w:lang w:eastAsia="en-GB"/>
              </w:rPr>
              <w:tab/>
            </w:r>
            <w:r w:rsidR="009C1853" w:rsidRPr="009C1853">
              <w:rPr>
                <w:rStyle w:val="Hyperlink"/>
                <w:noProof/>
              </w:rPr>
              <w:t>Measuring Usability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_Toc3538126 \h </w:instrText>
            </w:r>
            <w:r w:rsidR="009C1853" w:rsidRPr="009C1853">
              <w:rPr>
                <w:noProof/>
                <w:webHidden/>
              </w:rPr>
            </w:r>
            <w:r w:rsidR="009C1853" w:rsidRPr="009C1853">
              <w:rPr>
                <w:noProof/>
                <w:webHidden/>
              </w:rPr>
              <w:fldChar w:fldCharType="separate"/>
            </w:r>
            <w:r w:rsidR="009C1853" w:rsidRPr="009C1853">
              <w:rPr>
                <w:noProof/>
                <w:webHidden/>
              </w:rPr>
              <w:t>86</w:t>
            </w:r>
            <w:r w:rsidR="009C1853" w:rsidRPr="009C1853">
              <w:rPr>
                <w:noProof/>
                <w:webHidden/>
              </w:rPr>
              <w:fldChar w:fldCharType="end"/>
            </w:r>
          </w:hyperlink>
        </w:p>
        <w:p w14:paraId="4459C020" w14:textId="77777777" w:rsidR="009C1853" w:rsidRPr="009C1853" w:rsidRDefault="00FF643F">
          <w:pPr>
            <w:pStyle w:val="TOC3"/>
            <w:tabs>
              <w:tab w:val="left" w:pos="1320"/>
              <w:tab w:val="right" w:leader="dot" w:pos="9905"/>
            </w:tabs>
            <w:rPr>
              <w:noProof/>
              <w:lang w:eastAsia="en-GB"/>
            </w:rPr>
          </w:pPr>
          <w:hyperlink w:anchor="_Toc3538127" w:history="1">
            <w:r w:rsidR="009C1853" w:rsidRPr="009C1853">
              <w:rPr>
                <w:rStyle w:val="Hyperlink"/>
                <w:noProof/>
              </w:rPr>
              <w:t>5.2.1</w:t>
            </w:r>
            <w:r w:rsidR="009C1853" w:rsidRPr="009C1853">
              <w:rPr>
                <w:noProof/>
                <w:lang w:eastAsia="en-GB"/>
              </w:rPr>
              <w:tab/>
            </w:r>
            <w:r w:rsidR="009C1853" w:rsidRPr="009C1853">
              <w:rPr>
                <w:rStyle w:val="Hyperlink"/>
                <w:noProof/>
              </w:rPr>
              <w:t>Measuring Effectiveness and Efficiency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_Toc3538127 \h </w:instrText>
            </w:r>
            <w:r w:rsidR="009C1853" w:rsidRPr="009C1853">
              <w:rPr>
                <w:noProof/>
                <w:webHidden/>
              </w:rPr>
            </w:r>
            <w:r w:rsidR="009C1853" w:rsidRPr="009C1853">
              <w:rPr>
                <w:noProof/>
                <w:webHidden/>
              </w:rPr>
              <w:fldChar w:fldCharType="separate"/>
            </w:r>
            <w:r w:rsidR="009C1853" w:rsidRPr="009C1853">
              <w:rPr>
                <w:noProof/>
                <w:webHidden/>
              </w:rPr>
              <w:t>88</w:t>
            </w:r>
            <w:r w:rsidR="009C1853" w:rsidRPr="009C1853">
              <w:rPr>
                <w:noProof/>
                <w:webHidden/>
              </w:rPr>
              <w:fldChar w:fldCharType="end"/>
            </w:r>
          </w:hyperlink>
        </w:p>
        <w:p w14:paraId="422C6C0F" w14:textId="77777777" w:rsidR="009C1853" w:rsidRPr="009C1853" w:rsidRDefault="00FF643F">
          <w:pPr>
            <w:pStyle w:val="TOC3"/>
            <w:tabs>
              <w:tab w:val="left" w:pos="1320"/>
              <w:tab w:val="right" w:leader="dot" w:pos="9905"/>
            </w:tabs>
            <w:rPr>
              <w:noProof/>
              <w:lang w:eastAsia="en-GB"/>
            </w:rPr>
          </w:pPr>
          <w:hyperlink w:anchor="_Toc3538128" w:history="1">
            <w:r w:rsidR="009C1853" w:rsidRPr="009C1853">
              <w:rPr>
                <w:rStyle w:val="Hyperlink"/>
                <w:noProof/>
              </w:rPr>
              <w:t>5.2.2</w:t>
            </w:r>
            <w:r w:rsidR="009C1853" w:rsidRPr="009C1853">
              <w:rPr>
                <w:noProof/>
                <w:lang w:eastAsia="en-GB"/>
              </w:rPr>
              <w:tab/>
            </w:r>
            <w:r w:rsidR="009C1853" w:rsidRPr="009C1853">
              <w:rPr>
                <w:rStyle w:val="Hyperlink"/>
                <w:noProof/>
              </w:rPr>
              <w:t>Measuring Satisfaction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_Toc3538128 \h </w:instrText>
            </w:r>
            <w:r w:rsidR="009C1853" w:rsidRPr="009C1853">
              <w:rPr>
                <w:noProof/>
                <w:webHidden/>
              </w:rPr>
            </w:r>
            <w:r w:rsidR="009C1853" w:rsidRPr="009C1853">
              <w:rPr>
                <w:noProof/>
                <w:webHidden/>
              </w:rPr>
              <w:fldChar w:fldCharType="separate"/>
            </w:r>
            <w:r w:rsidR="009C1853" w:rsidRPr="009C1853">
              <w:rPr>
                <w:noProof/>
                <w:webHidden/>
              </w:rPr>
              <w:t>88</w:t>
            </w:r>
            <w:r w:rsidR="009C1853" w:rsidRPr="009C1853">
              <w:rPr>
                <w:noProof/>
                <w:webHidden/>
              </w:rPr>
              <w:fldChar w:fldCharType="end"/>
            </w:r>
          </w:hyperlink>
        </w:p>
        <w:p w14:paraId="3D3A4C86" w14:textId="77777777" w:rsidR="009C1853" w:rsidRPr="009C1853" w:rsidRDefault="00FF643F">
          <w:pPr>
            <w:pStyle w:val="TOC2"/>
            <w:tabs>
              <w:tab w:val="left" w:pos="880"/>
              <w:tab w:val="right" w:leader="dot" w:pos="9905"/>
            </w:tabs>
            <w:rPr>
              <w:noProof/>
              <w:lang w:eastAsia="en-GB"/>
            </w:rPr>
          </w:pPr>
          <w:hyperlink w:anchor="_Toc3538129" w:history="1">
            <w:r w:rsidR="009C1853" w:rsidRPr="009C1853">
              <w:rPr>
                <w:rStyle w:val="Hyperlink"/>
                <w:noProof/>
              </w:rPr>
              <w:t>5.3</w:t>
            </w:r>
            <w:r w:rsidR="009C1853" w:rsidRPr="009C1853">
              <w:rPr>
                <w:noProof/>
                <w:lang w:eastAsia="en-GB"/>
              </w:rPr>
              <w:tab/>
            </w:r>
            <w:r w:rsidR="009C1853" w:rsidRPr="009C1853">
              <w:rPr>
                <w:rStyle w:val="Hyperlink"/>
                <w:noProof/>
              </w:rPr>
              <w:t>Self-Help Conversational Agents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_Toc3538129 \h </w:instrText>
            </w:r>
            <w:r w:rsidR="009C1853" w:rsidRPr="009C1853">
              <w:rPr>
                <w:noProof/>
                <w:webHidden/>
              </w:rPr>
            </w:r>
            <w:r w:rsidR="009C1853" w:rsidRPr="009C1853">
              <w:rPr>
                <w:noProof/>
                <w:webHidden/>
              </w:rPr>
              <w:fldChar w:fldCharType="separate"/>
            </w:r>
            <w:r w:rsidR="009C1853" w:rsidRPr="009C1853">
              <w:rPr>
                <w:noProof/>
                <w:webHidden/>
              </w:rPr>
              <w:t>88</w:t>
            </w:r>
            <w:r w:rsidR="009C1853" w:rsidRPr="009C1853">
              <w:rPr>
                <w:noProof/>
                <w:webHidden/>
              </w:rPr>
              <w:fldChar w:fldCharType="end"/>
            </w:r>
          </w:hyperlink>
        </w:p>
        <w:p w14:paraId="009678B1" w14:textId="77777777" w:rsidR="009C1853" w:rsidRPr="009C1853" w:rsidRDefault="00FF643F">
          <w:pPr>
            <w:pStyle w:val="TOC3"/>
            <w:tabs>
              <w:tab w:val="left" w:pos="1320"/>
              <w:tab w:val="right" w:leader="dot" w:pos="9905"/>
            </w:tabs>
            <w:rPr>
              <w:noProof/>
              <w:lang w:eastAsia="en-GB"/>
            </w:rPr>
          </w:pPr>
          <w:hyperlink w:anchor="_Toc3538130" w:history="1">
            <w:r w:rsidR="009C1853" w:rsidRPr="009C1853">
              <w:rPr>
                <w:rStyle w:val="Hyperlink"/>
                <w:noProof/>
              </w:rPr>
              <w:t>5.3.1</w:t>
            </w:r>
            <w:r w:rsidR="009C1853" w:rsidRPr="009C1853">
              <w:rPr>
                <w:noProof/>
                <w:lang w:eastAsia="en-GB"/>
              </w:rPr>
              <w:tab/>
            </w:r>
            <w:r w:rsidR="009C1853" w:rsidRPr="009C1853">
              <w:rPr>
                <w:rStyle w:val="Hyperlink"/>
                <w:noProof/>
              </w:rPr>
              <w:t>Manage Your Life Online (MYLO)</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_Toc3538130 \h </w:instrText>
            </w:r>
            <w:r w:rsidR="009C1853" w:rsidRPr="009C1853">
              <w:rPr>
                <w:noProof/>
                <w:webHidden/>
              </w:rPr>
            </w:r>
            <w:r w:rsidR="009C1853" w:rsidRPr="009C1853">
              <w:rPr>
                <w:noProof/>
                <w:webHidden/>
              </w:rPr>
              <w:fldChar w:fldCharType="separate"/>
            </w:r>
            <w:r w:rsidR="009C1853" w:rsidRPr="009C1853">
              <w:rPr>
                <w:noProof/>
                <w:webHidden/>
              </w:rPr>
              <w:t>89</w:t>
            </w:r>
            <w:r w:rsidR="009C1853" w:rsidRPr="009C1853">
              <w:rPr>
                <w:noProof/>
                <w:webHidden/>
              </w:rPr>
              <w:fldChar w:fldCharType="end"/>
            </w:r>
          </w:hyperlink>
        </w:p>
        <w:p w14:paraId="27A0C0C5" w14:textId="77777777" w:rsidR="009C1853" w:rsidRPr="009C1853" w:rsidRDefault="00FF643F">
          <w:pPr>
            <w:pStyle w:val="TOC2"/>
            <w:tabs>
              <w:tab w:val="left" w:pos="880"/>
              <w:tab w:val="right" w:leader="dot" w:pos="9905"/>
            </w:tabs>
            <w:rPr>
              <w:noProof/>
              <w:lang w:eastAsia="en-GB"/>
            </w:rPr>
          </w:pPr>
          <w:hyperlink w:anchor="_Toc3538131" w:history="1">
            <w:r w:rsidR="009C1853" w:rsidRPr="009C1853">
              <w:rPr>
                <w:rStyle w:val="Hyperlink"/>
                <w:noProof/>
              </w:rPr>
              <w:t>5.4</w:t>
            </w:r>
            <w:r w:rsidR="009C1853" w:rsidRPr="009C1853">
              <w:rPr>
                <w:noProof/>
                <w:lang w:eastAsia="en-GB"/>
              </w:rPr>
              <w:tab/>
            </w:r>
            <w:r w:rsidR="009C1853" w:rsidRPr="009C1853">
              <w:rPr>
                <w:rStyle w:val="Hyperlink"/>
                <w:noProof/>
              </w:rPr>
              <w:t>Aims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_Toc3538131 \h </w:instrText>
            </w:r>
            <w:r w:rsidR="009C1853" w:rsidRPr="009C1853">
              <w:rPr>
                <w:noProof/>
                <w:webHidden/>
              </w:rPr>
            </w:r>
            <w:r w:rsidR="009C1853" w:rsidRPr="009C1853">
              <w:rPr>
                <w:noProof/>
                <w:webHidden/>
              </w:rPr>
              <w:fldChar w:fldCharType="separate"/>
            </w:r>
            <w:r w:rsidR="009C1853" w:rsidRPr="009C1853">
              <w:rPr>
                <w:noProof/>
                <w:webHidden/>
              </w:rPr>
              <w:t>91</w:t>
            </w:r>
            <w:r w:rsidR="009C1853" w:rsidRPr="009C1853">
              <w:rPr>
                <w:noProof/>
                <w:webHidden/>
              </w:rPr>
              <w:fldChar w:fldCharType="end"/>
            </w:r>
          </w:hyperlink>
        </w:p>
        <w:p w14:paraId="5D100E52" w14:textId="77777777" w:rsidR="009C1853" w:rsidRPr="009C1853" w:rsidRDefault="00FF643F">
          <w:pPr>
            <w:pStyle w:val="TOC2"/>
            <w:tabs>
              <w:tab w:val="left" w:pos="880"/>
              <w:tab w:val="right" w:leader="dot" w:pos="9905"/>
            </w:tabs>
            <w:rPr>
              <w:noProof/>
              <w:lang w:eastAsia="en-GB"/>
            </w:rPr>
          </w:pPr>
          <w:hyperlink w:anchor="_Toc3538132" w:history="1">
            <w:r w:rsidR="009C1853" w:rsidRPr="009C1853">
              <w:rPr>
                <w:rStyle w:val="Hyperlink"/>
                <w:noProof/>
              </w:rPr>
              <w:t>5.5</w:t>
            </w:r>
            <w:r w:rsidR="009C1853" w:rsidRPr="009C1853">
              <w:rPr>
                <w:noProof/>
                <w:lang w:eastAsia="en-GB"/>
              </w:rPr>
              <w:tab/>
            </w:r>
            <w:r w:rsidR="009C1853" w:rsidRPr="009C1853">
              <w:rPr>
                <w:rStyle w:val="Hyperlink"/>
                <w:noProof/>
              </w:rPr>
              <w:t>Hypotheses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_Toc3538132 \h </w:instrText>
            </w:r>
            <w:r w:rsidR="009C1853" w:rsidRPr="009C1853">
              <w:rPr>
                <w:noProof/>
                <w:webHidden/>
              </w:rPr>
            </w:r>
            <w:r w:rsidR="009C1853" w:rsidRPr="009C1853">
              <w:rPr>
                <w:noProof/>
                <w:webHidden/>
              </w:rPr>
              <w:fldChar w:fldCharType="separate"/>
            </w:r>
            <w:r w:rsidR="009C1853" w:rsidRPr="009C1853">
              <w:rPr>
                <w:noProof/>
                <w:webHidden/>
              </w:rPr>
              <w:t>92</w:t>
            </w:r>
            <w:r w:rsidR="009C1853" w:rsidRPr="009C1853">
              <w:rPr>
                <w:noProof/>
                <w:webHidden/>
              </w:rPr>
              <w:fldChar w:fldCharType="end"/>
            </w:r>
          </w:hyperlink>
        </w:p>
        <w:p w14:paraId="4C025371" w14:textId="77777777" w:rsidR="009C1853" w:rsidRPr="009C1853" w:rsidRDefault="00FF643F">
          <w:pPr>
            <w:pStyle w:val="TOC2"/>
            <w:tabs>
              <w:tab w:val="left" w:pos="880"/>
              <w:tab w:val="right" w:leader="dot" w:pos="9905"/>
            </w:tabs>
            <w:rPr>
              <w:noProof/>
              <w:lang w:eastAsia="en-GB"/>
            </w:rPr>
          </w:pPr>
          <w:hyperlink w:anchor="_Toc3538133" w:history="1">
            <w:r w:rsidR="009C1853" w:rsidRPr="009C1853">
              <w:rPr>
                <w:rStyle w:val="Hyperlink"/>
                <w:noProof/>
              </w:rPr>
              <w:t>5.6</w:t>
            </w:r>
            <w:r w:rsidR="009C1853" w:rsidRPr="009C1853">
              <w:rPr>
                <w:noProof/>
                <w:lang w:eastAsia="en-GB"/>
              </w:rPr>
              <w:tab/>
            </w:r>
            <w:r w:rsidR="009C1853" w:rsidRPr="009C1853">
              <w:rPr>
                <w:rStyle w:val="Hyperlink"/>
                <w:noProof/>
              </w:rPr>
              <w:t>Method</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_Toc3538133 \h </w:instrText>
            </w:r>
            <w:r w:rsidR="009C1853" w:rsidRPr="009C1853">
              <w:rPr>
                <w:noProof/>
                <w:webHidden/>
              </w:rPr>
            </w:r>
            <w:r w:rsidR="009C1853" w:rsidRPr="009C1853">
              <w:rPr>
                <w:noProof/>
                <w:webHidden/>
              </w:rPr>
              <w:fldChar w:fldCharType="separate"/>
            </w:r>
            <w:r w:rsidR="009C1853" w:rsidRPr="009C1853">
              <w:rPr>
                <w:noProof/>
                <w:webHidden/>
              </w:rPr>
              <w:t>93</w:t>
            </w:r>
            <w:r w:rsidR="009C1853" w:rsidRPr="009C1853">
              <w:rPr>
                <w:noProof/>
                <w:webHidden/>
              </w:rPr>
              <w:fldChar w:fldCharType="end"/>
            </w:r>
          </w:hyperlink>
        </w:p>
        <w:p w14:paraId="1047EA93" w14:textId="77777777" w:rsidR="009C1853" w:rsidRPr="009C1853" w:rsidRDefault="00FF643F">
          <w:pPr>
            <w:pStyle w:val="TOC3"/>
            <w:tabs>
              <w:tab w:val="left" w:pos="1320"/>
              <w:tab w:val="right" w:leader="dot" w:pos="9905"/>
            </w:tabs>
            <w:rPr>
              <w:noProof/>
              <w:lang w:eastAsia="en-GB"/>
            </w:rPr>
          </w:pPr>
          <w:hyperlink w:anchor="_Toc3538134" w:history="1">
            <w:r w:rsidR="009C1853" w:rsidRPr="009C1853">
              <w:rPr>
                <w:rStyle w:val="Hyperlink"/>
                <w:noProof/>
              </w:rPr>
              <w:t>5.6.1</w:t>
            </w:r>
            <w:r w:rsidR="009C1853" w:rsidRPr="009C1853">
              <w:rPr>
                <w:noProof/>
                <w:lang w:eastAsia="en-GB"/>
              </w:rPr>
              <w:tab/>
            </w:r>
            <w:r w:rsidR="009C1853" w:rsidRPr="009C1853">
              <w:rPr>
                <w:rStyle w:val="Hyperlink"/>
                <w:noProof/>
              </w:rPr>
              <w:t>Participants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_Toc3538134 \h </w:instrText>
            </w:r>
            <w:r w:rsidR="009C1853" w:rsidRPr="009C1853">
              <w:rPr>
                <w:noProof/>
                <w:webHidden/>
              </w:rPr>
            </w:r>
            <w:r w:rsidR="009C1853" w:rsidRPr="009C1853">
              <w:rPr>
                <w:noProof/>
                <w:webHidden/>
              </w:rPr>
              <w:fldChar w:fldCharType="separate"/>
            </w:r>
            <w:r w:rsidR="009C1853" w:rsidRPr="009C1853">
              <w:rPr>
                <w:noProof/>
                <w:webHidden/>
              </w:rPr>
              <w:t>93</w:t>
            </w:r>
            <w:r w:rsidR="009C1853" w:rsidRPr="009C1853">
              <w:rPr>
                <w:noProof/>
                <w:webHidden/>
              </w:rPr>
              <w:fldChar w:fldCharType="end"/>
            </w:r>
          </w:hyperlink>
        </w:p>
        <w:p w14:paraId="31FEB8AF" w14:textId="77777777" w:rsidR="009C1853" w:rsidRPr="009C1853" w:rsidRDefault="00FF643F">
          <w:pPr>
            <w:pStyle w:val="TOC3"/>
            <w:tabs>
              <w:tab w:val="left" w:pos="1320"/>
              <w:tab w:val="right" w:leader="dot" w:pos="9905"/>
            </w:tabs>
            <w:rPr>
              <w:noProof/>
              <w:lang w:eastAsia="en-GB"/>
            </w:rPr>
          </w:pPr>
          <w:hyperlink w:anchor="_Toc3538135" w:history="1">
            <w:r w:rsidR="009C1853" w:rsidRPr="009C1853">
              <w:rPr>
                <w:rStyle w:val="Hyperlink"/>
                <w:noProof/>
              </w:rPr>
              <w:t>5.6.2</w:t>
            </w:r>
            <w:r w:rsidR="009C1853" w:rsidRPr="009C1853">
              <w:rPr>
                <w:noProof/>
                <w:lang w:eastAsia="en-GB"/>
              </w:rPr>
              <w:tab/>
            </w:r>
            <w:r w:rsidR="009C1853" w:rsidRPr="009C1853">
              <w:rPr>
                <w:rStyle w:val="Hyperlink"/>
                <w:noProof/>
              </w:rPr>
              <w:t>Materials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_Toc3538135 \h </w:instrText>
            </w:r>
            <w:r w:rsidR="009C1853" w:rsidRPr="009C1853">
              <w:rPr>
                <w:noProof/>
                <w:webHidden/>
              </w:rPr>
            </w:r>
            <w:r w:rsidR="009C1853" w:rsidRPr="009C1853">
              <w:rPr>
                <w:noProof/>
                <w:webHidden/>
              </w:rPr>
              <w:fldChar w:fldCharType="separate"/>
            </w:r>
            <w:r w:rsidR="009C1853" w:rsidRPr="009C1853">
              <w:rPr>
                <w:noProof/>
                <w:webHidden/>
              </w:rPr>
              <w:t>95</w:t>
            </w:r>
            <w:r w:rsidR="009C1853" w:rsidRPr="009C1853">
              <w:rPr>
                <w:noProof/>
                <w:webHidden/>
              </w:rPr>
              <w:fldChar w:fldCharType="end"/>
            </w:r>
          </w:hyperlink>
        </w:p>
        <w:p w14:paraId="13FFDCA8" w14:textId="77777777" w:rsidR="009C1853" w:rsidRPr="009C1853" w:rsidRDefault="00FF643F">
          <w:pPr>
            <w:pStyle w:val="TOC2"/>
            <w:tabs>
              <w:tab w:val="left" w:pos="880"/>
              <w:tab w:val="right" w:leader="dot" w:pos="9905"/>
            </w:tabs>
            <w:rPr>
              <w:noProof/>
              <w:lang w:eastAsia="en-GB"/>
            </w:rPr>
          </w:pPr>
          <w:hyperlink w:anchor="_Toc3538136" w:history="1">
            <w:r w:rsidR="009C1853" w:rsidRPr="009C1853">
              <w:rPr>
                <w:rStyle w:val="Hyperlink"/>
                <w:noProof/>
              </w:rPr>
              <w:t>5.7</w:t>
            </w:r>
            <w:r w:rsidR="009C1853" w:rsidRPr="009C1853">
              <w:rPr>
                <w:noProof/>
                <w:lang w:eastAsia="en-GB"/>
              </w:rPr>
              <w:tab/>
            </w:r>
            <w:r w:rsidR="009C1853" w:rsidRPr="009C1853">
              <w:rPr>
                <w:rStyle w:val="Hyperlink"/>
                <w:noProof/>
              </w:rPr>
              <w:t>Procedure</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_Toc3538136 \h </w:instrText>
            </w:r>
            <w:r w:rsidR="009C1853" w:rsidRPr="009C1853">
              <w:rPr>
                <w:noProof/>
                <w:webHidden/>
              </w:rPr>
            </w:r>
            <w:r w:rsidR="009C1853" w:rsidRPr="009C1853">
              <w:rPr>
                <w:noProof/>
                <w:webHidden/>
              </w:rPr>
              <w:fldChar w:fldCharType="separate"/>
            </w:r>
            <w:r w:rsidR="009C1853" w:rsidRPr="009C1853">
              <w:rPr>
                <w:noProof/>
                <w:webHidden/>
              </w:rPr>
              <w:t>96</w:t>
            </w:r>
            <w:r w:rsidR="009C1853" w:rsidRPr="009C1853">
              <w:rPr>
                <w:noProof/>
                <w:webHidden/>
              </w:rPr>
              <w:fldChar w:fldCharType="end"/>
            </w:r>
          </w:hyperlink>
        </w:p>
        <w:p w14:paraId="59C0CCA8" w14:textId="77777777" w:rsidR="009C1853" w:rsidRPr="009C1853" w:rsidRDefault="00FF643F">
          <w:pPr>
            <w:pStyle w:val="TOC2"/>
            <w:tabs>
              <w:tab w:val="left" w:pos="880"/>
              <w:tab w:val="right" w:leader="dot" w:pos="9905"/>
            </w:tabs>
            <w:rPr>
              <w:noProof/>
              <w:lang w:eastAsia="en-GB"/>
            </w:rPr>
          </w:pPr>
          <w:hyperlink w:anchor="_Toc3538137" w:history="1">
            <w:r w:rsidR="009C1853" w:rsidRPr="009C1853">
              <w:rPr>
                <w:rStyle w:val="Hyperlink"/>
                <w:noProof/>
              </w:rPr>
              <w:t>5.8</w:t>
            </w:r>
            <w:r w:rsidR="009C1853" w:rsidRPr="009C1853">
              <w:rPr>
                <w:noProof/>
                <w:lang w:eastAsia="en-GB"/>
              </w:rPr>
              <w:tab/>
            </w:r>
            <w:r w:rsidR="009C1853" w:rsidRPr="009C1853">
              <w:rPr>
                <w:rStyle w:val="Hyperlink"/>
                <w:noProof/>
              </w:rPr>
              <w:t>Computer Programs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_Toc3538137 \h </w:instrText>
            </w:r>
            <w:r w:rsidR="009C1853" w:rsidRPr="009C1853">
              <w:rPr>
                <w:noProof/>
                <w:webHidden/>
              </w:rPr>
            </w:r>
            <w:r w:rsidR="009C1853" w:rsidRPr="009C1853">
              <w:rPr>
                <w:noProof/>
                <w:webHidden/>
              </w:rPr>
              <w:fldChar w:fldCharType="separate"/>
            </w:r>
            <w:r w:rsidR="009C1853" w:rsidRPr="009C1853">
              <w:rPr>
                <w:noProof/>
                <w:webHidden/>
              </w:rPr>
              <w:t>97</w:t>
            </w:r>
            <w:r w:rsidR="009C1853" w:rsidRPr="009C1853">
              <w:rPr>
                <w:noProof/>
                <w:webHidden/>
              </w:rPr>
              <w:fldChar w:fldCharType="end"/>
            </w:r>
          </w:hyperlink>
        </w:p>
        <w:p w14:paraId="547828A4" w14:textId="77777777" w:rsidR="009C1853" w:rsidRPr="009C1853" w:rsidRDefault="00FF643F">
          <w:pPr>
            <w:pStyle w:val="TOC3"/>
            <w:tabs>
              <w:tab w:val="left" w:pos="1320"/>
              <w:tab w:val="right" w:leader="dot" w:pos="9905"/>
            </w:tabs>
            <w:rPr>
              <w:noProof/>
              <w:lang w:eastAsia="en-GB"/>
            </w:rPr>
          </w:pPr>
          <w:hyperlink w:anchor="_Toc3538138" w:history="1">
            <w:r w:rsidR="009C1853" w:rsidRPr="009C1853">
              <w:rPr>
                <w:rStyle w:val="Hyperlink"/>
                <w:noProof/>
              </w:rPr>
              <w:t>5.8.1</w:t>
            </w:r>
            <w:r w:rsidR="009C1853" w:rsidRPr="009C1853">
              <w:rPr>
                <w:noProof/>
                <w:lang w:eastAsia="en-GB"/>
              </w:rPr>
              <w:tab/>
            </w:r>
            <w:r w:rsidR="009C1853" w:rsidRPr="009C1853">
              <w:rPr>
                <w:rStyle w:val="Hyperlink"/>
                <w:noProof/>
              </w:rPr>
              <w:t>ELIZA</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_Toc3538138 \h </w:instrText>
            </w:r>
            <w:r w:rsidR="009C1853" w:rsidRPr="009C1853">
              <w:rPr>
                <w:noProof/>
                <w:webHidden/>
              </w:rPr>
            </w:r>
            <w:r w:rsidR="009C1853" w:rsidRPr="009C1853">
              <w:rPr>
                <w:noProof/>
                <w:webHidden/>
              </w:rPr>
              <w:fldChar w:fldCharType="separate"/>
            </w:r>
            <w:r w:rsidR="009C1853" w:rsidRPr="009C1853">
              <w:rPr>
                <w:noProof/>
                <w:webHidden/>
              </w:rPr>
              <w:t>97</w:t>
            </w:r>
            <w:r w:rsidR="009C1853" w:rsidRPr="009C1853">
              <w:rPr>
                <w:noProof/>
                <w:webHidden/>
              </w:rPr>
              <w:fldChar w:fldCharType="end"/>
            </w:r>
          </w:hyperlink>
        </w:p>
        <w:p w14:paraId="20BBECBA" w14:textId="77777777" w:rsidR="009C1853" w:rsidRPr="009C1853" w:rsidRDefault="00FF643F">
          <w:pPr>
            <w:pStyle w:val="TOC3"/>
            <w:tabs>
              <w:tab w:val="left" w:pos="1320"/>
              <w:tab w:val="right" w:leader="dot" w:pos="9905"/>
            </w:tabs>
            <w:rPr>
              <w:noProof/>
              <w:lang w:eastAsia="en-GB"/>
            </w:rPr>
          </w:pPr>
          <w:hyperlink w:anchor="_Toc3538139" w:history="1">
            <w:r w:rsidR="009C1853" w:rsidRPr="009C1853">
              <w:rPr>
                <w:rStyle w:val="Hyperlink"/>
                <w:noProof/>
              </w:rPr>
              <w:t>5.8.2</w:t>
            </w:r>
            <w:r w:rsidR="009C1853" w:rsidRPr="009C1853">
              <w:rPr>
                <w:noProof/>
                <w:lang w:eastAsia="en-GB"/>
              </w:rPr>
              <w:tab/>
            </w:r>
            <w:r w:rsidR="009C1853" w:rsidRPr="009C1853">
              <w:rPr>
                <w:rStyle w:val="Hyperlink"/>
                <w:noProof/>
              </w:rPr>
              <w:t>Manage Your Life Online (MYLO)</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_Toc3538139 \h </w:instrText>
            </w:r>
            <w:r w:rsidR="009C1853" w:rsidRPr="009C1853">
              <w:rPr>
                <w:noProof/>
                <w:webHidden/>
              </w:rPr>
            </w:r>
            <w:r w:rsidR="009C1853" w:rsidRPr="009C1853">
              <w:rPr>
                <w:noProof/>
                <w:webHidden/>
              </w:rPr>
              <w:fldChar w:fldCharType="separate"/>
            </w:r>
            <w:r w:rsidR="009C1853" w:rsidRPr="009C1853">
              <w:rPr>
                <w:noProof/>
                <w:webHidden/>
              </w:rPr>
              <w:t>98</w:t>
            </w:r>
            <w:r w:rsidR="009C1853" w:rsidRPr="009C1853">
              <w:rPr>
                <w:noProof/>
                <w:webHidden/>
              </w:rPr>
              <w:fldChar w:fldCharType="end"/>
            </w:r>
          </w:hyperlink>
        </w:p>
        <w:p w14:paraId="64756A8B" w14:textId="77777777" w:rsidR="009C1853" w:rsidRPr="009C1853" w:rsidRDefault="00FF643F">
          <w:pPr>
            <w:pStyle w:val="TOC2"/>
            <w:tabs>
              <w:tab w:val="left" w:pos="880"/>
              <w:tab w:val="right" w:leader="dot" w:pos="9905"/>
            </w:tabs>
            <w:rPr>
              <w:noProof/>
              <w:lang w:eastAsia="en-GB"/>
            </w:rPr>
          </w:pPr>
          <w:hyperlink w:anchor="_Toc3538140" w:history="1">
            <w:r w:rsidR="009C1853" w:rsidRPr="009C1853">
              <w:rPr>
                <w:rStyle w:val="Hyperlink"/>
                <w:noProof/>
              </w:rPr>
              <w:t>5.9</w:t>
            </w:r>
            <w:r w:rsidR="009C1853" w:rsidRPr="009C1853">
              <w:rPr>
                <w:noProof/>
                <w:lang w:eastAsia="en-GB"/>
              </w:rPr>
              <w:tab/>
            </w:r>
            <w:r w:rsidR="009C1853" w:rsidRPr="009C1853">
              <w:rPr>
                <w:rStyle w:val="Hyperlink"/>
                <w:noProof/>
              </w:rPr>
              <w:t>Sample Size Calculation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_Toc3538140 \h </w:instrText>
            </w:r>
            <w:r w:rsidR="009C1853" w:rsidRPr="009C1853">
              <w:rPr>
                <w:noProof/>
                <w:webHidden/>
              </w:rPr>
            </w:r>
            <w:r w:rsidR="009C1853" w:rsidRPr="009C1853">
              <w:rPr>
                <w:noProof/>
                <w:webHidden/>
              </w:rPr>
              <w:fldChar w:fldCharType="separate"/>
            </w:r>
            <w:r w:rsidR="009C1853" w:rsidRPr="009C1853">
              <w:rPr>
                <w:noProof/>
                <w:webHidden/>
              </w:rPr>
              <w:t>98</w:t>
            </w:r>
            <w:r w:rsidR="009C1853" w:rsidRPr="009C1853">
              <w:rPr>
                <w:noProof/>
                <w:webHidden/>
              </w:rPr>
              <w:fldChar w:fldCharType="end"/>
            </w:r>
          </w:hyperlink>
        </w:p>
        <w:p w14:paraId="07854193" w14:textId="77777777" w:rsidR="009C1853" w:rsidRPr="009C1853" w:rsidRDefault="00FF643F">
          <w:pPr>
            <w:pStyle w:val="TOC2"/>
            <w:tabs>
              <w:tab w:val="left" w:pos="880"/>
              <w:tab w:val="right" w:leader="dot" w:pos="9905"/>
            </w:tabs>
            <w:rPr>
              <w:noProof/>
              <w:lang w:eastAsia="en-GB"/>
            </w:rPr>
          </w:pPr>
          <w:hyperlink w:anchor="_Toc3538141" w:history="1">
            <w:r w:rsidR="009C1853" w:rsidRPr="009C1853">
              <w:rPr>
                <w:rStyle w:val="Hyperlink"/>
                <w:noProof/>
              </w:rPr>
              <w:t>5.10</w:t>
            </w:r>
            <w:r w:rsidR="009C1853" w:rsidRPr="009C1853">
              <w:rPr>
                <w:noProof/>
                <w:lang w:eastAsia="en-GB"/>
              </w:rPr>
              <w:tab/>
            </w:r>
            <w:r w:rsidR="009C1853" w:rsidRPr="009C1853">
              <w:rPr>
                <w:rStyle w:val="Hyperlink"/>
                <w:noProof/>
              </w:rPr>
              <w:t>Data Analysis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_Toc3538141 \h </w:instrText>
            </w:r>
            <w:r w:rsidR="009C1853" w:rsidRPr="009C1853">
              <w:rPr>
                <w:noProof/>
                <w:webHidden/>
              </w:rPr>
            </w:r>
            <w:r w:rsidR="009C1853" w:rsidRPr="009C1853">
              <w:rPr>
                <w:noProof/>
                <w:webHidden/>
              </w:rPr>
              <w:fldChar w:fldCharType="separate"/>
            </w:r>
            <w:r w:rsidR="009C1853" w:rsidRPr="009C1853">
              <w:rPr>
                <w:noProof/>
                <w:webHidden/>
              </w:rPr>
              <w:t>99</w:t>
            </w:r>
            <w:r w:rsidR="009C1853" w:rsidRPr="009C1853">
              <w:rPr>
                <w:noProof/>
                <w:webHidden/>
              </w:rPr>
              <w:fldChar w:fldCharType="end"/>
            </w:r>
          </w:hyperlink>
        </w:p>
        <w:p w14:paraId="1E31472C" w14:textId="77777777" w:rsidR="009C1853" w:rsidRPr="009C1853" w:rsidRDefault="00FF643F">
          <w:pPr>
            <w:pStyle w:val="TOC2"/>
            <w:tabs>
              <w:tab w:val="left" w:pos="880"/>
              <w:tab w:val="right" w:leader="dot" w:pos="9905"/>
            </w:tabs>
            <w:rPr>
              <w:noProof/>
              <w:lang w:eastAsia="en-GB"/>
            </w:rPr>
          </w:pPr>
          <w:hyperlink w:anchor="_Toc3538142" w:history="1">
            <w:r w:rsidR="009C1853" w:rsidRPr="009C1853">
              <w:rPr>
                <w:rStyle w:val="Hyperlink"/>
                <w:noProof/>
              </w:rPr>
              <w:t>5.11</w:t>
            </w:r>
            <w:r w:rsidR="009C1853" w:rsidRPr="009C1853">
              <w:rPr>
                <w:noProof/>
                <w:lang w:eastAsia="en-GB"/>
              </w:rPr>
              <w:tab/>
            </w:r>
            <w:r w:rsidR="009C1853" w:rsidRPr="009C1853">
              <w:rPr>
                <w:rStyle w:val="Hyperlink"/>
                <w:noProof/>
              </w:rPr>
              <w:t>Results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_Toc3538142 \h </w:instrText>
            </w:r>
            <w:r w:rsidR="009C1853" w:rsidRPr="009C1853">
              <w:rPr>
                <w:noProof/>
                <w:webHidden/>
              </w:rPr>
            </w:r>
            <w:r w:rsidR="009C1853" w:rsidRPr="009C1853">
              <w:rPr>
                <w:noProof/>
                <w:webHidden/>
              </w:rPr>
              <w:fldChar w:fldCharType="separate"/>
            </w:r>
            <w:r w:rsidR="009C1853" w:rsidRPr="009C1853">
              <w:rPr>
                <w:noProof/>
                <w:webHidden/>
              </w:rPr>
              <w:t>99</w:t>
            </w:r>
            <w:r w:rsidR="009C1853" w:rsidRPr="009C1853">
              <w:rPr>
                <w:noProof/>
                <w:webHidden/>
              </w:rPr>
              <w:fldChar w:fldCharType="end"/>
            </w:r>
          </w:hyperlink>
        </w:p>
        <w:p w14:paraId="6384213F" w14:textId="77777777" w:rsidR="009C1853" w:rsidRPr="009C1853" w:rsidRDefault="00FF643F">
          <w:pPr>
            <w:pStyle w:val="TOC3"/>
            <w:tabs>
              <w:tab w:val="left" w:pos="1320"/>
              <w:tab w:val="right" w:leader="dot" w:pos="9905"/>
            </w:tabs>
            <w:rPr>
              <w:noProof/>
              <w:lang w:eastAsia="en-GB"/>
            </w:rPr>
          </w:pPr>
          <w:hyperlink w:anchor="_Toc3538143" w:history="1">
            <w:r w:rsidR="009C1853" w:rsidRPr="009C1853">
              <w:rPr>
                <w:rStyle w:val="Hyperlink"/>
                <w:noProof/>
              </w:rPr>
              <w:t>5.11.1</w:t>
            </w:r>
            <w:r w:rsidR="009C1853" w:rsidRPr="009C1853">
              <w:rPr>
                <w:noProof/>
                <w:lang w:eastAsia="en-GB"/>
              </w:rPr>
              <w:tab/>
            </w:r>
            <w:r w:rsidR="009C1853" w:rsidRPr="009C1853">
              <w:rPr>
                <w:rStyle w:val="Hyperlink"/>
                <w:noProof/>
              </w:rPr>
              <w:t>Descriptive Statistics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_Toc3538143 \h </w:instrText>
            </w:r>
            <w:r w:rsidR="009C1853" w:rsidRPr="009C1853">
              <w:rPr>
                <w:noProof/>
                <w:webHidden/>
              </w:rPr>
            </w:r>
            <w:r w:rsidR="009C1853" w:rsidRPr="009C1853">
              <w:rPr>
                <w:noProof/>
                <w:webHidden/>
              </w:rPr>
              <w:fldChar w:fldCharType="separate"/>
            </w:r>
            <w:r w:rsidR="009C1853" w:rsidRPr="009C1853">
              <w:rPr>
                <w:noProof/>
                <w:webHidden/>
              </w:rPr>
              <w:t>99</w:t>
            </w:r>
            <w:r w:rsidR="009C1853" w:rsidRPr="009C1853">
              <w:rPr>
                <w:noProof/>
                <w:webHidden/>
              </w:rPr>
              <w:fldChar w:fldCharType="end"/>
            </w:r>
          </w:hyperlink>
        </w:p>
        <w:p w14:paraId="5EFC6BEA" w14:textId="77777777" w:rsidR="009C1853" w:rsidRPr="009C1853" w:rsidRDefault="00FF643F">
          <w:pPr>
            <w:pStyle w:val="TOC3"/>
            <w:tabs>
              <w:tab w:val="left" w:pos="1320"/>
              <w:tab w:val="right" w:leader="dot" w:pos="9905"/>
            </w:tabs>
            <w:rPr>
              <w:noProof/>
              <w:lang w:eastAsia="en-GB"/>
            </w:rPr>
          </w:pPr>
          <w:hyperlink w:anchor="_Toc3538144" w:history="1">
            <w:r w:rsidR="009C1853" w:rsidRPr="009C1853">
              <w:rPr>
                <w:rStyle w:val="Hyperlink"/>
                <w:noProof/>
              </w:rPr>
              <w:t>5.11.2</w:t>
            </w:r>
            <w:r w:rsidR="009C1853" w:rsidRPr="009C1853">
              <w:rPr>
                <w:noProof/>
                <w:lang w:eastAsia="en-GB"/>
              </w:rPr>
              <w:tab/>
            </w:r>
            <w:r w:rsidR="009C1853" w:rsidRPr="009C1853">
              <w:rPr>
                <w:rStyle w:val="Hyperlink"/>
                <w:noProof/>
              </w:rPr>
              <w:t>Are Both MYLO and ELIZA Effective with Older Adults?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_Toc3538144 \h </w:instrText>
            </w:r>
            <w:r w:rsidR="009C1853" w:rsidRPr="009C1853">
              <w:rPr>
                <w:noProof/>
                <w:webHidden/>
              </w:rPr>
            </w:r>
            <w:r w:rsidR="009C1853" w:rsidRPr="009C1853">
              <w:rPr>
                <w:noProof/>
                <w:webHidden/>
              </w:rPr>
              <w:fldChar w:fldCharType="separate"/>
            </w:r>
            <w:r w:rsidR="009C1853" w:rsidRPr="009C1853">
              <w:rPr>
                <w:noProof/>
                <w:webHidden/>
              </w:rPr>
              <w:t>100</w:t>
            </w:r>
            <w:r w:rsidR="009C1853" w:rsidRPr="009C1853">
              <w:rPr>
                <w:noProof/>
                <w:webHidden/>
              </w:rPr>
              <w:fldChar w:fldCharType="end"/>
            </w:r>
          </w:hyperlink>
        </w:p>
        <w:p w14:paraId="14C4DDC8" w14:textId="77777777" w:rsidR="009C1853" w:rsidRPr="009C1853" w:rsidRDefault="00FF643F">
          <w:pPr>
            <w:pStyle w:val="TOC3"/>
            <w:tabs>
              <w:tab w:val="left" w:pos="1320"/>
              <w:tab w:val="right" w:leader="dot" w:pos="9905"/>
            </w:tabs>
            <w:rPr>
              <w:noProof/>
              <w:lang w:eastAsia="en-GB"/>
            </w:rPr>
          </w:pPr>
          <w:hyperlink w:anchor="_Toc3538145" w:history="1">
            <w:r w:rsidR="009C1853" w:rsidRPr="009C1853">
              <w:rPr>
                <w:rStyle w:val="Hyperlink"/>
                <w:noProof/>
              </w:rPr>
              <w:t>5.11.3</w:t>
            </w:r>
            <w:r w:rsidR="009C1853" w:rsidRPr="009C1853">
              <w:rPr>
                <w:noProof/>
                <w:lang w:eastAsia="en-GB"/>
              </w:rPr>
              <w:tab/>
            </w:r>
            <w:r w:rsidR="009C1853" w:rsidRPr="009C1853">
              <w:rPr>
                <w:rStyle w:val="Hyperlink"/>
                <w:noProof/>
              </w:rPr>
              <w:t>Is MYLO a More Acceptable Conversational Agent for Problem Solving to Older Adults Than ELIZA?</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_Toc3538145 \h </w:instrText>
            </w:r>
            <w:r w:rsidR="009C1853" w:rsidRPr="009C1853">
              <w:rPr>
                <w:noProof/>
                <w:webHidden/>
              </w:rPr>
            </w:r>
            <w:r w:rsidR="009C1853" w:rsidRPr="009C1853">
              <w:rPr>
                <w:noProof/>
                <w:webHidden/>
              </w:rPr>
              <w:fldChar w:fldCharType="separate"/>
            </w:r>
            <w:r w:rsidR="009C1853" w:rsidRPr="009C1853">
              <w:rPr>
                <w:noProof/>
                <w:webHidden/>
              </w:rPr>
              <w:t>104</w:t>
            </w:r>
            <w:r w:rsidR="009C1853" w:rsidRPr="009C1853">
              <w:rPr>
                <w:noProof/>
                <w:webHidden/>
              </w:rPr>
              <w:fldChar w:fldCharType="end"/>
            </w:r>
          </w:hyperlink>
        </w:p>
        <w:p w14:paraId="5F7CF91A" w14:textId="77777777" w:rsidR="009C1853" w:rsidRPr="009C1853" w:rsidRDefault="00FF643F">
          <w:pPr>
            <w:pStyle w:val="TOC3"/>
            <w:tabs>
              <w:tab w:val="left" w:pos="1320"/>
              <w:tab w:val="right" w:leader="dot" w:pos="9905"/>
            </w:tabs>
            <w:rPr>
              <w:noProof/>
              <w:lang w:eastAsia="en-GB"/>
            </w:rPr>
          </w:pPr>
          <w:hyperlink w:anchor="_Toc3538146" w:history="1">
            <w:r w:rsidR="009C1853" w:rsidRPr="009C1853">
              <w:rPr>
                <w:rStyle w:val="Hyperlink"/>
                <w:noProof/>
              </w:rPr>
              <w:t>5.11.4</w:t>
            </w:r>
            <w:r w:rsidR="009C1853" w:rsidRPr="009C1853">
              <w:rPr>
                <w:noProof/>
                <w:lang w:eastAsia="en-GB"/>
              </w:rPr>
              <w:tab/>
            </w:r>
            <w:r w:rsidR="009C1853" w:rsidRPr="009C1853">
              <w:rPr>
                <w:rStyle w:val="Hyperlink"/>
                <w:noProof/>
              </w:rPr>
              <w:t>Are Both MYLO and ELIZA of Equal System Usability?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_Toc3538146 \h </w:instrText>
            </w:r>
            <w:r w:rsidR="009C1853" w:rsidRPr="009C1853">
              <w:rPr>
                <w:noProof/>
                <w:webHidden/>
              </w:rPr>
            </w:r>
            <w:r w:rsidR="009C1853" w:rsidRPr="009C1853">
              <w:rPr>
                <w:noProof/>
                <w:webHidden/>
              </w:rPr>
              <w:fldChar w:fldCharType="separate"/>
            </w:r>
            <w:r w:rsidR="009C1853" w:rsidRPr="009C1853">
              <w:rPr>
                <w:noProof/>
                <w:webHidden/>
              </w:rPr>
              <w:t>106</w:t>
            </w:r>
            <w:r w:rsidR="009C1853" w:rsidRPr="009C1853">
              <w:rPr>
                <w:noProof/>
                <w:webHidden/>
              </w:rPr>
              <w:fldChar w:fldCharType="end"/>
            </w:r>
          </w:hyperlink>
        </w:p>
        <w:p w14:paraId="586D442B" w14:textId="77777777" w:rsidR="009C1853" w:rsidRPr="009C1853" w:rsidRDefault="00FF643F">
          <w:pPr>
            <w:pStyle w:val="TOC3"/>
            <w:tabs>
              <w:tab w:val="left" w:pos="1320"/>
              <w:tab w:val="right" w:leader="dot" w:pos="9905"/>
            </w:tabs>
            <w:rPr>
              <w:noProof/>
              <w:lang w:eastAsia="en-GB"/>
            </w:rPr>
          </w:pPr>
          <w:hyperlink w:anchor="_Toc3538147" w:history="1">
            <w:r w:rsidR="009C1853" w:rsidRPr="009C1853">
              <w:rPr>
                <w:rStyle w:val="Hyperlink"/>
                <w:noProof/>
              </w:rPr>
              <w:t>5.11.5</w:t>
            </w:r>
            <w:r w:rsidR="009C1853" w:rsidRPr="009C1853">
              <w:rPr>
                <w:noProof/>
                <w:lang w:eastAsia="en-GB"/>
              </w:rPr>
              <w:tab/>
            </w:r>
            <w:r w:rsidR="009C1853" w:rsidRPr="009C1853">
              <w:rPr>
                <w:rStyle w:val="Hyperlink"/>
                <w:noProof/>
              </w:rPr>
              <w:t>What Effect Does System Usability Have upon the Acceptability of a Conversational Agent for Problem-Solving?</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_Toc3538147 \h </w:instrText>
            </w:r>
            <w:r w:rsidR="009C1853" w:rsidRPr="009C1853">
              <w:rPr>
                <w:noProof/>
                <w:webHidden/>
              </w:rPr>
            </w:r>
            <w:r w:rsidR="009C1853" w:rsidRPr="009C1853">
              <w:rPr>
                <w:noProof/>
                <w:webHidden/>
              </w:rPr>
              <w:fldChar w:fldCharType="separate"/>
            </w:r>
            <w:r w:rsidR="009C1853" w:rsidRPr="009C1853">
              <w:rPr>
                <w:noProof/>
                <w:webHidden/>
              </w:rPr>
              <w:t>106</w:t>
            </w:r>
            <w:r w:rsidR="009C1853" w:rsidRPr="009C1853">
              <w:rPr>
                <w:noProof/>
                <w:webHidden/>
              </w:rPr>
              <w:fldChar w:fldCharType="end"/>
            </w:r>
          </w:hyperlink>
        </w:p>
        <w:p w14:paraId="72DD0AC6" w14:textId="77777777" w:rsidR="009C1853" w:rsidRPr="009C1853" w:rsidRDefault="00FF643F">
          <w:pPr>
            <w:pStyle w:val="TOC2"/>
            <w:tabs>
              <w:tab w:val="left" w:pos="880"/>
              <w:tab w:val="right" w:leader="dot" w:pos="9905"/>
            </w:tabs>
            <w:rPr>
              <w:noProof/>
              <w:lang w:eastAsia="en-GB"/>
            </w:rPr>
          </w:pPr>
          <w:hyperlink w:anchor="_Toc3538148" w:history="1">
            <w:r w:rsidR="009C1853" w:rsidRPr="009C1853">
              <w:rPr>
                <w:rStyle w:val="Hyperlink"/>
                <w:noProof/>
              </w:rPr>
              <w:t>5.12</w:t>
            </w:r>
            <w:r w:rsidR="009C1853" w:rsidRPr="009C1853">
              <w:rPr>
                <w:noProof/>
                <w:lang w:eastAsia="en-GB"/>
              </w:rPr>
              <w:tab/>
            </w:r>
            <w:r w:rsidR="009C1853" w:rsidRPr="009C1853">
              <w:rPr>
                <w:rStyle w:val="Hyperlink"/>
                <w:noProof/>
              </w:rPr>
              <w:t>Discussion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_Toc3538148 \h </w:instrText>
            </w:r>
            <w:r w:rsidR="009C1853" w:rsidRPr="009C1853">
              <w:rPr>
                <w:noProof/>
                <w:webHidden/>
              </w:rPr>
            </w:r>
            <w:r w:rsidR="009C1853" w:rsidRPr="009C1853">
              <w:rPr>
                <w:noProof/>
                <w:webHidden/>
              </w:rPr>
              <w:fldChar w:fldCharType="separate"/>
            </w:r>
            <w:r w:rsidR="009C1853" w:rsidRPr="009C1853">
              <w:rPr>
                <w:noProof/>
                <w:webHidden/>
              </w:rPr>
              <w:t>110</w:t>
            </w:r>
            <w:r w:rsidR="009C1853" w:rsidRPr="009C1853">
              <w:rPr>
                <w:noProof/>
                <w:webHidden/>
              </w:rPr>
              <w:fldChar w:fldCharType="end"/>
            </w:r>
          </w:hyperlink>
        </w:p>
        <w:p w14:paraId="24F33003" w14:textId="77777777" w:rsidR="009C1853" w:rsidRPr="009C1853" w:rsidRDefault="00FF643F">
          <w:pPr>
            <w:pStyle w:val="TOC3"/>
            <w:tabs>
              <w:tab w:val="left" w:pos="1320"/>
              <w:tab w:val="right" w:leader="dot" w:pos="9905"/>
            </w:tabs>
            <w:rPr>
              <w:noProof/>
              <w:lang w:eastAsia="en-GB"/>
            </w:rPr>
          </w:pPr>
          <w:hyperlink w:anchor="_Toc3538149" w:history="1">
            <w:r w:rsidR="009C1853" w:rsidRPr="009C1853">
              <w:rPr>
                <w:rStyle w:val="Hyperlink"/>
                <w:noProof/>
              </w:rPr>
              <w:t>5.12.1</w:t>
            </w:r>
            <w:r w:rsidR="009C1853" w:rsidRPr="009C1853">
              <w:rPr>
                <w:noProof/>
                <w:lang w:eastAsia="en-GB"/>
              </w:rPr>
              <w:tab/>
            </w:r>
            <w:r w:rsidR="009C1853" w:rsidRPr="009C1853">
              <w:rPr>
                <w:rStyle w:val="Hyperlink"/>
                <w:noProof/>
              </w:rPr>
              <w:t>Strengths and Limitations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_Toc3538149 \h </w:instrText>
            </w:r>
            <w:r w:rsidR="009C1853" w:rsidRPr="009C1853">
              <w:rPr>
                <w:noProof/>
                <w:webHidden/>
              </w:rPr>
            </w:r>
            <w:r w:rsidR="009C1853" w:rsidRPr="009C1853">
              <w:rPr>
                <w:noProof/>
                <w:webHidden/>
              </w:rPr>
              <w:fldChar w:fldCharType="separate"/>
            </w:r>
            <w:r w:rsidR="009C1853" w:rsidRPr="009C1853">
              <w:rPr>
                <w:noProof/>
                <w:webHidden/>
              </w:rPr>
              <w:t>111</w:t>
            </w:r>
            <w:r w:rsidR="009C1853" w:rsidRPr="009C1853">
              <w:rPr>
                <w:noProof/>
                <w:webHidden/>
              </w:rPr>
              <w:fldChar w:fldCharType="end"/>
            </w:r>
          </w:hyperlink>
        </w:p>
        <w:p w14:paraId="2085B417" w14:textId="77777777" w:rsidR="009C1853" w:rsidRPr="009C1853" w:rsidRDefault="00FF643F">
          <w:pPr>
            <w:pStyle w:val="TOC3"/>
            <w:tabs>
              <w:tab w:val="left" w:pos="1320"/>
              <w:tab w:val="right" w:leader="dot" w:pos="9905"/>
            </w:tabs>
            <w:rPr>
              <w:noProof/>
              <w:lang w:eastAsia="en-GB"/>
            </w:rPr>
          </w:pPr>
          <w:hyperlink w:anchor="_Toc3538150" w:history="1">
            <w:r w:rsidR="009C1853" w:rsidRPr="009C1853">
              <w:rPr>
                <w:rStyle w:val="Hyperlink"/>
                <w:noProof/>
              </w:rPr>
              <w:t>5.12.2</w:t>
            </w:r>
            <w:r w:rsidR="009C1853" w:rsidRPr="009C1853">
              <w:rPr>
                <w:noProof/>
                <w:lang w:eastAsia="en-GB"/>
              </w:rPr>
              <w:tab/>
            </w:r>
            <w:r w:rsidR="009C1853" w:rsidRPr="009C1853">
              <w:rPr>
                <w:rStyle w:val="Hyperlink"/>
                <w:noProof/>
              </w:rPr>
              <w:t>Directions for Future Research</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_Toc3538150 \h </w:instrText>
            </w:r>
            <w:r w:rsidR="009C1853" w:rsidRPr="009C1853">
              <w:rPr>
                <w:noProof/>
                <w:webHidden/>
              </w:rPr>
            </w:r>
            <w:r w:rsidR="009C1853" w:rsidRPr="009C1853">
              <w:rPr>
                <w:noProof/>
                <w:webHidden/>
              </w:rPr>
              <w:fldChar w:fldCharType="separate"/>
            </w:r>
            <w:r w:rsidR="009C1853" w:rsidRPr="009C1853">
              <w:rPr>
                <w:noProof/>
                <w:webHidden/>
              </w:rPr>
              <w:t>111</w:t>
            </w:r>
            <w:r w:rsidR="009C1853" w:rsidRPr="009C1853">
              <w:rPr>
                <w:noProof/>
                <w:webHidden/>
              </w:rPr>
              <w:fldChar w:fldCharType="end"/>
            </w:r>
          </w:hyperlink>
        </w:p>
        <w:p w14:paraId="445A9765" w14:textId="77777777" w:rsidR="009C1853" w:rsidRPr="009C1853" w:rsidRDefault="00FF643F">
          <w:pPr>
            <w:pStyle w:val="TOC3"/>
            <w:tabs>
              <w:tab w:val="left" w:pos="1320"/>
              <w:tab w:val="right" w:leader="dot" w:pos="9905"/>
            </w:tabs>
            <w:rPr>
              <w:noProof/>
              <w:lang w:eastAsia="en-GB"/>
            </w:rPr>
          </w:pPr>
          <w:hyperlink w:anchor="_Toc3538151" w:history="1">
            <w:r w:rsidR="009C1853" w:rsidRPr="009C1853">
              <w:rPr>
                <w:rStyle w:val="Hyperlink"/>
                <w:noProof/>
              </w:rPr>
              <w:t>5.12.3</w:t>
            </w:r>
            <w:r w:rsidR="009C1853" w:rsidRPr="009C1853">
              <w:rPr>
                <w:noProof/>
                <w:lang w:eastAsia="en-GB"/>
              </w:rPr>
              <w:tab/>
            </w:r>
            <w:r w:rsidR="009C1853" w:rsidRPr="009C1853">
              <w:rPr>
                <w:rStyle w:val="Hyperlink"/>
                <w:noProof/>
              </w:rPr>
              <w:t>Summary and Conclusion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_Toc3538151 \h </w:instrText>
            </w:r>
            <w:r w:rsidR="009C1853" w:rsidRPr="009C1853">
              <w:rPr>
                <w:noProof/>
                <w:webHidden/>
              </w:rPr>
            </w:r>
            <w:r w:rsidR="009C1853" w:rsidRPr="009C1853">
              <w:rPr>
                <w:noProof/>
                <w:webHidden/>
              </w:rPr>
              <w:fldChar w:fldCharType="separate"/>
            </w:r>
            <w:r w:rsidR="009C1853" w:rsidRPr="009C1853">
              <w:rPr>
                <w:noProof/>
                <w:webHidden/>
              </w:rPr>
              <w:t>112</w:t>
            </w:r>
            <w:r w:rsidR="009C1853" w:rsidRPr="009C1853">
              <w:rPr>
                <w:noProof/>
                <w:webHidden/>
              </w:rPr>
              <w:fldChar w:fldCharType="end"/>
            </w:r>
          </w:hyperlink>
        </w:p>
        <w:p w14:paraId="626ECAA4" w14:textId="77777777" w:rsidR="009C1853" w:rsidRPr="009C1853" w:rsidRDefault="00FF643F">
          <w:pPr>
            <w:pStyle w:val="TOC1"/>
            <w:tabs>
              <w:tab w:val="left" w:pos="440"/>
            </w:tabs>
            <w:rPr>
              <w:rFonts w:asciiTheme="minorHAnsi" w:hAnsiTheme="minorHAnsi"/>
              <w:shd w:val="clear" w:color="auto" w:fill="auto"/>
              <w:lang w:eastAsia="en-GB"/>
            </w:rPr>
          </w:pPr>
          <w:hyperlink w:anchor="_Toc3538152" w:history="1">
            <w:r w:rsidR="009C1853" w:rsidRPr="009C1853">
              <w:rPr>
                <w:rStyle w:val="Hyperlink"/>
                <w:rFonts w:asciiTheme="minorHAnsi" w:hAnsiTheme="minorHAnsi"/>
              </w:rPr>
              <w:t>6</w:t>
            </w:r>
            <w:r w:rsidR="009C1853" w:rsidRPr="009C1853">
              <w:rPr>
                <w:rFonts w:asciiTheme="minorHAnsi" w:hAnsiTheme="minorHAnsi"/>
                <w:shd w:val="clear" w:color="auto" w:fill="auto"/>
                <w:lang w:eastAsia="en-GB"/>
              </w:rPr>
              <w:tab/>
            </w:r>
            <w:r w:rsidR="009C1853" w:rsidRPr="009C1853">
              <w:rPr>
                <w:rStyle w:val="Hyperlink"/>
                <w:rFonts w:asciiTheme="minorHAnsi" w:hAnsiTheme="minorHAnsi"/>
              </w:rPr>
              <w:t>Acceptability and Usability of Enhanced MYLO(s)</w:t>
            </w:r>
            <w:r w:rsidR="009C1853" w:rsidRPr="009C1853">
              <w:rPr>
                <w:rFonts w:asciiTheme="minorHAnsi" w:hAnsiTheme="minorHAnsi"/>
                <w:webHidden/>
              </w:rPr>
              <w:tab/>
            </w:r>
            <w:r w:rsidR="009C1853" w:rsidRPr="009C1853">
              <w:rPr>
                <w:rFonts w:asciiTheme="minorHAnsi" w:hAnsiTheme="minorHAnsi"/>
                <w:webHidden/>
              </w:rPr>
              <w:fldChar w:fldCharType="begin"/>
            </w:r>
            <w:r w:rsidR="009C1853" w:rsidRPr="009C1853">
              <w:rPr>
                <w:rFonts w:asciiTheme="minorHAnsi" w:hAnsiTheme="minorHAnsi"/>
                <w:webHidden/>
              </w:rPr>
              <w:instrText xml:space="preserve"> PAGEREF _Toc3538152 \h </w:instrText>
            </w:r>
            <w:r w:rsidR="009C1853" w:rsidRPr="009C1853">
              <w:rPr>
                <w:rFonts w:asciiTheme="minorHAnsi" w:hAnsiTheme="minorHAnsi"/>
                <w:webHidden/>
              </w:rPr>
            </w:r>
            <w:r w:rsidR="009C1853" w:rsidRPr="009C1853">
              <w:rPr>
                <w:rFonts w:asciiTheme="minorHAnsi" w:hAnsiTheme="minorHAnsi"/>
                <w:webHidden/>
              </w:rPr>
              <w:fldChar w:fldCharType="separate"/>
            </w:r>
            <w:r w:rsidR="009C1853" w:rsidRPr="009C1853">
              <w:rPr>
                <w:rFonts w:asciiTheme="minorHAnsi" w:hAnsiTheme="minorHAnsi"/>
                <w:webHidden/>
              </w:rPr>
              <w:t>113</w:t>
            </w:r>
            <w:r w:rsidR="009C1853" w:rsidRPr="009C1853">
              <w:rPr>
                <w:rFonts w:asciiTheme="minorHAnsi" w:hAnsiTheme="minorHAnsi"/>
                <w:webHidden/>
              </w:rPr>
              <w:fldChar w:fldCharType="end"/>
            </w:r>
          </w:hyperlink>
        </w:p>
        <w:p w14:paraId="4F60E452" w14:textId="77777777" w:rsidR="009C1853" w:rsidRPr="009C1853" w:rsidRDefault="00FF643F">
          <w:pPr>
            <w:pStyle w:val="TOC2"/>
            <w:tabs>
              <w:tab w:val="left" w:pos="880"/>
              <w:tab w:val="right" w:leader="dot" w:pos="9905"/>
            </w:tabs>
            <w:rPr>
              <w:noProof/>
              <w:lang w:eastAsia="en-GB"/>
            </w:rPr>
          </w:pPr>
          <w:hyperlink w:anchor="_Toc3538153" w:history="1">
            <w:r w:rsidR="009C1853" w:rsidRPr="009C1853">
              <w:rPr>
                <w:rStyle w:val="Hyperlink"/>
                <w:noProof/>
              </w:rPr>
              <w:t>6.1</w:t>
            </w:r>
            <w:r w:rsidR="009C1853" w:rsidRPr="009C1853">
              <w:rPr>
                <w:noProof/>
                <w:lang w:eastAsia="en-GB"/>
              </w:rPr>
              <w:tab/>
            </w:r>
            <w:r w:rsidR="009C1853" w:rsidRPr="009C1853">
              <w:rPr>
                <w:rStyle w:val="Hyperlink"/>
                <w:noProof/>
              </w:rPr>
              <w:t>Introduction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_Toc3538153 \h </w:instrText>
            </w:r>
            <w:r w:rsidR="009C1853" w:rsidRPr="009C1853">
              <w:rPr>
                <w:noProof/>
                <w:webHidden/>
              </w:rPr>
            </w:r>
            <w:r w:rsidR="009C1853" w:rsidRPr="009C1853">
              <w:rPr>
                <w:noProof/>
                <w:webHidden/>
              </w:rPr>
              <w:fldChar w:fldCharType="separate"/>
            </w:r>
            <w:r w:rsidR="009C1853" w:rsidRPr="009C1853">
              <w:rPr>
                <w:noProof/>
                <w:webHidden/>
              </w:rPr>
              <w:t>113</w:t>
            </w:r>
            <w:r w:rsidR="009C1853" w:rsidRPr="009C1853">
              <w:rPr>
                <w:noProof/>
                <w:webHidden/>
              </w:rPr>
              <w:fldChar w:fldCharType="end"/>
            </w:r>
          </w:hyperlink>
        </w:p>
        <w:p w14:paraId="53240976" w14:textId="77777777" w:rsidR="009C1853" w:rsidRPr="009C1853" w:rsidRDefault="00FF643F">
          <w:pPr>
            <w:pStyle w:val="TOC3"/>
            <w:tabs>
              <w:tab w:val="left" w:pos="1320"/>
              <w:tab w:val="right" w:leader="dot" w:pos="9905"/>
            </w:tabs>
            <w:rPr>
              <w:noProof/>
              <w:lang w:eastAsia="en-GB"/>
            </w:rPr>
          </w:pPr>
          <w:hyperlink w:anchor="_Toc3538154" w:history="1">
            <w:r w:rsidR="009C1853" w:rsidRPr="009C1853">
              <w:rPr>
                <w:rStyle w:val="Hyperlink"/>
                <w:noProof/>
              </w:rPr>
              <w:t>6.1.1</w:t>
            </w:r>
            <w:r w:rsidR="009C1853" w:rsidRPr="009C1853">
              <w:rPr>
                <w:noProof/>
                <w:lang w:eastAsia="en-GB"/>
              </w:rPr>
              <w:tab/>
            </w:r>
            <w:r w:rsidR="009C1853" w:rsidRPr="009C1853">
              <w:rPr>
                <w:rStyle w:val="Hyperlink"/>
                <w:noProof/>
              </w:rPr>
              <w:t>E-therapy Engagement</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_Toc3538154 \h </w:instrText>
            </w:r>
            <w:r w:rsidR="009C1853" w:rsidRPr="009C1853">
              <w:rPr>
                <w:noProof/>
                <w:webHidden/>
              </w:rPr>
            </w:r>
            <w:r w:rsidR="009C1853" w:rsidRPr="009C1853">
              <w:rPr>
                <w:noProof/>
                <w:webHidden/>
              </w:rPr>
              <w:fldChar w:fldCharType="separate"/>
            </w:r>
            <w:r w:rsidR="009C1853" w:rsidRPr="009C1853">
              <w:rPr>
                <w:noProof/>
                <w:webHidden/>
              </w:rPr>
              <w:t>113</w:t>
            </w:r>
            <w:r w:rsidR="009C1853" w:rsidRPr="009C1853">
              <w:rPr>
                <w:noProof/>
                <w:webHidden/>
              </w:rPr>
              <w:fldChar w:fldCharType="end"/>
            </w:r>
          </w:hyperlink>
        </w:p>
        <w:p w14:paraId="288BCE62" w14:textId="77777777" w:rsidR="009C1853" w:rsidRPr="009C1853" w:rsidRDefault="00FF643F">
          <w:pPr>
            <w:pStyle w:val="TOC3"/>
            <w:tabs>
              <w:tab w:val="left" w:pos="1320"/>
              <w:tab w:val="right" w:leader="dot" w:pos="9905"/>
            </w:tabs>
            <w:rPr>
              <w:noProof/>
              <w:lang w:eastAsia="en-GB"/>
            </w:rPr>
          </w:pPr>
          <w:hyperlink w:anchor="_Toc3538155" w:history="1">
            <w:r w:rsidR="009C1853" w:rsidRPr="009C1853">
              <w:rPr>
                <w:rStyle w:val="Hyperlink"/>
                <w:noProof/>
              </w:rPr>
              <w:t>6.1.2</w:t>
            </w:r>
            <w:r w:rsidR="009C1853" w:rsidRPr="009C1853">
              <w:rPr>
                <w:noProof/>
                <w:lang w:eastAsia="en-GB"/>
              </w:rPr>
              <w:tab/>
            </w:r>
            <w:r w:rsidR="009C1853" w:rsidRPr="009C1853">
              <w:rPr>
                <w:rStyle w:val="Hyperlink"/>
                <w:noProof/>
              </w:rPr>
              <w:t>User Expectations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_Toc3538155 \h </w:instrText>
            </w:r>
            <w:r w:rsidR="009C1853" w:rsidRPr="009C1853">
              <w:rPr>
                <w:noProof/>
                <w:webHidden/>
              </w:rPr>
            </w:r>
            <w:r w:rsidR="009C1853" w:rsidRPr="009C1853">
              <w:rPr>
                <w:noProof/>
                <w:webHidden/>
              </w:rPr>
              <w:fldChar w:fldCharType="separate"/>
            </w:r>
            <w:r w:rsidR="009C1853" w:rsidRPr="009C1853">
              <w:rPr>
                <w:noProof/>
                <w:webHidden/>
              </w:rPr>
              <w:t>114</w:t>
            </w:r>
            <w:r w:rsidR="009C1853" w:rsidRPr="009C1853">
              <w:rPr>
                <w:noProof/>
                <w:webHidden/>
              </w:rPr>
              <w:fldChar w:fldCharType="end"/>
            </w:r>
          </w:hyperlink>
        </w:p>
        <w:p w14:paraId="16794944" w14:textId="77777777" w:rsidR="009C1853" w:rsidRPr="009C1853" w:rsidRDefault="00FF643F">
          <w:pPr>
            <w:pStyle w:val="TOC3"/>
            <w:tabs>
              <w:tab w:val="left" w:pos="1320"/>
              <w:tab w:val="right" w:leader="dot" w:pos="9905"/>
            </w:tabs>
            <w:rPr>
              <w:noProof/>
              <w:lang w:eastAsia="en-GB"/>
            </w:rPr>
          </w:pPr>
          <w:hyperlink w:anchor="_Toc3538156" w:history="1">
            <w:r w:rsidR="009C1853" w:rsidRPr="009C1853">
              <w:rPr>
                <w:rStyle w:val="Hyperlink"/>
                <w:noProof/>
              </w:rPr>
              <w:t>6.1.3</w:t>
            </w:r>
            <w:r w:rsidR="009C1853" w:rsidRPr="009C1853">
              <w:rPr>
                <w:noProof/>
                <w:lang w:eastAsia="en-GB"/>
              </w:rPr>
              <w:tab/>
            </w:r>
            <w:r w:rsidR="009C1853" w:rsidRPr="009C1853">
              <w:rPr>
                <w:rStyle w:val="Hyperlink"/>
                <w:noProof/>
              </w:rPr>
              <w:t>Style and Interactivity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_Toc3538156 \h </w:instrText>
            </w:r>
            <w:r w:rsidR="009C1853" w:rsidRPr="009C1853">
              <w:rPr>
                <w:noProof/>
                <w:webHidden/>
              </w:rPr>
            </w:r>
            <w:r w:rsidR="009C1853" w:rsidRPr="009C1853">
              <w:rPr>
                <w:noProof/>
                <w:webHidden/>
              </w:rPr>
              <w:fldChar w:fldCharType="separate"/>
            </w:r>
            <w:r w:rsidR="009C1853" w:rsidRPr="009C1853">
              <w:rPr>
                <w:noProof/>
                <w:webHidden/>
              </w:rPr>
              <w:t>115</w:t>
            </w:r>
            <w:r w:rsidR="009C1853" w:rsidRPr="009C1853">
              <w:rPr>
                <w:noProof/>
                <w:webHidden/>
              </w:rPr>
              <w:fldChar w:fldCharType="end"/>
            </w:r>
          </w:hyperlink>
        </w:p>
        <w:p w14:paraId="45FC6A01" w14:textId="77777777" w:rsidR="009C1853" w:rsidRPr="009C1853" w:rsidRDefault="00FF643F">
          <w:pPr>
            <w:pStyle w:val="TOC3"/>
            <w:tabs>
              <w:tab w:val="left" w:pos="1320"/>
              <w:tab w:val="right" w:leader="dot" w:pos="9905"/>
            </w:tabs>
            <w:rPr>
              <w:noProof/>
              <w:lang w:eastAsia="en-GB"/>
            </w:rPr>
          </w:pPr>
          <w:hyperlink w:anchor="_Toc3538157" w:history="1">
            <w:r w:rsidR="009C1853" w:rsidRPr="009C1853">
              <w:rPr>
                <w:rStyle w:val="Hyperlink"/>
                <w:noProof/>
              </w:rPr>
              <w:t>6.1.4</w:t>
            </w:r>
            <w:r w:rsidR="009C1853" w:rsidRPr="009C1853">
              <w:rPr>
                <w:noProof/>
                <w:lang w:eastAsia="en-GB"/>
              </w:rPr>
              <w:tab/>
            </w:r>
            <w:r w:rsidR="009C1853" w:rsidRPr="009C1853">
              <w:rPr>
                <w:rStyle w:val="Hyperlink"/>
                <w:noProof/>
              </w:rPr>
              <w:t>The Therapeutic Relationship</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_Toc3538157 \h </w:instrText>
            </w:r>
            <w:r w:rsidR="009C1853" w:rsidRPr="009C1853">
              <w:rPr>
                <w:noProof/>
                <w:webHidden/>
              </w:rPr>
            </w:r>
            <w:r w:rsidR="009C1853" w:rsidRPr="009C1853">
              <w:rPr>
                <w:noProof/>
                <w:webHidden/>
              </w:rPr>
              <w:fldChar w:fldCharType="separate"/>
            </w:r>
            <w:r w:rsidR="009C1853" w:rsidRPr="009C1853">
              <w:rPr>
                <w:noProof/>
                <w:webHidden/>
              </w:rPr>
              <w:t>115</w:t>
            </w:r>
            <w:r w:rsidR="009C1853" w:rsidRPr="009C1853">
              <w:rPr>
                <w:noProof/>
                <w:webHidden/>
              </w:rPr>
              <w:fldChar w:fldCharType="end"/>
            </w:r>
          </w:hyperlink>
        </w:p>
        <w:p w14:paraId="7F7B79F5" w14:textId="77777777" w:rsidR="009C1853" w:rsidRPr="009C1853" w:rsidRDefault="00FF643F">
          <w:pPr>
            <w:pStyle w:val="TOC2"/>
            <w:tabs>
              <w:tab w:val="left" w:pos="880"/>
              <w:tab w:val="right" w:leader="dot" w:pos="9905"/>
            </w:tabs>
            <w:rPr>
              <w:noProof/>
              <w:lang w:eastAsia="en-GB"/>
            </w:rPr>
          </w:pPr>
          <w:hyperlink w:anchor="_Toc3538158" w:history="1">
            <w:r w:rsidR="009C1853" w:rsidRPr="009C1853">
              <w:rPr>
                <w:rStyle w:val="Hyperlink"/>
                <w:noProof/>
              </w:rPr>
              <w:t>6.2</w:t>
            </w:r>
            <w:r w:rsidR="009C1853" w:rsidRPr="009C1853">
              <w:rPr>
                <w:noProof/>
                <w:lang w:eastAsia="en-GB"/>
              </w:rPr>
              <w:tab/>
            </w:r>
            <w:r w:rsidR="009C1853" w:rsidRPr="009C1853">
              <w:rPr>
                <w:rStyle w:val="Hyperlink"/>
                <w:noProof/>
              </w:rPr>
              <w:t>Aims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_Toc3538158 \h </w:instrText>
            </w:r>
            <w:r w:rsidR="009C1853" w:rsidRPr="009C1853">
              <w:rPr>
                <w:noProof/>
                <w:webHidden/>
              </w:rPr>
            </w:r>
            <w:r w:rsidR="009C1853" w:rsidRPr="009C1853">
              <w:rPr>
                <w:noProof/>
                <w:webHidden/>
              </w:rPr>
              <w:fldChar w:fldCharType="separate"/>
            </w:r>
            <w:r w:rsidR="009C1853" w:rsidRPr="009C1853">
              <w:rPr>
                <w:noProof/>
                <w:webHidden/>
              </w:rPr>
              <w:t>116</w:t>
            </w:r>
            <w:r w:rsidR="009C1853" w:rsidRPr="009C1853">
              <w:rPr>
                <w:noProof/>
                <w:webHidden/>
              </w:rPr>
              <w:fldChar w:fldCharType="end"/>
            </w:r>
          </w:hyperlink>
        </w:p>
        <w:p w14:paraId="3F02A4CA" w14:textId="77777777" w:rsidR="009C1853" w:rsidRPr="009C1853" w:rsidRDefault="00FF643F">
          <w:pPr>
            <w:pStyle w:val="TOC2"/>
            <w:tabs>
              <w:tab w:val="left" w:pos="880"/>
              <w:tab w:val="right" w:leader="dot" w:pos="9905"/>
            </w:tabs>
            <w:rPr>
              <w:noProof/>
              <w:lang w:eastAsia="en-GB"/>
            </w:rPr>
          </w:pPr>
          <w:hyperlink w:anchor="_Toc3538159" w:history="1">
            <w:r w:rsidR="009C1853" w:rsidRPr="009C1853">
              <w:rPr>
                <w:rStyle w:val="Hyperlink"/>
                <w:noProof/>
              </w:rPr>
              <w:t>6.3</w:t>
            </w:r>
            <w:r w:rsidR="009C1853" w:rsidRPr="009C1853">
              <w:rPr>
                <w:noProof/>
                <w:lang w:eastAsia="en-GB"/>
              </w:rPr>
              <w:tab/>
            </w:r>
            <w:r w:rsidR="009C1853" w:rsidRPr="009C1853">
              <w:rPr>
                <w:rStyle w:val="Hyperlink"/>
                <w:noProof/>
              </w:rPr>
              <w:t>Pilot Survey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_Toc3538159 \h </w:instrText>
            </w:r>
            <w:r w:rsidR="009C1853" w:rsidRPr="009C1853">
              <w:rPr>
                <w:noProof/>
                <w:webHidden/>
              </w:rPr>
            </w:r>
            <w:r w:rsidR="009C1853" w:rsidRPr="009C1853">
              <w:rPr>
                <w:noProof/>
                <w:webHidden/>
              </w:rPr>
              <w:fldChar w:fldCharType="separate"/>
            </w:r>
            <w:r w:rsidR="009C1853" w:rsidRPr="009C1853">
              <w:rPr>
                <w:noProof/>
                <w:webHidden/>
              </w:rPr>
              <w:t>116</w:t>
            </w:r>
            <w:r w:rsidR="009C1853" w:rsidRPr="009C1853">
              <w:rPr>
                <w:noProof/>
                <w:webHidden/>
              </w:rPr>
              <w:fldChar w:fldCharType="end"/>
            </w:r>
          </w:hyperlink>
        </w:p>
        <w:p w14:paraId="6378ABBA" w14:textId="77777777" w:rsidR="009C1853" w:rsidRPr="009C1853" w:rsidRDefault="00FF643F">
          <w:pPr>
            <w:pStyle w:val="TOC3"/>
            <w:tabs>
              <w:tab w:val="left" w:pos="1320"/>
              <w:tab w:val="right" w:leader="dot" w:pos="9905"/>
            </w:tabs>
            <w:rPr>
              <w:noProof/>
              <w:lang w:eastAsia="en-GB"/>
            </w:rPr>
          </w:pPr>
          <w:hyperlink w:anchor="_Toc3538160" w:history="1">
            <w:r w:rsidR="009C1853" w:rsidRPr="009C1853">
              <w:rPr>
                <w:rStyle w:val="Hyperlink"/>
                <w:noProof/>
              </w:rPr>
              <w:t>6.3.1</w:t>
            </w:r>
            <w:r w:rsidR="009C1853" w:rsidRPr="009C1853">
              <w:rPr>
                <w:noProof/>
                <w:lang w:eastAsia="en-GB"/>
              </w:rPr>
              <w:tab/>
            </w:r>
            <w:r w:rsidR="009C1853" w:rsidRPr="009C1853">
              <w:rPr>
                <w:rStyle w:val="Hyperlink"/>
                <w:noProof/>
              </w:rPr>
              <w:t>Pilot Survey Participants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_Toc3538160 \h </w:instrText>
            </w:r>
            <w:r w:rsidR="009C1853" w:rsidRPr="009C1853">
              <w:rPr>
                <w:noProof/>
                <w:webHidden/>
              </w:rPr>
            </w:r>
            <w:r w:rsidR="009C1853" w:rsidRPr="009C1853">
              <w:rPr>
                <w:noProof/>
                <w:webHidden/>
              </w:rPr>
              <w:fldChar w:fldCharType="separate"/>
            </w:r>
            <w:r w:rsidR="009C1853" w:rsidRPr="009C1853">
              <w:rPr>
                <w:noProof/>
                <w:webHidden/>
              </w:rPr>
              <w:t>117</w:t>
            </w:r>
            <w:r w:rsidR="009C1853" w:rsidRPr="009C1853">
              <w:rPr>
                <w:noProof/>
                <w:webHidden/>
              </w:rPr>
              <w:fldChar w:fldCharType="end"/>
            </w:r>
          </w:hyperlink>
        </w:p>
        <w:p w14:paraId="2760F050" w14:textId="77777777" w:rsidR="009C1853" w:rsidRPr="009C1853" w:rsidRDefault="00FF643F">
          <w:pPr>
            <w:pStyle w:val="TOC3"/>
            <w:tabs>
              <w:tab w:val="left" w:pos="1320"/>
              <w:tab w:val="right" w:leader="dot" w:pos="9905"/>
            </w:tabs>
            <w:rPr>
              <w:noProof/>
              <w:lang w:eastAsia="en-GB"/>
            </w:rPr>
          </w:pPr>
          <w:hyperlink w:anchor="_Toc3538161" w:history="1">
            <w:r w:rsidR="009C1853" w:rsidRPr="009C1853">
              <w:rPr>
                <w:rStyle w:val="Hyperlink"/>
                <w:noProof/>
              </w:rPr>
              <w:t>6.3.2</w:t>
            </w:r>
            <w:r w:rsidR="009C1853" w:rsidRPr="009C1853">
              <w:rPr>
                <w:noProof/>
                <w:lang w:eastAsia="en-GB"/>
              </w:rPr>
              <w:tab/>
            </w:r>
            <w:r w:rsidR="009C1853" w:rsidRPr="009C1853">
              <w:rPr>
                <w:rStyle w:val="Hyperlink"/>
                <w:noProof/>
              </w:rPr>
              <w:t>Pilot Survey Procedure</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_Toc3538161 \h </w:instrText>
            </w:r>
            <w:r w:rsidR="009C1853" w:rsidRPr="009C1853">
              <w:rPr>
                <w:noProof/>
                <w:webHidden/>
              </w:rPr>
            </w:r>
            <w:r w:rsidR="009C1853" w:rsidRPr="009C1853">
              <w:rPr>
                <w:noProof/>
                <w:webHidden/>
              </w:rPr>
              <w:fldChar w:fldCharType="separate"/>
            </w:r>
            <w:r w:rsidR="009C1853" w:rsidRPr="009C1853">
              <w:rPr>
                <w:noProof/>
                <w:webHidden/>
              </w:rPr>
              <w:t>117</w:t>
            </w:r>
            <w:r w:rsidR="009C1853" w:rsidRPr="009C1853">
              <w:rPr>
                <w:noProof/>
                <w:webHidden/>
              </w:rPr>
              <w:fldChar w:fldCharType="end"/>
            </w:r>
          </w:hyperlink>
        </w:p>
        <w:p w14:paraId="4CEFFC90" w14:textId="77777777" w:rsidR="009C1853" w:rsidRPr="009C1853" w:rsidRDefault="00FF643F">
          <w:pPr>
            <w:pStyle w:val="TOC3"/>
            <w:tabs>
              <w:tab w:val="left" w:pos="1320"/>
              <w:tab w:val="right" w:leader="dot" w:pos="9905"/>
            </w:tabs>
            <w:rPr>
              <w:noProof/>
              <w:lang w:eastAsia="en-GB"/>
            </w:rPr>
          </w:pPr>
          <w:hyperlink w:anchor="_Toc3538162" w:history="1">
            <w:r w:rsidR="009C1853" w:rsidRPr="009C1853">
              <w:rPr>
                <w:rStyle w:val="Hyperlink"/>
                <w:noProof/>
              </w:rPr>
              <w:t>6.3.3</w:t>
            </w:r>
            <w:r w:rsidR="009C1853" w:rsidRPr="009C1853">
              <w:rPr>
                <w:noProof/>
                <w:lang w:eastAsia="en-GB"/>
              </w:rPr>
              <w:tab/>
            </w:r>
            <w:r w:rsidR="009C1853" w:rsidRPr="009C1853">
              <w:rPr>
                <w:rStyle w:val="Hyperlink"/>
                <w:noProof/>
              </w:rPr>
              <w:t>Pilot Survey Results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_Toc3538162 \h </w:instrText>
            </w:r>
            <w:r w:rsidR="009C1853" w:rsidRPr="009C1853">
              <w:rPr>
                <w:noProof/>
                <w:webHidden/>
              </w:rPr>
            </w:r>
            <w:r w:rsidR="009C1853" w:rsidRPr="009C1853">
              <w:rPr>
                <w:noProof/>
                <w:webHidden/>
              </w:rPr>
              <w:fldChar w:fldCharType="separate"/>
            </w:r>
            <w:r w:rsidR="009C1853" w:rsidRPr="009C1853">
              <w:rPr>
                <w:noProof/>
                <w:webHidden/>
              </w:rPr>
              <w:t>117</w:t>
            </w:r>
            <w:r w:rsidR="009C1853" w:rsidRPr="009C1853">
              <w:rPr>
                <w:noProof/>
                <w:webHidden/>
              </w:rPr>
              <w:fldChar w:fldCharType="end"/>
            </w:r>
          </w:hyperlink>
        </w:p>
        <w:p w14:paraId="2DB8EF70" w14:textId="77777777" w:rsidR="009C1853" w:rsidRPr="009C1853" w:rsidRDefault="00FF643F">
          <w:pPr>
            <w:pStyle w:val="TOC3"/>
            <w:tabs>
              <w:tab w:val="left" w:pos="1320"/>
              <w:tab w:val="right" w:leader="dot" w:pos="9905"/>
            </w:tabs>
            <w:rPr>
              <w:noProof/>
              <w:lang w:eastAsia="en-GB"/>
            </w:rPr>
          </w:pPr>
          <w:hyperlink w:anchor="_Toc3538163" w:history="1">
            <w:r w:rsidR="009C1853" w:rsidRPr="009C1853">
              <w:rPr>
                <w:rStyle w:val="Hyperlink"/>
                <w:noProof/>
              </w:rPr>
              <w:t>6.3.4</w:t>
            </w:r>
            <w:r w:rsidR="009C1853" w:rsidRPr="009C1853">
              <w:rPr>
                <w:noProof/>
                <w:lang w:eastAsia="en-GB"/>
              </w:rPr>
              <w:tab/>
            </w:r>
            <w:r w:rsidR="009C1853" w:rsidRPr="009C1853">
              <w:rPr>
                <w:rStyle w:val="Hyperlink"/>
                <w:noProof/>
              </w:rPr>
              <w:t>Pilot Survey Conclusion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_Toc3538163 \h </w:instrText>
            </w:r>
            <w:r w:rsidR="009C1853" w:rsidRPr="009C1853">
              <w:rPr>
                <w:noProof/>
                <w:webHidden/>
              </w:rPr>
            </w:r>
            <w:r w:rsidR="009C1853" w:rsidRPr="009C1853">
              <w:rPr>
                <w:noProof/>
                <w:webHidden/>
              </w:rPr>
              <w:fldChar w:fldCharType="separate"/>
            </w:r>
            <w:r w:rsidR="009C1853" w:rsidRPr="009C1853">
              <w:rPr>
                <w:noProof/>
                <w:webHidden/>
              </w:rPr>
              <w:t>118</w:t>
            </w:r>
            <w:r w:rsidR="009C1853" w:rsidRPr="009C1853">
              <w:rPr>
                <w:noProof/>
                <w:webHidden/>
              </w:rPr>
              <w:fldChar w:fldCharType="end"/>
            </w:r>
          </w:hyperlink>
        </w:p>
        <w:p w14:paraId="2AC66E56" w14:textId="77777777" w:rsidR="009C1853" w:rsidRPr="009C1853" w:rsidRDefault="00FF643F">
          <w:pPr>
            <w:pStyle w:val="TOC2"/>
            <w:tabs>
              <w:tab w:val="left" w:pos="880"/>
              <w:tab w:val="right" w:leader="dot" w:pos="9905"/>
            </w:tabs>
            <w:rPr>
              <w:noProof/>
              <w:lang w:eastAsia="en-GB"/>
            </w:rPr>
          </w:pPr>
          <w:hyperlink w:anchor="_Toc3538164" w:history="1">
            <w:r w:rsidR="009C1853" w:rsidRPr="009C1853">
              <w:rPr>
                <w:rStyle w:val="Hyperlink"/>
                <w:noProof/>
              </w:rPr>
              <w:t>6.4</w:t>
            </w:r>
            <w:r w:rsidR="009C1853" w:rsidRPr="009C1853">
              <w:rPr>
                <w:noProof/>
                <w:lang w:eastAsia="en-GB"/>
              </w:rPr>
              <w:tab/>
            </w:r>
            <w:r w:rsidR="009C1853" w:rsidRPr="009C1853">
              <w:rPr>
                <w:rStyle w:val="Hyperlink"/>
                <w:noProof/>
              </w:rPr>
              <w:t>Hypotheses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_Toc3538164 \h </w:instrText>
            </w:r>
            <w:r w:rsidR="009C1853" w:rsidRPr="009C1853">
              <w:rPr>
                <w:noProof/>
                <w:webHidden/>
              </w:rPr>
            </w:r>
            <w:r w:rsidR="009C1853" w:rsidRPr="009C1853">
              <w:rPr>
                <w:noProof/>
                <w:webHidden/>
              </w:rPr>
              <w:fldChar w:fldCharType="separate"/>
            </w:r>
            <w:r w:rsidR="009C1853" w:rsidRPr="009C1853">
              <w:rPr>
                <w:noProof/>
                <w:webHidden/>
              </w:rPr>
              <w:t>118</w:t>
            </w:r>
            <w:r w:rsidR="009C1853" w:rsidRPr="009C1853">
              <w:rPr>
                <w:noProof/>
                <w:webHidden/>
              </w:rPr>
              <w:fldChar w:fldCharType="end"/>
            </w:r>
          </w:hyperlink>
        </w:p>
        <w:p w14:paraId="19839A22" w14:textId="77777777" w:rsidR="009C1853" w:rsidRPr="009C1853" w:rsidRDefault="00FF643F">
          <w:pPr>
            <w:pStyle w:val="TOC3"/>
            <w:tabs>
              <w:tab w:val="left" w:pos="1320"/>
              <w:tab w:val="right" w:leader="dot" w:pos="9905"/>
            </w:tabs>
            <w:rPr>
              <w:noProof/>
              <w:lang w:eastAsia="en-GB"/>
            </w:rPr>
          </w:pPr>
          <w:hyperlink w:anchor="_Toc3538165" w:history="1">
            <w:r w:rsidR="009C1853" w:rsidRPr="009C1853">
              <w:rPr>
                <w:rStyle w:val="Hyperlink"/>
                <w:noProof/>
              </w:rPr>
              <w:t>6.4.1</w:t>
            </w:r>
            <w:r w:rsidR="009C1853" w:rsidRPr="009C1853">
              <w:rPr>
                <w:noProof/>
                <w:lang w:eastAsia="en-GB"/>
              </w:rPr>
              <w:tab/>
            </w:r>
            <w:r w:rsidR="009C1853" w:rsidRPr="009C1853">
              <w:rPr>
                <w:rStyle w:val="Hyperlink"/>
                <w:noProof/>
              </w:rPr>
              <w:t>Main Study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_Toc3538165 \h </w:instrText>
            </w:r>
            <w:r w:rsidR="009C1853" w:rsidRPr="009C1853">
              <w:rPr>
                <w:noProof/>
                <w:webHidden/>
              </w:rPr>
            </w:r>
            <w:r w:rsidR="009C1853" w:rsidRPr="009C1853">
              <w:rPr>
                <w:noProof/>
                <w:webHidden/>
              </w:rPr>
              <w:fldChar w:fldCharType="separate"/>
            </w:r>
            <w:r w:rsidR="009C1853" w:rsidRPr="009C1853">
              <w:rPr>
                <w:noProof/>
                <w:webHidden/>
              </w:rPr>
              <w:t>119</w:t>
            </w:r>
            <w:r w:rsidR="009C1853" w:rsidRPr="009C1853">
              <w:rPr>
                <w:noProof/>
                <w:webHidden/>
              </w:rPr>
              <w:fldChar w:fldCharType="end"/>
            </w:r>
          </w:hyperlink>
        </w:p>
        <w:p w14:paraId="68BCC95D" w14:textId="77777777" w:rsidR="009C1853" w:rsidRPr="009C1853" w:rsidRDefault="00FF643F">
          <w:pPr>
            <w:pStyle w:val="TOC2"/>
            <w:tabs>
              <w:tab w:val="left" w:pos="880"/>
              <w:tab w:val="right" w:leader="dot" w:pos="9905"/>
            </w:tabs>
            <w:rPr>
              <w:noProof/>
              <w:lang w:eastAsia="en-GB"/>
            </w:rPr>
          </w:pPr>
          <w:hyperlink w:anchor="_Toc3538166" w:history="1">
            <w:r w:rsidR="009C1853" w:rsidRPr="009C1853">
              <w:rPr>
                <w:rStyle w:val="Hyperlink"/>
                <w:noProof/>
              </w:rPr>
              <w:t>6.5</w:t>
            </w:r>
            <w:r w:rsidR="009C1853" w:rsidRPr="009C1853">
              <w:rPr>
                <w:noProof/>
                <w:lang w:eastAsia="en-GB"/>
              </w:rPr>
              <w:tab/>
            </w:r>
            <w:r w:rsidR="009C1853" w:rsidRPr="009C1853">
              <w:rPr>
                <w:rStyle w:val="Hyperlink"/>
                <w:noProof/>
              </w:rPr>
              <w:t>Method</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_Toc3538166 \h </w:instrText>
            </w:r>
            <w:r w:rsidR="009C1853" w:rsidRPr="009C1853">
              <w:rPr>
                <w:noProof/>
                <w:webHidden/>
              </w:rPr>
            </w:r>
            <w:r w:rsidR="009C1853" w:rsidRPr="009C1853">
              <w:rPr>
                <w:noProof/>
                <w:webHidden/>
              </w:rPr>
              <w:fldChar w:fldCharType="separate"/>
            </w:r>
            <w:r w:rsidR="009C1853" w:rsidRPr="009C1853">
              <w:rPr>
                <w:noProof/>
                <w:webHidden/>
              </w:rPr>
              <w:t>119</w:t>
            </w:r>
            <w:r w:rsidR="009C1853" w:rsidRPr="009C1853">
              <w:rPr>
                <w:noProof/>
                <w:webHidden/>
              </w:rPr>
              <w:fldChar w:fldCharType="end"/>
            </w:r>
          </w:hyperlink>
        </w:p>
        <w:p w14:paraId="2D85EBC6" w14:textId="77777777" w:rsidR="009C1853" w:rsidRPr="009C1853" w:rsidRDefault="00FF643F">
          <w:pPr>
            <w:pStyle w:val="TOC3"/>
            <w:tabs>
              <w:tab w:val="left" w:pos="1320"/>
              <w:tab w:val="right" w:leader="dot" w:pos="9905"/>
            </w:tabs>
            <w:rPr>
              <w:noProof/>
              <w:lang w:eastAsia="en-GB"/>
            </w:rPr>
          </w:pPr>
          <w:hyperlink w:anchor="_Toc3538167" w:history="1">
            <w:r w:rsidR="009C1853" w:rsidRPr="009C1853">
              <w:rPr>
                <w:rStyle w:val="Hyperlink"/>
                <w:noProof/>
              </w:rPr>
              <w:t>6.5.1</w:t>
            </w:r>
            <w:r w:rsidR="009C1853" w:rsidRPr="009C1853">
              <w:rPr>
                <w:noProof/>
                <w:lang w:eastAsia="en-GB"/>
              </w:rPr>
              <w:tab/>
            </w:r>
            <w:r w:rsidR="009C1853" w:rsidRPr="009C1853">
              <w:rPr>
                <w:rStyle w:val="Hyperlink"/>
                <w:noProof/>
              </w:rPr>
              <w:t>Participants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_Toc3538167 \h </w:instrText>
            </w:r>
            <w:r w:rsidR="009C1853" w:rsidRPr="009C1853">
              <w:rPr>
                <w:noProof/>
                <w:webHidden/>
              </w:rPr>
            </w:r>
            <w:r w:rsidR="009C1853" w:rsidRPr="009C1853">
              <w:rPr>
                <w:noProof/>
                <w:webHidden/>
              </w:rPr>
              <w:fldChar w:fldCharType="separate"/>
            </w:r>
            <w:r w:rsidR="009C1853" w:rsidRPr="009C1853">
              <w:rPr>
                <w:noProof/>
                <w:webHidden/>
              </w:rPr>
              <w:t>119</w:t>
            </w:r>
            <w:r w:rsidR="009C1853" w:rsidRPr="009C1853">
              <w:rPr>
                <w:noProof/>
                <w:webHidden/>
              </w:rPr>
              <w:fldChar w:fldCharType="end"/>
            </w:r>
          </w:hyperlink>
        </w:p>
        <w:p w14:paraId="05B2CF7E" w14:textId="77777777" w:rsidR="009C1853" w:rsidRPr="009C1853" w:rsidRDefault="00FF643F">
          <w:pPr>
            <w:pStyle w:val="TOC3"/>
            <w:tabs>
              <w:tab w:val="left" w:pos="1320"/>
              <w:tab w:val="right" w:leader="dot" w:pos="9905"/>
            </w:tabs>
            <w:rPr>
              <w:noProof/>
              <w:lang w:eastAsia="en-GB"/>
            </w:rPr>
          </w:pPr>
          <w:hyperlink w:anchor="_Toc3538168" w:history="1">
            <w:r w:rsidR="009C1853" w:rsidRPr="009C1853">
              <w:rPr>
                <w:rStyle w:val="Hyperlink"/>
                <w:noProof/>
              </w:rPr>
              <w:t>6.5.2</w:t>
            </w:r>
            <w:r w:rsidR="009C1853" w:rsidRPr="009C1853">
              <w:rPr>
                <w:noProof/>
                <w:lang w:eastAsia="en-GB"/>
              </w:rPr>
              <w:tab/>
            </w:r>
            <w:r w:rsidR="009C1853" w:rsidRPr="009C1853">
              <w:rPr>
                <w:rStyle w:val="Hyperlink"/>
                <w:noProof/>
              </w:rPr>
              <w:t>Computer Programs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_Toc3538168 \h </w:instrText>
            </w:r>
            <w:r w:rsidR="009C1853" w:rsidRPr="009C1853">
              <w:rPr>
                <w:noProof/>
                <w:webHidden/>
              </w:rPr>
            </w:r>
            <w:r w:rsidR="009C1853" w:rsidRPr="009C1853">
              <w:rPr>
                <w:noProof/>
                <w:webHidden/>
              </w:rPr>
              <w:fldChar w:fldCharType="separate"/>
            </w:r>
            <w:r w:rsidR="009C1853" w:rsidRPr="009C1853">
              <w:rPr>
                <w:noProof/>
                <w:webHidden/>
              </w:rPr>
              <w:t>120</w:t>
            </w:r>
            <w:r w:rsidR="009C1853" w:rsidRPr="009C1853">
              <w:rPr>
                <w:noProof/>
                <w:webHidden/>
              </w:rPr>
              <w:fldChar w:fldCharType="end"/>
            </w:r>
          </w:hyperlink>
        </w:p>
        <w:p w14:paraId="37CECFF8" w14:textId="77777777" w:rsidR="009C1853" w:rsidRPr="009C1853" w:rsidRDefault="00FF643F">
          <w:pPr>
            <w:pStyle w:val="TOC3"/>
            <w:tabs>
              <w:tab w:val="left" w:pos="1320"/>
              <w:tab w:val="right" w:leader="dot" w:pos="9905"/>
            </w:tabs>
            <w:rPr>
              <w:noProof/>
              <w:lang w:eastAsia="en-GB"/>
            </w:rPr>
          </w:pPr>
          <w:hyperlink w:anchor="_Toc3538169" w:history="1">
            <w:r w:rsidR="009C1853" w:rsidRPr="009C1853">
              <w:rPr>
                <w:rStyle w:val="Hyperlink"/>
                <w:noProof/>
              </w:rPr>
              <w:t>6.5.3</w:t>
            </w:r>
            <w:r w:rsidR="009C1853" w:rsidRPr="009C1853">
              <w:rPr>
                <w:noProof/>
                <w:lang w:eastAsia="en-GB"/>
              </w:rPr>
              <w:tab/>
            </w:r>
            <w:r w:rsidR="009C1853" w:rsidRPr="009C1853">
              <w:rPr>
                <w:rStyle w:val="Hyperlink"/>
                <w:noProof/>
              </w:rPr>
              <w:t>Materials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_Toc3538169 \h </w:instrText>
            </w:r>
            <w:r w:rsidR="009C1853" w:rsidRPr="009C1853">
              <w:rPr>
                <w:noProof/>
                <w:webHidden/>
              </w:rPr>
            </w:r>
            <w:r w:rsidR="009C1853" w:rsidRPr="009C1853">
              <w:rPr>
                <w:noProof/>
                <w:webHidden/>
              </w:rPr>
              <w:fldChar w:fldCharType="separate"/>
            </w:r>
            <w:r w:rsidR="009C1853" w:rsidRPr="009C1853">
              <w:rPr>
                <w:noProof/>
                <w:webHidden/>
              </w:rPr>
              <w:t>124</w:t>
            </w:r>
            <w:r w:rsidR="009C1853" w:rsidRPr="009C1853">
              <w:rPr>
                <w:noProof/>
                <w:webHidden/>
              </w:rPr>
              <w:fldChar w:fldCharType="end"/>
            </w:r>
          </w:hyperlink>
        </w:p>
        <w:p w14:paraId="140D239B" w14:textId="77777777" w:rsidR="009C1853" w:rsidRPr="009C1853" w:rsidRDefault="00FF643F">
          <w:pPr>
            <w:pStyle w:val="TOC2"/>
            <w:tabs>
              <w:tab w:val="left" w:pos="880"/>
              <w:tab w:val="right" w:leader="dot" w:pos="9905"/>
            </w:tabs>
            <w:rPr>
              <w:noProof/>
              <w:lang w:eastAsia="en-GB"/>
            </w:rPr>
          </w:pPr>
          <w:hyperlink w:anchor="_Toc3538170" w:history="1">
            <w:r w:rsidR="009C1853" w:rsidRPr="009C1853">
              <w:rPr>
                <w:rStyle w:val="Hyperlink"/>
                <w:noProof/>
              </w:rPr>
              <w:t>6.6</w:t>
            </w:r>
            <w:r w:rsidR="009C1853" w:rsidRPr="009C1853">
              <w:rPr>
                <w:noProof/>
                <w:lang w:eastAsia="en-GB"/>
              </w:rPr>
              <w:tab/>
            </w:r>
            <w:r w:rsidR="009C1853" w:rsidRPr="009C1853">
              <w:rPr>
                <w:rStyle w:val="Hyperlink"/>
                <w:noProof/>
              </w:rPr>
              <w:t>Procedure</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_Toc3538170 \h </w:instrText>
            </w:r>
            <w:r w:rsidR="009C1853" w:rsidRPr="009C1853">
              <w:rPr>
                <w:noProof/>
                <w:webHidden/>
              </w:rPr>
            </w:r>
            <w:r w:rsidR="009C1853" w:rsidRPr="009C1853">
              <w:rPr>
                <w:noProof/>
                <w:webHidden/>
              </w:rPr>
              <w:fldChar w:fldCharType="separate"/>
            </w:r>
            <w:r w:rsidR="009C1853" w:rsidRPr="009C1853">
              <w:rPr>
                <w:noProof/>
                <w:webHidden/>
              </w:rPr>
              <w:t>127</w:t>
            </w:r>
            <w:r w:rsidR="009C1853" w:rsidRPr="009C1853">
              <w:rPr>
                <w:noProof/>
                <w:webHidden/>
              </w:rPr>
              <w:fldChar w:fldCharType="end"/>
            </w:r>
          </w:hyperlink>
        </w:p>
        <w:p w14:paraId="571BA1DC" w14:textId="77777777" w:rsidR="009C1853" w:rsidRPr="009C1853" w:rsidRDefault="00FF643F">
          <w:pPr>
            <w:pStyle w:val="TOC2"/>
            <w:tabs>
              <w:tab w:val="left" w:pos="880"/>
              <w:tab w:val="right" w:leader="dot" w:pos="9905"/>
            </w:tabs>
            <w:rPr>
              <w:noProof/>
              <w:lang w:eastAsia="en-GB"/>
            </w:rPr>
          </w:pPr>
          <w:hyperlink w:anchor="_Toc3538171" w:history="1">
            <w:r w:rsidR="009C1853" w:rsidRPr="009C1853">
              <w:rPr>
                <w:rStyle w:val="Hyperlink"/>
                <w:noProof/>
              </w:rPr>
              <w:t>6.7</w:t>
            </w:r>
            <w:r w:rsidR="009C1853" w:rsidRPr="009C1853">
              <w:rPr>
                <w:noProof/>
                <w:lang w:eastAsia="en-GB"/>
              </w:rPr>
              <w:tab/>
            </w:r>
            <w:r w:rsidR="009C1853" w:rsidRPr="009C1853">
              <w:rPr>
                <w:rStyle w:val="Hyperlink"/>
                <w:noProof/>
              </w:rPr>
              <w:t>Sample Size Calculation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_Toc3538171 \h </w:instrText>
            </w:r>
            <w:r w:rsidR="009C1853" w:rsidRPr="009C1853">
              <w:rPr>
                <w:noProof/>
                <w:webHidden/>
              </w:rPr>
            </w:r>
            <w:r w:rsidR="009C1853" w:rsidRPr="009C1853">
              <w:rPr>
                <w:noProof/>
                <w:webHidden/>
              </w:rPr>
              <w:fldChar w:fldCharType="separate"/>
            </w:r>
            <w:r w:rsidR="009C1853" w:rsidRPr="009C1853">
              <w:rPr>
                <w:noProof/>
                <w:webHidden/>
              </w:rPr>
              <w:t>128</w:t>
            </w:r>
            <w:r w:rsidR="009C1853" w:rsidRPr="009C1853">
              <w:rPr>
                <w:noProof/>
                <w:webHidden/>
              </w:rPr>
              <w:fldChar w:fldCharType="end"/>
            </w:r>
          </w:hyperlink>
        </w:p>
        <w:p w14:paraId="5A1D69BC" w14:textId="77777777" w:rsidR="009C1853" w:rsidRPr="009C1853" w:rsidRDefault="00FF643F">
          <w:pPr>
            <w:pStyle w:val="TOC2"/>
            <w:tabs>
              <w:tab w:val="left" w:pos="880"/>
              <w:tab w:val="right" w:leader="dot" w:pos="9905"/>
            </w:tabs>
            <w:rPr>
              <w:noProof/>
              <w:lang w:eastAsia="en-GB"/>
            </w:rPr>
          </w:pPr>
          <w:hyperlink w:anchor="_Toc3538172" w:history="1">
            <w:r w:rsidR="009C1853" w:rsidRPr="009C1853">
              <w:rPr>
                <w:rStyle w:val="Hyperlink"/>
                <w:noProof/>
              </w:rPr>
              <w:t>6.8</w:t>
            </w:r>
            <w:r w:rsidR="009C1853" w:rsidRPr="009C1853">
              <w:rPr>
                <w:noProof/>
                <w:lang w:eastAsia="en-GB"/>
              </w:rPr>
              <w:tab/>
            </w:r>
            <w:r w:rsidR="009C1853" w:rsidRPr="009C1853">
              <w:rPr>
                <w:rStyle w:val="Hyperlink"/>
                <w:noProof/>
              </w:rPr>
              <w:t>Data Analysis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_Toc3538172 \h </w:instrText>
            </w:r>
            <w:r w:rsidR="009C1853" w:rsidRPr="009C1853">
              <w:rPr>
                <w:noProof/>
                <w:webHidden/>
              </w:rPr>
            </w:r>
            <w:r w:rsidR="009C1853" w:rsidRPr="009C1853">
              <w:rPr>
                <w:noProof/>
                <w:webHidden/>
              </w:rPr>
              <w:fldChar w:fldCharType="separate"/>
            </w:r>
            <w:r w:rsidR="009C1853" w:rsidRPr="009C1853">
              <w:rPr>
                <w:noProof/>
                <w:webHidden/>
              </w:rPr>
              <w:t>128</w:t>
            </w:r>
            <w:r w:rsidR="009C1853" w:rsidRPr="009C1853">
              <w:rPr>
                <w:noProof/>
                <w:webHidden/>
              </w:rPr>
              <w:fldChar w:fldCharType="end"/>
            </w:r>
          </w:hyperlink>
        </w:p>
        <w:p w14:paraId="356E31F5" w14:textId="77777777" w:rsidR="009C1853" w:rsidRPr="009C1853" w:rsidRDefault="00FF643F">
          <w:pPr>
            <w:pStyle w:val="TOC2"/>
            <w:tabs>
              <w:tab w:val="left" w:pos="880"/>
              <w:tab w:val="right" w:leader="dot" w:pos="9905"/>
            </w:tabs>
            <w:rPr>
              <w:noProof/>
              <w:lang w:eastAsia="en-GB"/>
            </w:rPr>
          </w:pPr>
          <w:hyperlink w:anchor="_Toc3538173" w:history="1">
            <w:r w:rsidR="009C1853" w:rsidRPr="009C1853">
              <w:rPr>
                <w:rStyle w:val="Hyperlink"/>
                <w:noProof/>
              </w:rPr>
              <w:t>6.9</w:t>
            </w:r>
            <w:r w:rsidR="009C1853" w:rsidRPr="009C1853">
              <w:rPr>
                <w:noProof/>
                <w:lang w:eastAsia="en-GB"/>
              </w:rPr>
              <w:tab/>
            </w:r>
            <w:r w:rsidR="009C1853" w:rsidRPr="009C1853">
              <w:rPr>
                <w:rStyle w:val="Hyperlink"/>
                <w:noProof/>
              </w:rPr>
              <w:t>Results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_Toc3538173 \h </w:instrText>
            </w:r>
            <w:r w:rsidR="009C1853" w:rsidRPr="009C1853">
              <w:rPr>
                <w:noProof/>
                <w:webHidden/>
              </w:rPr>
            </w:r>
            <w:r w:rsidR="009C1853" w:rsidRPr="009C1853">
              <w:rPr>
                <w:noProof/>
                <w:webHidden/>
              </w:rPr>
              <w:fldChar w:fldCharType="separate"/>
            </w:r>
            <w:r w:rsidR="009C1853" w:rsidRPr="009C1853">
              <w:rPr>
                <w:noProof/>
                <w:webHidden/>
              </w:rPr>
              <w:t>130</w:t>
            </w:r>
            <w:r w:rsidR="009C1853" w:rsidRPr="009C1853">
              <w:rPr>
                <w:noProof/>
                <w:webHidden/>
              </w:rPr>
              <w:fldChar w:fldCharType="end"/>
            </w:r>
          </w:hyperlink>
        </w:p>
        <w:p w14:paraId="5F7F439E" w14:textId="77777777" w:rsidR="009C1853" w:rsidRPr="009C1853" w:rsidRDefault="00FF643F">
          <w:pPr>
            <w:pStyle w:val="TOC3"/>
            <w:tabs>
              <w:tab w:val="left" w:pos="1320"/>
              <w:tab w:val="right" w:leader="dot" w:pos="9905"/>
            </w:tabs>
            <w:rPr>
              <w:noProof/>
              <w:lang w:eastAsia="en-GB"/>
            </w:rPr>
          </w:pPr>
          <w:hyperlink w:anchor="_Toc3538174" w:history="1">
            <w:r w:rsidR="009C1853" w:rsidRPr="009C1853">
              <w:rPr>
                <w:rStyle w:val="Hyperlink"/>
                <w:noProof/>
              </w:rPr>
              <w:t>6.9.1</w:t>
            </w:r>
            <w:r w:rsidR="009C1853" w:rsidRPr="009C1853">
              <w:rPr>
                <w:noProof/>
                <w:lang w:eastAsia="en-GB"/>
              </w:rPr>
              <w:tab/>
            </w:r>
            <w:r w:rsidR="009C1853" w:rsidRPr="009C1853">
              <w:rPr>
                <w:rStyle w:val="Hyperlink"/>
                <w:noProof/>
              </w:rPr>
              <w:t>Descriptive Statistics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_Toc3538174 \h </w:instrText>
            </w:r>
            <w:r w:rsidR="009C1853" w:rsidRPr="009C1853">
              <w:rPr>
                <w:noProof/>
                <w:webHidden/>
              </w:rPr>
            </w:r>
            <w:r w:rsidR="009C1853" w:rsidRPr="009C1853">
              <w:rPr>
                <w:noProof/>
                <w:webHidden/>
              </w:rPr>
              <w:fldChar w:fldCharType="separate"/>
            </w:r>
            <w:r w:rsidR="009C1853" w:rsidRPr="009C1853">
              <w:rPr>
                <w:noProof/>
                <w:webHidden/>
              </w:rPr>
              <w:t>130</w:t>
            </w:r>
            <w:r w:rsidR="009C1853" w:rsidRPr="009C1853">
              <w:rPr>
                <w:noProof/>
                <w:webHidden/>
              </w:rPr>
              <w:fldChar w:fldCharType="end"/>
            </w:r>
          </w:hyperlink>
        </w:p>
        <w:p w14:paraId="3051E668" w14:textId="77777777" w:rsidR="009C1853" w:rsidRPr="009C1853" w:rsidRDefault="00FF643F">
          <w:pPr>
            <w:pStyle w:val="TOC3"/>
            <w:tabs>
              <w:tab w:val="left" w:pos="1320"/>
              <w:tab w:val="right" w:leader="dot" w:pos="9905"/>
            </w:tabs>
            <w:rPr>
              <w:noProof/>
              <w:lang w:eastAsia="en-GB"/>
            </w:rPr>
          </w:pPr>
          <w:hyperlink w:anchor="_Toc3538175" w:history="1">
            <w:r w:rsidR="009C1853" w:rsidRPr="009C1853">
              <w:rPr>
                <w:rStyle w:val="Hyperlink"/>
                <w:noProof/>
              </w:rPr>
              <w:t>6.9.2</w:t>
            </w:r>
            <w:r w:rsidR="009C1853" w:rsidRPr="009C1853">
              <w:rPr>
                <w:noProof/>
                <w:lang w:eastAsia="en-GB"/>
              </w:rPr>
              <w:tab/>
            </w:r>
            <w:r w:rsidR="009C1853" w:rsidRPr="009C1853">
              <w:rPr>
                <w:rStyle w:val="Hyperlink"/>
                <w:noProof/>
              </w:rPr>
              <w:t>Do Enhanced Interface Features Make MYLO a More Effective Conversational Agent for Problem-Solving?</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_Toc3538175 \h </w:instrText>
            </w:r>
            <w:r w:rsidR="009C1853" w:rsidRPr="009C1853">
              <w:rPr>
                <w:noProof/>
                <w:webHidden/>
              </w:rPr>
            </w:r>
            <w:r w:rsidR="009C1853" w:rsidRPr="009C1853">
              <w:rPr>
                <w:noProof/>
                <w:webHidden/>
              </w:rPr>
              <w:fldChar w:fldCharType="separate"/>
            </w:r>
            <w:r w:rsidR="009C1853" w:rsidRPr="009C1853">
              <w:rPr>
                <w:noProof/>
                <w:webHidden/>
              </w:rPr>
              <w:t>131</w:t>
            </w:r>
            <w:r w:rsidR="009C1853" w:rsidRPr="009C1853">
              <w:rPr>
                <w:noProof/>
                <w:webHidden/>
              </w:rPr>
              <w:fldChar w:fldCharType="end"/>
            </w:r>
          </w:hyperlink>
        </w:p>
        <w:p w14:paraId="5100EDBC" w14:textId="77777777" w:rsidR="009C1853" w:rsidRPr="009C1853" w:rsidRDefault="00FF643F">
          <w:pPr>
            <w:pStyle w:val="TOC3"/>
            <w:tabs>
              <w:tab w:val="left" w:pos="1320"/>
              <w:tab w:val="right" w:leader="dot" w:pos="9905"/>
            </w:tabs>
            <w:rPr>
              <w:noProof/>
              <w:lang w:eastAsia="en-GB"/>
            </w:rPr>
          </w:pPr>
          <w:hyperlink w:anchor="_Toc3538176" w:history="1">
            <w:r w:rsidR="009C1853" w:rsidRPr="009C1853">
              <w:rPr>
                <w:rStyle w:val="Hyperlink"/>
                <w:noProof/>
              </w:rPr>
              <w:t>6.9.3</w:t>
            </w:r>
            <w:r w:rsidR="009C1853" w:rsidRPr="009C1853">
              <w:rPr>
                <w:noProof/>
                <w:lang w:eastAsia="en-GB"/>
              </w:rPr>
              <w:tab/>
            </w:r>
            <w:r w:rsidR="009C1853" w:rsidRPr="009C1853">
              <w:rPr>
                <w:rStyle w:val="Hyperlink"/>
                <w:noProof/>
              </w:rPr>
              <w:t>Do Enhanced User Interface Features Make MYLO a More the Acceptability Conversational Agent for Problem-Solving?</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_Toc3538176 \h </w:instrText>
            </w:r>
            <w:r w:rsidR="009C1853" w:rsidRPr="009C1853">
              <w:rPr>
                <w:noProof/>
                <w:webHidden/>
              </w:rPr>
            </w:r>
            <w:r w:rsidR="009C1853" w:rsidRPr="009C1853">
              <w:rPr>
                <w:noProof/>
                <w:webHidden/>
              </w:rPr>
              <w:fldChar w:fldCharType="separate"/>
            </w:r>
            <w:r w:rsidR="009C1853" w:rsidRPr="009C1853">
              <w:rPr>
                <w:noProof/>
                <w:webHidden/>
              </w:rPr>
              <w:t>136</w:t>
            </w:r>
            <w:r w:rsidR="009C1853" w:rsidRPr="009C1853">
              <w:rPr>
                <w:noProof/>
                <w:webHidden/>
              </w:rPr>
              <w:fldChar w:fldCharType="end"/>
            </w:r>
          </w:hyperlink>
        </w:p>
        <w:p w14:paraId="2BAD29DA" w14:textId="77777777" w:rsidR="009C1853" w:rsidRPr="009C1853" w:rsidRDefault="00FF643F">
          <w:pPr>
            <w:pStyle w:val="TOC3"/>
            <w:tabs>
              <w:tab w:val="left" w:pos="1320"/>
              <w:tab w:val="right" w:leader="dot" w:pos="9905"/>
            </w:tabs>
            <w:rPr>
              <w:noProof/>
              <w:lang w:eastAsia="en-GB"/>
            </w:rPr>
          </w:pPr>
          <w:hyperlink w:anchor="_Toc3538177" w:history="1">
            <w:r w:rsidR="009C1853" w:rsidRPr="009C1853">
              <w:rPr>
                <w:rStyle w:val="Hyperlink"/>
                <w:noProof/>
              </w:rPr>
              <w:t>6.9.4</w:t>
            </w:r>
            <w:r w:rsidR="009C1853" w:rsidRPr="009C1853">
              <w:rPr>
                <w:noProof/>
                <w:lang w:eastAsia="en-GB"/>
              </w:rPr>
              <w:tab/>
            </w:r>
            <w:r w:rsidR="009C1853" w:rsidRPr="009C1853">
              <w:rPr>
                <w:rStyle w:val="Hyperlink"/>
                <w:noProof/>
              </w:rPr>
              <w:t>Do Enhanced Interface Features Improve Mylo’s System Usability?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_Toc3538177 \h </w:instrText>
            </w:r>
            <w:r w:rsidR="009C1853" w:rsidRPr="009C1853">
              <w:rPr>
                <w:noProof/>
                <w:webHidden/>
              </w:rPr>
            </w:r>
            <w:r w:rsidR="009C1853" w:rsidRPr="009C1853">
              <w:rPr>
                <w:noProof/>
                <w:webHidden/>
              </w:rPr>
              <w:fldChar w:fldCharType="separate"/>
            </w:r>
            <w:r w:rsidR="009C1853" w:rsidRPr="009C1853">
              <w:rPr>
                <w:noProof/>
                <w:webHidden/>
              </w:rPr>
              <w:t>139</w:t>
            </w:r>
            <w:r w:rsidR="009C1853" w:rsidRPr="009C1853">
              <w:rPr>
                <w:noProof/>
                <w:webHidden/>
              </w:rPr>
              <w:fldChar w:fldCharType="end"/>
            </w:r>
          </w:hyperlink>
        </w:p>
        <w:p w14:paraId="2D2B60E5" w14:textId="77777777" w:rsidR="009C1853" w:rsidRPr="009C1853" w:rsidRDefault="00FF643F">
          <w:pPr>
            <w:pStyle w:val="TOC3"/>
            <w:tabs>
              <w:tab w:val="left" w:pos="1320"/>
              <w:tab w:val="right" w:leader="dot" w:pos="9905"/>
            </w:tabs>
            <w:rPr>
              <w:noProof/>
              <w:lang w:eastAsia="en-GB"/>
            </w:rPr>
          </w:pPr>
          <w:hyperlink w:anchor="_Toc3538178" w:history="1">
            <w:r w:rsidR="009C1853" w:rsidRPr="009C1853">
              <w:rPr>
                <w:rStyle w:val="Hyperlink"/>
                <w:noProof/>
              </w:rPr>
              <w:t>6.9.5</w:t>
            </w:r>
            <w:r w:rsidR="009C1853" w:rsidRPr="009C1853">
              <w:rPr>
                <w:noProof/>
                <w:lang w:eastAsia="en-GB"/>
              </w:rPr>
              <w:tab/>
            </w:r>
            <w:r w:rsidR="009C1853" w:rsidRPr="009C1853">
              <w:rPr>
                <w:rStyle w:val="Hyperlink"/>
                <w:noProof/>
              </w:rPr>
              <w:t>Does Adding Introductory Guidance Regarding Mylo and What It Can and Cannot Do Increase Mylo’s Pre-Treatment Expectancy and Credibility?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_Toc3538178 \h </w:instrText>
            </w:r>
            <w:r w:rsidR="009C1853" w:rsidRPr="009C1853">
              <w:rPr>
                <w:noProof/>
                <w:webHidden/>
              </w:rPr>
            </w:r>
            <w:r w:rsidR="009C1853" w:rsidRPr="009C1853">
              <w:rPr>
                <w:noProof/>
                <w:webHidden/>
              </w:rPr>
              <w:fldChar w:fldCharType="separate"/>
            </w:r>
            <w:r w:rsidR="009C1853" w:rsidRPr="009C1853">
              <w:rPr>
                <w:noProof/>
                <w:webHidden/>
              </w:rPr>
              <w:t>143</w:t>
            </w:r>
            <w:r w:rsidR="009C1853" w:rsidRPr="009C1853">
              <w:rPr>
                <w:noProof/>
                <w:webHidden/>
              </w:rPr>
              <w:fldChar w:fldCharType="end"/>
            </w:r>
          </w:hyperlink>
        </w:p>
        <w:p w14:paraId="7430FCB7" w14:textId="77777777" w:rsidR="009C1853" w:rsidRPr="009C1853" w:rsidRDefault="00FF643F">
          <w:pPr>
            <w:pStyle w:val="TOC3"/>
            <w:tabs>
              <w:tab w:val="left" w:pos="1320"/>
              <w:tab w:val="right" w:leader="dot" w:pos="9905"/>
            </w:tabs>
            <w:rPr>
              <w:noProof/>
              <w:lang w:eastAsia="en-GB"/>
            </w:rPr>
          </w:pPr>
          <w:hyperlink w:anchor="_Toc3538179" w:history="1">
            <w:r w:rsidR="009C1853" w:rsidRPr="009C1853">
              <w:rPr>
                <w:rStyle w:val="Hyperlink"/>
                <w:noProof/>
              </w:rPr>
              <w:t>6.9.6</w:t>
            </w:r>
            <w:r w:rsidR="009C1853" w:rsidRPr="009C1853">
              <w:rPr>
                <w:noProof/>
                <w:lang w:eastAsia="en-GB"/>
              </w:rPr>
              <w:tab/>
            </w:r>
            <w:r w:rsidR="009C1853" w:rsidRPr="009C1853">
              <w:rPr>
                <w:rStyle w:val="Hyperlink"/>
                <w:noProof/>
              </w:rPr>
              <w:t>Does System Usability Account for Differences in a Participants’ Working Alliance and Agreement on the Tasks of Therapy with a Conversational Agent for Problem-Solving?</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_Toc3538179 \h </w:instrText>
            </w:r>
            <w:r w:rsidR="009C1853" w:rsidRPr="009C1853">
              <w:rPr>
                <w:noProof/>
                <w:webHidden/>
              </w:rPr>
            </w:r>
            <w:r w:rsidR="009C1853" w:rsidRPr="009C1853">
              <w:rPr>
                <w:noProof/>
                <w:webHidden/>
              </w:rPr>
              <w:fldChar w:fldCharType="separate"/>
            </w:r>
            <w:r w:rsidR="009C1853" w:rsidRPr="009C1853">
              <w:rPr>
                <w:noProof/>
                <w:webHidden/>
              </w:rPr>
              <w:t>144</w:t>
            </w:r>
            <w:r w:rsidR="009C1853" w:rsidRPr="009C1853">
              <w:rPr>
                <w:noProof/>
                <w:webHidden/>
              </w:rPr>
              <w:fldChar w:fldCharType="end"/>
            </w:r>
          </w:hyperlink>
        </w:p>
        <w:p w14:paraId="165BFC48" w14:textId="77777777" w:rsidR="009C1853" w:rsidRPr="009C1853" w:rsidRDefault="00FF643F">
          <w:pPr>
            <w:pStyle w:val="TOC3"/>
            <w:tabs>
              <w:tab w:val="left" w:pos="1320"/>
              <w:tab w:val="right" w:leader="dot" w:pos="9905"/>
            </w:tabs>
            <w:rPr>
              <w:noProof/>
              <w:lang w:eastAsia="en-GB"/>
            </w:rPr>
          </w:pPr>
          <w:hyperlink w:anchor="_Toc3538180" w:history="1">
            <w:r w:rsidR="009C1853" w:rsidRPr="009C1853">
              <w:rPr>
                <w:rStyle w:val="Hyperlink"/>
                <w:noProof/>
              </w:rPr>
              <w:t>6.9.7</w:t>
            </w:r>
            <w:r w:rsidR="009C1853" w:rsidRPr="009C1853">
              <w:rPr>
                <w:noProof/>
                <w:lang w:eastAsia="en-GB"/>
              </w:rPr>
              <w:tab/>
            </w:r>
            <w:r w:rsidR="009C1853" w:rsidRPr="009C1853">
              <w:rPr>
                <w:rStyle w:val="Hyperlink"/>
                <w:noProof/>
              </w:rPr>
              <w:t>Does System Usability Account for Differences in a Participants' Perceived Treatment Credibility of a Conversational Agent for Problem-Solving?</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_Toc3538180 \h </w:instrText>
            </w:r>
            <w:r w:rsidR="009C1853" w:rsidRPr="009C1853">
              <w:rPr>
                <w:noProof/>
                <w:webHidden/>
              </w:rPr>
            </w:r>
            <w:r w:rsidR="009C1853" w:rsidRPr="009C1853">
              <w:rPr>
                <w:noProof/>
                <w:webHidden/>
              </w:rPr>
              <w:fldChar w:fldCharType="separate"/>
            </w:r>
            <w:r w:rsidR="009C1853" w:rsidRPr="009C1853">
              <w:rPr>
                <w:noProof/>
                <w:webHidden/>
              </w:rPr>
              <w:t>146</w:t>
            </w:r>
            <w:r w:rsidR="009C1853" w:rsidRPr="009C1853">
              <w:rPr>
                <w:noProof/>
                <w:webHidden/>
              </w:rPr>
              <w:fldChar w:fldCharType="end"/>
            </w:r>
          </w:hyperlink>
        </w:p>
        <w:p w14:paraId="61EA1D1D" w14:textId="77777777" w:rsidR="009C1853" w:rsidRPr="009C1853" w:rsidRDefault="00FF643F">
          <w:pPr>
            <w:pStyle w:val="TOC2"/>
            <w:tabs>
              <w:tab w:val="left" w:pos="880"/>
              <w:tab w:val="right" w:leader="dot" w:pos="9905"/>
            </w:tabs>
            <w:rPr>
              <w:noProof/>
              <w:lang w:eastAsia="en-GB"/>
            </w:rPr>
          </w:pPr>
          <w:hyperlink w:anchor="_Toc3538181" w:history="1">
            <w:r w:rsidR="009C1853" w:rsidRPr="009C1853">
              <w:rPr>
                <w:rStyle w:val="Hyperlink"/>
                <w:noProof/>
              </w:rPr>
              <w:t>6.10</w:t>
            </w:r>
            <w:r w:rsidR="009C1853" w:rsidRPr="009C1853">
              <w:rPr>
                <w:noProof/>
                <w:lang w:eastAsia="en-GB"/>
              </w:rPr>
              <w:tab/>
            </w:r>
            <w:r w:rsidR="009C1853" w:rsidRPr="009C1853">
              <w:rPr>
                <w:rStyle w:val="Hyperlink"/>
                <w:noProof/>
              </w:rPr>
              <w:t>Discussion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_Toc3538181 \h </w:instrText>
            </w:r>
            <w:r w:rsidR="009C1853" w:rsidRPr="009C1853">
              <w:rPr>
                <w:noProof/>
                <w:webHidden/>
              </w:rPr>
            </w:r>
            <w:r w:rsidR="009C1853" w:rsidRPr="009C1853">
              <w:rPr>
                <w:noProof/>
                <w:webHidden/>
              </w:rPr>
              <w:fldChar w:fldCharType="separate"/>
            </w:r>
            <w:r w:rsidR="009C1853" w:rsidRPr="009C1853">
              <w:rPr>
                <w:noProof/>
                <w:webHidden/>
              </w:rPr>
              <w:t>147</w:t>
            </w:r>
            <w:r w:rsidR="009C1853" w:rsidRPr="009C1853">
              <w:rPr>
                <w:noProof/>
                <w:webHidden/>
              </w:rPr>
              <w:fldChar w:fldCharType="end"/>
            </w:r>
          </w:hyperlink>
        </w:p>
        <w:p w14:paraId="6D6BBBE5" w14:textId="77777777" w:rsidR="009C1853" w:rsidRPr="009C1853" w:rsidRDefault="00FF643F">
          <w:pPr>
            <w:pStyle w:val="TOC3"/>
            <w:tabs>
              <w:tab w:val="left" w:pos="1320"/>
              <w:tab w:val="right" w:leader="dot" w:pos="9905"/>
            </w:tabs>
            <w:rPr>
              <w:noProof/>
              <w:lang w:eastAsia="en-GB"/>
            </w:rPr>
          </w:pPr>
          <w:hyperlink w:anchor="_Toc3538182" w:history="1">
            <w:r w:rsidR="009C1853" w:rsidRPr="009C1853">
              <w:rPr>
                <w:rStyle w:val="Hyperlink"/>
                <w:noProof/>
              </w:rPr>
              <w:t>6.10.1</w:t>
            </w:r>
            <w:r w:rsidR="009C1853" w:rsidRPr="009C1853">
              <w:rPr>
                <w:noProof/>
                <w:lang w:eastAsia="en-GB"/>
              </w:rPr>
              <w:tab/>
            </w:r>
            <w:r w:rsidR="009C1853" w:rsidRPr="009C1853">
              <w:rPr>
                <w:rStyle w:val="Hyperlink"/>
                <w:noProof/>
              </w:rPr>
              <w:t>Strengths and Limitations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_Toc3538182 \h </w:instrText>
            </w:r>
            <w:r w:rsidR="009C1853" w:rsidRPr="009C1853">
              <w:rPr>
                <w:noProof/>
                <w:webHidden/>
              </w:rPr>
            </w:r>
            <w:r w:rsidR="009C1853" w:rsidRPr="009C1853">
              <w:rPr>
                <w:noProof/>
                <w:webHidden/>
              </w:rPr>
              <w:fldChar w:fldCharType="separate"/>
            </w:r>
            <w:r w:rsidR="009C1853" w:rsidRPr="009C1853">
              <w:rPr>
                <w:noProof/>
                <w:webHidden/>
              </w:rPr>
              <w:t>149</w:t>
            </w:r>
            <w:r w:rsidR="009C1853" w:rsidRPr="009C1853">
              <w:rPr>
                <w:noProof/>
                <w:webHidden/>
              </w:rPr>
              <w:fldChar w:fldCharType="end"/>
            </w:r>
          </w:hyperlink>
        </w:p>
        <w:p w14:paraId="591442A4" w14:textId="77777777" w:rsidR="009C1853" w:rsidRPr="009C1853" w:rsidRDefault="00FF643F">
          <w:pPr>
            <w:pStyle w:val="TOC3"/>
            <w:tabs>
              <w:tab w:val="left" w:pos="1320"/>
              <w:tab w:val="right" w:leader="dot" w:pos="9905"/>
            </w:tabs>
            <w:rPr>
              <w:noProof/>
              <w:lang w:eastAsia="en-GB"/>
            </w:rPr>
          </w:pPr>
          <w:hyperlink w:anchor="_Toc3538183" w:history="1">
            <w:r w:rsidR="009C1853" w:rsidRPr="009C1853">
              <w:rPr>
                <w:rStyle w:val="Hyperlink"/>
                <w:noProof/>
              </w:rPr>
              <w:t>6.10.2</w:t>
            </w:r>
            <w:r w:rsidR="009C1853" w:rsidRPr="009C1853">
              <w:rPr>
                <w:noProof/>
                <w:lang w:eastAsia="en-GB"/>
              </w:rPr>
              <w:tab/>
            </w:r>
            <w:r w:rsidR="009C1853" w:rsidRPr="009C1853">
              <w:rPr>
                <w:rStyle w:val="Hyperlink"/>
                <w:noProof/>
              </w:rPr>
              <w:t>Directions for Future Research</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_Toc3538183 \h </w:instrText>
            </w:r>
            <w:r w:rsidR="009C1853" w:rsidRPr="009C1853">
              <w:rPr>
                <w:noProof/>
                <w:webHidden/>
              </w:rPr>
            </w:r>
            <w:r w:rsidR="009C1853" w:rsidRPr="009C1853">
              <w:rPr>
                <w:noProof/>
                <w:webHidden/>
              </w:rPr>
              <w:fldChar w:fldCharType="separate"/>
            </w:r>
            <w:r w:rsidR="009C1853" w:rsidRPr="009C1853">
              <w:rPr>
                <w:noProof/>
                <w:webHidden/>
              </w:rPr>
              <w:t>150</w:t>
            </w:r>
            <w:r w:rsidR="009C1853" w:rsidRPr="009C1853">
              <w:rPr>
                <w:noProof/>
                <w:webHidden/>
              </w:rPr>
              <w:fldChar w:fldCharType="end"/>
            </w:r>
          </w:hyperlink>
        </w:p>
        <w:p w14:paraId="794D708E" w14:textId="77777777" w:rsidR="009C1853" w:rsidRPr="009C1853" w:rsidRDefault="00FF643F">
          <w:pPr>
            <w:pStyle w:val="TOC3"/>
            <w:tabs>
              <w:tab w:val="left" w:pos="1320"/>
              <w:tab w:val="right" w:leader="dot" w:pos="9905"/>
            </w:tabs>
            <w:rPr>
              <w:noProof/>
              <w:lang w:eastAsia="en-GB"/>
            </w:rPr>
          </w:pPr>
          <w:hyperlink w:anchor="_Toc3538184" w:history="1">
            <w:r w:rsidR="009C1853" w:rsidRPr="009C1853">
              <w:rPr>
                <w:rStyle w:val="Hyperlink"/>
                <w:noProof/>
              </w:rPr>
              <w:t>6.10.3</w:t>
            </w:r>
            <w:r w:rsidR="009C1853" w:rsidRPr="009C1853">
              <w:rPr>
                <w:noProof/>
                <w:lang w:eastAsia="en-GB"/>
              </w:rPr>
              <w:tab/>
            </w:r>
            <w:r w:rsidR="009C1853" w:rsidRPr="009C1853">
              <w:rPr>
                <w:rStyle w:val="Hyperlink"/>
                <w:noProof/>
              </w:rPr>
              <w:t>Summary and Conclusion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_Toc3538184 \h </w:instrText>
            </w:r>
            <w:r w:rsidR="009C1853" w:rsidRPr="009C1853">
              <w:rPr>
                <w:noProof/>
                <w:webHidden/>
              </w:rPr>
            </w:r>
            <w:r w:rsidR="009C1853" w:rsidRPr="009C1853">
              <w:rPr>
                <w:noProof/>
                <w:webHidden/>
              </w:rPr>
              <w:fldChar w:fldCharType="separate"/>
            </w:r>
            <w:r w:rsidR="009C1853" w:rsidRPr="009C1853">
              <w:rPr>
                <w:noProof/>
                <w:webHidden/>
              </w:rPr>
              <w:t>150</w:t>
            </w:r>
            <w:r w:rsidR="009C1853" w:rsidRPr="009C1853">
              <w:rPr>
                <w:noProof/>
                <w:webHidden/>
              </w:rPr>
              <w:fldChar w:fldCharType="end"/>
            </w:r>
          </w:hyperlink>
        </w:p>
        <w:p w14:paraId="2AE3F5C4" w14:textId="77777777" w:rsidR="009C1853" w:rsidRPr="009C1853" w:rsidRDefault="00FF643F">
          <w:pPr>
            <w:pStyle w:val="TOC1"/>
            <w:tabs>
              <w:tab w:val="left" w:pos="440"/>
            </w:tabs>
            <w:rPr>
              <w:rFonts w:asciiTheme="minorHAnsi" w:hAnsiTheme="minorHAnsi"/>
              <w:shd w:val="clear" w:color="auto" w:fill="auto"/>
              <w:lang w:eastAsia="en-GB"/>
            </w:rPr>
          </w:pPr>
          <w:hyperlink w:anchor="_Toc3538185" w:history="1">
            <w:r w:rsidR="009C1853" w:rsidRPr="009C1853">
              <w:rPr>
                <w:rStyle w:val="Hyperlink"/>
                <w:rFonts w:asciiTheme="minorHAnsi" w:hAnsiTheme="minorHAnsi"/>
              </w:rPr>
              <w:t>7</w:t>
            </w:r>
            <w:r w:rsidR="009C1853" w:rsidRPr="009C1853">
              <w:rPr>
                <w:rFonts w:asciiTheme="minorHAnsi" w:hAnsiTheme="minorHAnsi"/>
                <w:shd w:val="clear" w:color="auto" w:fill="auto"/>
                <w:lang w:eastAsia="en-GB"/>
              </w:rPr>
              <w:tab/>
            </w:r>
            <w:r w:rsidR="009C1853" w:rsidRPr="009C1853">
              <w:rPr>
                <w:rStyle w:val="Hyperlink"/>
                <w:rFonts w:asciiTheme="minorHAnsi" w:hAnsiTheme="minorHAnsi"/>
              </w:rPr>
              <w:t>Discussion and Future Work, Conclusion</w:t>
            </w:r>
            <w:r w:rsidR="009C1853" w:rsidRPr="009C1853">
              <w:rPr>
                <w:rFonts w:asciiTheme="minorHAnsi" w:hAnsiTheme="minorHAnsi"/>
                <w:webHidden/>
              </w:rPr>
              <w:tab/>
            </w:r>
            <w:r w:rsidR="009C1853" w:rsidRPr="009C1853">
              <w:rPr>
                <w:rFonts w:asciiTheme="minorHAnsi" w:hAnsiTheme="minorHAnsi"/>
                <w:webHidden/>
              </w:rPr>
              <w:fldChar w:fldCharType="begin"/>
            </w:r>
            <w:r w:rsidR="009C1853" w:rsidRPr="009C1853">
              <w:rPr>
                <w:rFonts w:asciiTheme="minorHAnsi" w:hAnsiTheme="minorHAnsi"/>
                <w:webHidden/>
              </w:rPr>
              <w:instrText xml:space="preserve"> PAGEREF _Toc3538185 \h </w:instrText>
            </w:r>
            <w:r w:rsidR="009C1853" w:rsidRPr="009C1853">
              <w:rPr>
                <w:rFonts w:asciiTheme="minorHAnsi" w:hAnsiTheme="minorHAnsi"/>
                <w:webHidden/>
              </w:rPr>
            </w:r>
            <w:r w:rsidR="009C1853" w:rsidRPr="009C1853">
              <w:rPr>
                <w:rFonts w:asciiTheme="minorHAnsi" w:hAnsiTheme="minorHAnsi"/>
                <w:webHidden/>
              </w:rPr>
              <w:fldChar w:fldCharType="separate"/>
            </w:r>
            <w:r w:rsidR="009C1853" w:rsidRPr="009C1853">
              <w:rPr>
                <w:rFonts w:asciiTheme="minorHAnsi" w:hAnsiTheme="minorHAnsi"/>
                <w:webHidden/>
              </w:rPr>
              <w:t>151</w:t>
            </w:r>
            <w:r w:rsidR="009C1853" w:rsidRPr="009C1853">
              <w:rPr>
                <w:rFonts w:asciiTheme="minorHAnsi" w:hAnsiTheme="minorHAnsi"/>
                <w:webHidden/>
              </w:rPr>
              <w:fldChar w:fldCharType="end"/>
            </w:r>
          </w:hyperlink>
        </w:p>
        <w:p w14:paraId="0658358D" w14:textId="77777777" w:rsidR="009C1853" w:rsidRPr="009C1853" w:rsidRDefault="00FF643F">
          <w:pPr>
            <w:pStyle w:val="TOC2"/>
            <w:tabs>
              <w:tab w:val="left" w:pos="880"/>
              <w:tab w:val="right" w:leader="dot" w:pos="9905"/>
            </w:tabs>
            <w:rPr>
              <w:noProof/>
              <w:lang w:eastAsia="en-GB"/>
            </w:rPr>
          </w:pPr>
          <w:hyperlink w:anchor="_Toc3538186" w:history="1">
            <w:r w:rsidR="009C1853" w:rsidRPr="009C1853">
              <w:rPr>
                <w:rStyle w:val="Hyperlink"/>
                <w:noProof/>
              </w:rPr>
              <w:t>7.1</w:t>
            </w:r>
            <w:r w:rsidR="009C1853" w:rsidRPr="009C1853">
              <w:rPr>
                <w:noProof/>
                <w:lang w:eastAsia="en-GB"/>
              </w:rPr>
              <w:tab/>
            </w:r>
            <w:r w:rsidR="009C1853" w:rsidRPr="009C1853">
              <w:rPr>
                <w:rStyle w:val="Hyperlink"/>
                <w:noProof/>
              </w:rPr>
              <w:t>Research Summary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_Toc3538186 \h </w:instrText>
            </w:r>
            <w:r w:rsidR="009C1853" w:rsidRPr="009C1853">
              <w:rPr>
                <w:noProof/>
                <w:webHidden/>
              </w:rPr>
            </w:r>
            <w:r w:rsidR="009C1853" w:rsidRPr="009C1853">
              <w:rPr>
                <w:noProof/>
                <w:webHidden/>
              </w:rPr>
              <w:fldChar w:fldCharType="separate"/>
            </w:r>
            <w:r w:rsidR="009C1853" w:rsidRPr="009C1853">
              <w:rPr>
                <w:noProof/>
                <w:webHidden/>
              </w:rPr>
              <w:t>151</w:t>
            </w:r>
            <w:r w:rsidR="009C1853" w:rsidRPr="009C1853">
              <w:rPr>
                <w:noProof/>
                <w:webHidden/>
              </w:rPr>
              <w:fldChar w:fldCharType="end"/>
            </w:r>
          </w:hyperlink>
        </w:p>
        <w:p w14:paraId="010B116F" w14:textId="77777777" w:rsidR="009C1853" w:rsidRPr="009C1853" w:rsidRDefault="00FF643F">
          <w:pPr>
            <w:pStyle w:val="TOC2"/>
            <w:tabs>
              <w:tab w:val="left" w:pos="880"/>
              <w:tab w:val="right" w:leader="dot" w:pos="9905"/>
            </w:tabs>
            <w:rPr>
              <w:noProof/>
              <w:lang w:eastAsia="en-GB"/>
            </w:rPr>
          </w:pPr>
          <w:hyperlink w:anchor="_Toc3538187" w:history="1">
            <w:r w:rsidR="009C1853" w:rsidRPr="009C1853">
              <w:rPr>
                <w:rStyle w:val="Hyperlink"/>
                <w:noProof/>
              </w:rPr>
              <w:t>7.2</w:t>
            </w:r>
            <w:r w:rsidR="009C1853" w:rsidRPr="009C1853">
              <w:rPr>
                <w:noProof/>
                <w:lang w:eastAsia="en-GB"/>
              </w:rPr>
              <w:tab/>
            </w:r>
            <w:r w:rsidR="009C1853" w:rsidRPr="009C1853">
              <w:rPr>
                <w:rStyle w:val="Hyperlink"/>
                <w:noProof/>
              </w:rPr>
              <w:t>General Discussion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_Toc3538187 \h </w:instrText>
            </w:r>
            <w:r w:rsidR="009C1853" w:rsidRPr="009C1853">
              <w:rPr>
                <w:noProof/>
                <w:webHidden/>
              </w:rPr>
            </w:r>
            <w:r w:rsidR="009C1853" w:rsidRPr="009C1853">
              <w:rPr>
                <w:noProof/>
                <w:webHidden/>
              </w:rPr>
              <w:fldChar w:fldCharType="separate"/>
            </w:r>
            <w:r w:rsidR="009C1853" w:rsidRPr="009C1853">
              <w:rPr>
                <w:noProof/>
                <w:webHidden/>
              </w:rPr>
              <w:t>153</w:t>
            </w:r>
            <w:r w:rsidR="009C1853" w:rsidRPr="009C1853">
              <w:rPr>
                <w:noProof/>
                <w:webHidden/>
              </w:rPr>
              <w:fldChar w:fldCharType="end"/>
            </w:r>
          </w:hyperlink>
        </w:p>
        <w:p w14:paraId="20A86D13" w14:textId="77777777" w:rsidR="009C1853" w:rsidRPr="009C1853" w:rsidRDefault="00FF643F">
          <w:pPr>
            <w:pStyle w:val="TOC3"/>
            <w:tabs>
              <w:tab w:val="left" w:pos="1320"/>
              <w:tab w:val="right" w:leader="dot" w:pos="9905"/>
            </w:tabs>
            <w:rPr>
              <w:noProof/>
              <w:lang w:eastAsia="en-GB"/>
            </w:rPr>
          </w:pPr>
          <w:hyperlink w:anchor="_Toc3538188" w:history="1">
            <w:r w:rsidR="009C1853" w:rsidRPr="009C1853">
              <w:rPr>
                <w:rStyle w:val="Hyperlink"/>
                <w:noProof/>
              </w:rPr>
              <w:t>7.2.1</w:t>
            </w:r>
            <w:r w:rsidR="009C1853" w:rsidRPr="009C1853">
              <w:rPr>
                <w:noProof/>
                <w:lang w:eastAsia="en-GB"/>
              </w:rPr>
              <w:tab/>
            </w:r>
            <w:r w:rsidR="009C1853" w:rsidRPr="009C1853">
              <w:rPr>
                <w:rStyle w:val="Hyperlink"/>
                <w:noProof/>
              </w:rPr>
              <w:t>NHS England Records on E-therapy Use</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_Toc3538188 \h </w:instrText>
            </w:r>
            <w:r w:rsidR="009C1853" w:rsidRPr="009C1853">
              <w:rPr>
                <w:noProof/>
                <w:webHidden/>
              </w:rPr>
            </w:r>
            <w:r w:rsidR="009C1853" w:rsidRPr="009C1853">
              <w:rPr>
                <w:noProof/>
                <w:webHidden/>
              </w:rPr>
              <w:fldChar w:fldCharType="separate"/>
            </w:r>
            <w:r w:rsidR="009C1853" w:rsidRPr="009C1853">
              <w:rPr>
                <w:noProof/>
                <w:webHidden/>
              </w:rPr>
              <w:t>153</w:t>
            </w:r>
            <w:r w:rsidR="009C1853" w:rsidRPr="009C1853">
              <w:rPr>
                <w:noProof/>
                <w:webHidden/>
              </w:rPr>
              <w:fldChar w:fldCharType="end"/>
            </w:r>
          </w:hyperlink>
        </w:p>
        <w:p w14:paraId="786D29A6" w14:textId="77777777" w:rsidR="009C1853" w:rsidRPr="009C1853" w:rsidRDefault="00FF643F">
          <w:pPr>
            <w:pStyle w:val="TOC3"/>
            <w:tabs>
              <w:tab w:val="left" w:pos="1320"/>
              <w:tab w:val="right" w:leader="dot" w:pos="9905"/>
            </w:tabs>
            <w:rPr>
              <w:noProof/>
              <w:lang w:eastAsia="en-GB"/>
            </w:rPr>
          </w:pPr>
          <w:hyperlink w:anchor="_Toc3538189" w:history="1">
            <w:r w:rsidR="009C1853" w:rsidRPr="009C1853">
              <w:rPr>
                <w:rStyle w:val="Hyperlink"/>
                <w:noProof/>
              </w:rPr>
              <w:t>7.2.2</w:t>
            </w:r>
            <w:r w:rsidR="009C1853" w:rsidRPr="009C1853">
              <w:rPr>
                <w:noProof/>
                <w:lang w:eastAsia="en-GB"/>
              </w:rPr>
              <w:tab/>
            </w:r>
            <w:r w:rsidR="009C1853" w:rsidRPr="009C1853">
              <w:rPr>
                <w:rStyle w:val="Hyperlink"/>
                <w:noProof/>
              </w:rPr>
              <w:t>Disparity Between Web and Phone Apps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_Toc3538189 \h </w:instrText>
            </w:r>
            <w:r w:rsidR="009C1853" w:rsidRPr="009C1853">
              <w:rPr>
                <w:noProof/>
                <w:webHidden/>
              </w:rPr>
            </w:r>
            <w:r w:rsidR="009C1853" w:rsidRPr="009C1853">
              <w:rPr>
                <w:noProof/>
                <w:webHidden/>
              </w:rPr>
              <w:fldChar w:fldCharType="separate"/>
            </w:r>
            <w:r w:rsidR="009C1853" w:rsidRPr="009C1853">
              <w:rPr>
                <w:noProof/>
                <w:webHidden/>
              </w:rPr>
              <w:t>153</w:t>
            </w:r>
            <w:r w:rsidR="009C1853" w:rsidRPr="009C1853">
              <w:rPr>
                <w:noProof/>
                <w:webHidden/>
              </w:rPr>
              <w:fldChar w:fldCharType="end"/>
            </w:r>
          </w:hyperlink>
        </w:p>
        <w:p w14:paraId="0EE3B00B" w14:textId="77777777" w:rsidR="009C1853" w:rsidRPr="009C1853" w:rsidRDefault="00FF643F">
          <w:pPr>
            <w:pStyle w:val="TOC3"/>
            <w:tabs>
              <w:tab w:val="left" w:pos="1320"/>
              <w:tab w:val="right" w:leader="dot" w:pos="9905"/>
            </w:tabs>
            <w:rPr>
              <w:noProof/>
              <w:lang w:eastAsia="en-GB"/>
            </w:rPr>
          </w:pPr>
          <w:hyperlink w:anchor="_Toc3538190" w:history="1">
            <w:r w:rsidR="009C1853" w:rsidRPr="009C1853">
              <w:rPr>
                <w:rStyle w:val="Hyperlink"/>
                <w:noProof/>
              </w:rPr>
              <w:t>7.2.3</w:t>
            </w:r>
            <w:r w:rsidR="009C1853" w:rsidRPr="009C1853">
              <w:rPr>
                <w:noProof/>
                <w:lang w:eastAsia="en-GB"/>
              </w:rPr>
              <w:tab/>
            </w:r>
            <w:r w:rsidR="009C1853" w:rsidRPr="009C1853">
              <w:rPr>
                <w:rStyle w:val="Hyperlink"/>
                <w:noProof/>
              </w:rPr>
              <w:t>Neglect of Older Adults in E-therapy Research</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_Toc3538190 \h </w:instrText>
            </w:r>
            <w:r w:rsidR="009C1853" w:rsidRPr="009C1853">
              <w:rPr>
                <w:noProof/>
                <w:webHidden/>
              </w:rPr>
            </w:r>
            <w:r w:rsidR="009C1853" w:rsidRPr="009C1853">
              <w:rPr>
                <w:noProof/>
                <w:webHidden/>
              </w:rPr>
              <w:fldChar w:fldCharType="separate"/>
            </w:r>
            <w:r w:rsidR="009C1853" w:rsidRPr="009C1853">
              <w:rPr>
                <w:noProof/>
                <w:webHidden/>
              </w:rPr>
              <w:t>154</w:t>
            </w:r>
            <w:r w:rsidR="009C1853" w:rsidRPr="009C1853">
              <w:rPr>
                <w:noProof/>
                <w:webHidden/>
              </w:rPr>
              <w:fldChar w:fldCharType="end"/>
            </w:r>
          </w:hyperlink>
        </w:p>
        <w:p w14:paraId="4FE55310" w14:textId="77777777" w:rsidR="009C1853" w:rsidRPr="009C1853" w:rsidRDefault="00FF643F">
          <w:pPr>
            <w:pStyle w:val="TOC3"/>
            <w:tabs>
              <w:tab w:val="left" w:pos="1320"/>
              <w:tab w:val="right" w:leader="dot" w:pos="9905"/>
            </w:tabs>
            <w:rPr>
              <w:noProof/>
              <w:lang w:eastAsia="en-GB"/>
            </w:rPr>
          </w:pPr>
          <w:hyperlink w:anchor="_Toc3538191" w:history="1">
            <w:r w:rsidR="009C1853" w:rsidRPr="009C1853">
              <w:rPr>
                <w:rStyle w:val="Hyperlink"/>
                <w:noProof/>
              </w:rPr>
              <w:t>7.2.4</w:t>
            </w:r>
            <w:r w:rsidR="009C1853" w:rsidRPr="009C1853">
              <w:rPr>
                <w:noProof/>
                <w:lang w:eastAsia="en-GB"/>
              </w:rPr>
              <w:tab/>
            </w:r>
            <w:r w:rsidR="009C1853" w:rsidRPr="009C1853">
              <w:rPr>
                <w:rStyle w:val="Hyperlink"/>
                <w:noProof/>
              </w:rPr>
              <w:t>Importance of Usability</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_Toc3538191 \h </w:instrText>
            </w:r>
            <w:r w:rsidR="009C1853" w:rsidRPr="009C1853">
              <w:rPr>
                <w:noProof/>
                <w:webHidden/>
              </w:rPr>
            </w:r>
            <w:r w:rsidR="009C1853" w:rsidRPr="009C1853">
              <w:rPr>
                <w:noProof/>
                <w:webHidden/>
              </w:rPr>
              <w:fldChar w:fldCharType="separate"/>
            </w:r>
            <w:r w:rsidR="009C1853" w:rsidRPr="009C1853">
              <w:rPr>
                <w:noProof/>
                <w:webHidden/>
              </w:rPr>
              <w:t>155</w:t>
            </w:r>
            <w:r w:rsidR="009C1853" w:rsidRPr="009C1853">
              <w:rPr>
                <w:noProof/>
                <w:webHidden/>
              </w:rPr>
              <w:fldChar w:fldCharType="end"/>
            </w:r>
          </w:hyperlink>
        </w:p>
        <w:p w14:paraId="2BB06814" w14:textId="77777777" w:rsidR="009C1853" w:rsidRPr="009C1853" w:rsidRDefault="00FF643F">
          <w:pPr>
            <w:pStyle w:val="TOC2"/>
            <w:tabs>
              <w:tab w:val="left" w:pos="880"/>
              <w:tab w:val="right" w:leader="dot" w:pos="9905"/>
            </w:tabs>
            <w:rPr>
              <w:noProof/>
              <w:lang w:eastAsia="en-GB"/>
            </w:rPr>
          </w:pPr>
          <w:hyperlink w:anchor="_Toc3538192" w:history="1">
            <w:r w:rsidR="009C1853" w:rsidRPr="009C1853">
              <w:rPr>
                <w:rStyle w:val="Hyperlink"/>
                <w:noProof/>
              </w:rPr>
              <w:t>7.3</w:t>
            </w:r>
            <w:r w:rsidR="009C1853" w:rsidRPr="009C1853">
              <w:rPr>
                <w:noProof/>
                <w:lang w:eastAsia="en-GB"/>
              </w:rPr>
              <w:tab/>
            </w:r>
            <w:r w:rsidR="009C1853" w:rsidRPr="009C1853">
              <w:rPr>
                <w:rStyle w:val="Hyperlink"/>
                <w:noProof/>
              </w:rPr>
              <w:t>Conclusions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_Toc3538192 \h </w:instrText>
            </w:r>
            <w:r w:rsidR="009C1853" w:rsidRPr="009C1853">
              <w:rPr>
                <w:noProof/>
                <w:webHidden/>
              </w:rPr>
            </w:r>
            <w:r w:rsidR="009C1853" w:rsidRPr="009C1853">
              <w:rPr>
                <w:noProof/>
                <w:webHidden/>
              </w:rPr>
              <w:fldChar w:fldCharType="separate"/>
            </w:r>
            <w:r w:rsidR="009C1853" w:rsidRPr="009C1853">
              <w:rPr>
                <w:noProof/>
                <w:webHidden/>
              </w:rPr>
              <w:t>156</w:t>
            </w:r>
            <w:r w:rsidR="009C1853" w:rsidRPr="009C1853">
              <w:rPr>
                <w:noProof/>
                <w:webHidden/>
              </w:rPr>
              <w:fldChar w:fldCharType="end"/>
            </w:r>
          </w:hyperlink>
        </w:p>
        <w:p w14:paraId="299583E2" w14:textId="77777777" w:rsidR="009C1853" w:rsidRPr="009C1853" w:rsidRDefault="00FF643F">
          <w:pPr>
            <w:pStyle w:val="TOC1"/>
            <w:rPr>
              <w:rFonts w:asciiTheme="minorHAnsi" w:hAnsiTheme="minorHAnsi"/>
              <w:shd w:val="clear" w:color="auto" w:fill="auto"/>
              <w:lang w:eastAsia="en-GB"/>
            </w:rPr>
          </w:pPr>
          <w:hyperlink w:anchor="_Toc3538193" w:history="1">
            <w:r w:rsidR="009C1853" w:rsidRPr="009C1853">
              <w:rPr>
                <w:rStyle w:val="Hyperlink"/>
                <w:rFonts w:asciiTheme="minorHAnsi" w:hAnsiTheme="minorHAnsi"/>
              </w:rPr>
              <w:t>Bibliography</w:t>
            </w:r>
            <w:r w:rsidR="009C1853" w:rsidRPr="009C1853">
              <w:rPr>
                <w:rFonts w:asciiTheme="minorHAnsi" w:hAnsiTheme="minorHAnsi"/>
                <w:webHidden/>
              </w:rPr>
              <w:tab/>
            </w:r>
            <w:r w:rsidR="009C1853" w:rsidRPr="009C1853">
              <w:rPr>
                <w:rFonts w:asciiTheme="minorHAnsi" w:hAnsiTheme="minorHAnsi"/>
                <w:webHidden/>
              </w:rPr>
              <w:fldChar w:fldCharType="begin"/>
            </w:r>
            <w:r w:rsidR="009C1853" w:rsidRPr="009C1853">
              <w:rPr>
                <w:rFonts w:asciiTheme="minorHAnsi" w:hAnsiTheme="minorHAnsi"/>
                <w:webHidden/>
              </w:rPr>
              <w:instrText xml:space="preserve"> PAGEREF _Toc3538193 \h </w:instrText>
            </w:r>
            <w:r w:rsidR="009C1853" w:rsidRPr="009C1853">
              <w:rPr>
                <w:rFonts w:asciiTheme="minorHAnsi" w:hAnsiTheme="minorHAnsi"/>
                <w:webHidden/>
              </w:rPr>
            </w:r>
            <w:r w:rsidR="009C1853" w:rsidRPr="009C1853">
              <w:rPr>
                <w:rFonts w:asciiTheme="minorHAnsi" w:hAnsiTheme="minorHAnsi"/>
                <w:webHidden/>
              </w:rPr>
              <w:fldChar w:fldCharType="separate"/>
            </w:r>
            <w:r w:rsidR="009C1853" w:rsidRPr="009C1853">
              <w:rPr>
                <w:rFonts w:asciiTheme="minorHAnsi" w:hAnsiTheme="minorHAnsi"/>
                <w:webHidden/>
              </w:rPr>
              <w:t>157</w:t>
            </w:r>
            <w:r w:rsidR="009C1853" w:rsidRPr="009C1853">
              <w:rPr>
                <w:rFonts w:asciiTheme="minorHAnsi" w:hAnsiTheme="minorHAnsi"/>
                <w:webHidden/>
              </w:rPr>
              <w:fldChar w:fldCharType="end"/>
            </w:r>
          </w:hyperlink>
        </w:p>
        <w:p w14:paraId="67F14CEA" w14:textId="77777777" w:rsidR="009C1853" w:rsidRPr="009C1853" w:rsidRDefault="00FF643F">
          <w:pPr>
            <w:pStyle w:val="TOC1"/>
            <w:rPr>
              <w:rFonts w:asciiTheme="minorHAnsi" w:hAnsiTheme="minorHAnsi"/>
              <w:shd w:val="clear" w:color="auto" w:fill="auto"/>
              <w:lang w:eastAsia="en-GB"/>
            </w:rPr>
          </w:pPr>
          <w:hyperlink w:anchor="_Toc3538194" w:history="1">
            <w:r w:rsidR="009C1853" w:rsidRPr="009C1853">
              <w:rPr>
                <w:rStyle w:val="Hyperlink"/>
                <w:rFonts w:asciiTheme="minorHAnsi" w:hAnsiTheme="minorHAnsi"/>
              </w:rPr>
              <w:t>Appendices</w:t>
            </w:r>
            <w:r w:rsidR="009C1853" w:rsidRPr="009C1853">
              <w:rPr>
                <w:rFonts w:asciiTheme="minorHAnsi" w:hAnsiTheme="minorHAnsi"/>
                <w:webHidden/>
              </w:rPr>
              <w:tab/>
            </w:r>
            <w:r w:rsidR="009C1853" w:rsidRPr="009C1853">
              <w:rPr>
                <w:rFonts w:asciiTheme="minorHAnsi" w:hAnsiTheme="minorHAnsi"/>
                <w:webHidden/>
              </w:rPr>
              <w:fldChar w:fldCharType="begin"/>
            </w:r>
            <w:r w:rsidR="009C1853" w:rsidRPr="009C1853">
              <w:rPr>
                <w:rFonts w:asciiTheme="minorHAnsi" w:hAnsiTheme="minorHAnsi"/>
                <w:webHidden/>
              </w:rPr>
              <w:instrText xml:space="preserve"> PAGEREF _Toc3538194 \h </w:instrText>
            </w:r>
            <w:r w:rsidR="009C1853" w:rsidRPr="009C1853">
              <w:rPr>
                <w:rFonts w:asciiTheme="minorHAnsi" w:hAnsiTheme="minorHAnsi"/>
                <w:webHidden/>
              </w:rPr>
            </w:r>
            <w:r w:rsidR="009C1853" w:rsidRPr="009C1853">
              <w:rPr>
                <w:rFonts w:asciiTheme="minorHAnsi" w:hAnsiTheme="minorHAnsi"/>
                <w:webHidden/>
              </w:rPr>
              <w:fldChar w:fldCharType="separate"/>
            </w:r>
            <w:r w:rsidR="009C1853" w:rsidRPr="009C1853">
              <w:rPr>
                <w:rFonts w:asciiTheme="minorHAnsi" w:hAnsiTheme="minorHAnsi"/>
                <w:webHidden/>
              </w:rPr>
              <w:t>181</w:t>
            </w:r>
            <w:r w:rsidR="009C1853" w:rsidRPr="009C1853">
              <w:rPr>
                <w:rFonts w:asciiTheme="minorHAnsi" w:hAnsiTheme="minorHAnsi"/>
                <w:webHidden/>
              </w:rPr>
              <w:fldChar w:fldCharType="end"/>
            </w:r>
          </w:hyperlink>
        </w:p>
        <w:p w14:paraId="2F20A8B7" w14:textId="77777777" w:rsidR="009C1853" w:rsidRPr="009C1853" w:rsidRDefault="00FF643F">
          <w:pPr>
            <w:pStyle w:val="TOC2"/>
            <w:tabs>
              <w:tab w:val="left" w:pos="1760"/>
              <w:tab w:val="right" w:leader="dot" w:pos="9905"/>
            </w:tabs>
            <w:rPr>
              <w:noProof/>
              <w:lang w:eastAsia="en-GB"/>
            </w:rPr>
          </w:pPr>
          <w:hyperlink w:anchor="_Toc3538195" w:history="1">
            <w:r w:rsidR="009C1853" w:rsidRPr="009C1853">
              <w:rPr>
                <w:rStyle w:val="Hyperlink"/>
                <w:noProof/>
                <w:lang w:bidi="x-none"/>
                <w14:scene3d>
                  <w14:camera w14:prst="orthographicFront"/>
                  <w14:lightRig w14:rig="threePt" w14:dir="t">
                    <w14:rot w14:lat="0" w14:lon="0" w14:rev="0"/>
                  </w14:lightRig>
                </w14:scene3d>
              </w:rPr>
              <w:t>Appendix A1.</w:t>
            </w:r>
            <w:r w:rsidR="009C1853" w:rsidRPr="009C1853">
              <w:rPr>
                <w:noProof/>
                <w:lang w:eastAsia="en-GB"/>
              </w:rPr>
              <w:tab/>
            </w:r>
            <w:r w:rsidR="009C1853" w:rsidRPr="009C1853">
              <w:rPr>
                <w:rStyle w:val="Hyperlink"/>
                <w:noProof/>
              </w:rPr>
              <w:t>Study II Ethics Approval Letter</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_Toc3538195 \h </w:instrText>
            </w:r>
            <w:r w:rsidR="009C1853" w:rsidRPr="009C1853">
              <w:rPr>
                <w:noProof/>
                <w:webHidden/>
              </w:rPr>
            </w:r>
            <w:r w:rsidR="009C1853" w:rsidRPr="009C1853">
              <w:rPr>
                <w:noProof/>
                <w:webHidden/>
              </w:rPr>
              <w:fldChar w:fldCharType="separate"/>
            </w:r>
            <w:r w:rsidR="009C1853" w:rsidRPr="009C1853">
              <w:rPr>
                <w:noProof/>
                <w:webHidden/>
              </w:rPr>
              <w:t>181</w:t>
            </w:r>
            <w:r w:rsidR="009C1853" w:rsidRPr="009C1853">
              <w:rPr>
                <w:noProof/>
                <w:webHidden/>
              </w:rPr>
              <w:fldChar w:fldCharType="end"/>
            </w:r>
          </w:hyperlink>
        </w:p>
        <w:p w14:paraId="12F54A0D" w14:textId="77777777" w:rsidR="009C1853" w:rsidRPr="009C1853" w:rsidRDefault="00FF643F">
          <w:pPr>
            <w:pStyle w:val="TOC2"/>
            <w:tabs>
              <w:tab w:val="left" w:pos="1760"/>
              <w:tab w:val="right" w:leader="dot" w:pos="9905"/>
            </w:tabs>
            <w:rPr>
              <w:noProof/>
              <w:lang w:eastAsia="en-GB"/>
            </w:rPr>
          </w:pPr>
          <w:hyperlink w:anchor="_Toc3538196" w:history="1">
            <w:r w:rsidR="009C1853" w:rsidRPr="009C1853">
              <w:rPr>
                <w:rStyle w:val="Hyperlink"/>
                <w:noProof/>
                <w:lang w:bidi="x-none"/>
                <w14:scene3d>
                  <w14:camera w14:prst="orthographicFront"/>
                  <w14:lightRig w14:rig="threePt" w14:dir="t">
                    <w14:rot w14:lat="0" w14:lon="0" w14:rev="0"/>
                  </w14:lightRig>
                </w14:scene3d>
              </w:rPr>
              <w:t>Appendix A2.</w:t>
            </w:r>
            <w:r w:rsidR="009C1853" w:rsidRPr="009C1853">
              <w:rPr>
                <w:noProof/>
                <w:lang w:eastAsia="en-GB"/>
              </w:rPr>
              <w:tab/>
            </w:r>
            <w:r w:rsidR="009C1853" w:rsidRPr="009C1853">
              <w:rPr>
                <w:rStyle w:val="Hyperlink"/>
                <w:noProof/>
              </w:rPr>
              <w:t>Developer Contact Email</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_Toc3538196 \h </w:instrText>
            </w:r>
            <w:r w:rsidR="009C1853" w:rsidRPr="009C1853">
              <w:rPr>
                <w:noProof/>
                <w:webHidden/>
              </w:rPr>
            </w:r>
            <w:r w:rsidR="009C1853" w:rsidRPr="009C1853">
              <w:rPr>
                <w:noProof/>
                <w:webHidden/>
              </w:rPr>
              <w:fldChar w:fldCharType="separate"/>
            </w:r>
            <w:r w:rsidR="009C1853" w:rsidRPr="009C1853">
              <w:rPr>
                <w:noProof/>
                <w:webHidden/>
              </w:rPr>
              <w:t>182</w:t>
            </w:r>
            <w:r w:rsidR="009C1853" w:rsidRPr="009C1853">
              <w:rPr>
                <w:noProof/>
                <w:webHidden/>
              </w:rPr>
              <w:fldChar w:fldCharType="end"/>
            </w:r>
          </w:hyperlink>
        </w:p>
        <w:p w14:paraId="672698D5" w14:textId="77777777" w:rsidR="009C1853" w:rsidRPr="009C1853" w:rsidRDefault="00FF643F">
          <w:pPr>
            <w:pStyle w:val="TOC2"/>
            <w:tabs>
              <w:tab w:val="left" w:pos="1760"/>
              <w:tab w:val="right" w:leader="dot" w:pos="9905"/>
            </w:tabs>
            <w:rPr>
              <w:noProof/>
              <w:lang w:eastAsia="en-GB"/>
            </w:rPr>
          </w:pPr>
          <w:hyperlink w:anchor="_Toc3538197" w:history="1">
            <w:r w:rsidR="009C1853" w:rsidRPr="009C1853">
              <w:rPr>
                <w:rStyle w:val="Hyperlink"/>
                <w:noProof/>
                <w:lang w:bidi="x-none"/>
                <w14:scene3d>
                  <w14:camera w14:prst="orthographicFront"/>
                  <w14:lightRig w14:rig="threePt" w14:dir="t">
                    <w14:rot w14:lat="0" w14:lon="0" w14:rev="0"/>
                  </w14:lightRig>
                </w14:scene3d>
              </w:rPr>
              <w:t>Appendix A3.</w:t>
            </w:r>
            <w:r w:rsidR="009C1853" w:rsidRPr="009C1853">
              <w:rPr>
                <w:noProof/>
                <w:lang w:eastAsia="en-GB"/>
              </w:rPr>
              <w:tab/>
            </w:r>
            <w:r w:rsidR="009C1853" w:rsidRPr="009C1853">
              <w:rPr>
                <w:rStyle w:val="Hyperlink"/>
                <w:noProof/>
              </w:rPr>
              <w:t>Study II Participant Information Sheet and Consent Form</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_Toc3538197 \h </w:instrText>
            </w:r>
            <w:r w:rsidR="009C1853" w:rsidRPr="009C1853">
              <w:rPr>
                <w:noProof/>
                <w:webHidden/>
              </w:rPr>
            </w:r>
            <w:r w:rsidR="009C1853" w:rsidRPr="009C1853">
              <w:rPr>
                <w:noProof/>
                <w:webHidden/>
              </w:rPr>
              <w:fldChar w:fldCharType="separate"/>
            </w:r>
            <w:r w:rsidR="009C1853" w:rsidRPr="009C1853">
              <w:rPr>
                <w:noProof/>
                <w:webHidden/>
              </w:rPr>
              <w:t>183</w:t>
            </w:r>
            <w:r w:rsidR="009C1853" w:rsidRPr="009C1853">
              <w:rPr>
                <w:noProof/>
                <w:webHidden/>
              </w:rPr>
              <w:fldChar w:fldCharType="end"/>
            </w:r>
          </w:hyperlink>
        </w:p>
        <w:p w14:paraId="4EC2017D" w14:textId="77777777" w:rsidR="009C1853" w:rsidRPr="009C1853" w:rsidRDefault="00FF643F">
          <w:pPr>
            <w:pStyle w:val="TOC2"/>
            <w:tabs>
              <w:tab w:val="left" w:pos="1760"/>
              <w:tab w:val="right" w:leader="dot" w:pos="9905"/>
            </w:tabs>
            <w:rPr>
              <w:noProof/>
              <w:lang w:eastAsia="en-GB"/>
            </w:rPr>
          </w:pPr>
          <w:hyperlink w:anchor="_Toc3538198" w:history="1">
            <w:r w:rsidR="009C1853" w:rsidRPr="009C1853">
              <w:rPr>
                <w:rStyle w:val="Hyperlink"/>
                <w:noProof/>
                <w:lang w:bidi="x-none"/>
                <w14:scene3d>
                  <w14:camera w14:prst="orthographicFront"/>
                  <w14:lightRig w14:rig="threePt" w14:dir="t">
                    <w14:rot w14:lat="0" w14:lon="0" w14:rev="0"/>
                  </w14:lightRig>
                </w14:scene3d>
              </w:rPr>
              <w:t>Appendix A4.</w:t>
            </w:r>
            <w:r w:rsidR="009C1853" w:rsidRPr="009C1853">
              <w:rPr>
                <w:noProof/>
                <w:lang w:eastAsia="en-GB"/>
              </w:rPr>
              <w:tab/>
            </w:r>
            <w:r w:rsidR="009C1853" w:rsidRPr="009C1853">
              <w:rPr>
                <w:rStyle w:val="Hyperlink"/>
                <w:noProof/>
              </w:rPr>
              <w:t>Study II Participant Debrief</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_Toc3538198 \h </w:instrText>
            </w:r>
            <w:r w:rsidR="009C1853" w:rsidRPr="009C1853">
              <w:rPr>
                <w:noProof/>
                <w:webHidden/>
              </w:rPr>
            </w:r>
            <w:r w:rsidR="009C1853" w:rsidRPr="009C1853">
              <w:rPr>
                <w:noProof/>
                <w:webHidden/>
              </w:rPr>
              <w:fldChar w:fldCharType="separate"/>
            </w:r>
            <w:r w:rsidR="009C1853" w:rsidRPr="009C1853">
              <w:rPr>
                <w:noProof/>
                <w:webHidden/>
              </w:rPr>
              <w:t>184</w:t>
            </w:r>
            <w:r w:rsidR="009C1853" w:rsidRPr="009C1853">
              <w:rPr>
                <w:noProof/>
                <w:webHidden/>
              </w:rPr>
              <w:fldChar w:fldCharType="end"/>
            </w:r>
          </w:hyperlink>
        </w:p>
        <w:p w14:paraId="03BFF7A6" w14:textId="77777777" w:rsidR="009C1853" w:rsidRPr="009C1853" w:rsidRDefault="00FF643F">
          <w:pPr>
            <w:pStyle w:val="TOC2"/>
            <w:tabs>
              <w:tab w:val="left" w:pos="1760"/>
              <w:tab w:val="right" w:leader="dot" w:pos="9905"/>
            </w:tabs>
            <w:rPr>
              <w:noProof/>
              <w:lang w:eastAsia="en-GB"/>
            </w:rPr>
          </w:pPr>
          <w:hyperlink w:anchor="_Toc3538199" w:history="1">
            <w:r w:rsidR="009C1853" w:rsidRPr="009C1853">
              <w:rPr>
                <w:rStyle w:val="Hyperlink"/>
                <w:noProof/>
                <w:lang w:bidi="x-none"/>
                <w14:scene3d>
                  <w14:camera w14:prst="orthographicFront"/>
                  <w14:lightRig w14:rig="threePt" w14:dir="t">
                    <w14:rot w14:lat="0" w14:lon="0" w14:rev="0"/>
                  </w14:lightRig>
                </w14:scene3d>
              </w:rPr>
              <w:t>Appendix B1.</w:t>
            </w:r>
            <w:r w:rsidR="009C1853" w:rsidRPr="009C1853">
              <w:rPr>
                <w:noProof/>
                <w:lang w:eastAsia="en-GB"/>
              </w:rPr>
              <w:tab/>
            </w:r>
            <w:r w:rsidR="009C1853" w:rsidRPr="009C1853">
              <w:rPr>
                <w:rStyle w:val="Hyperlink"/>
                <w:noProof/>
              </w:rPr>
              <w:t>Letter From NICE Regarding Publication</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_Toc3538199 \h </w:instrText>
            </w:r>
            <w:r w:rsidR="009C1853" w:rsidRPr="009C1853">
              <w:rPr>
                <w:noProof/>
                <w:webHidden/>
              </w:rPr>
            </w:r>
            <w:r w:rsidR="009C1853" w:rsidRPr="009C1853">
              <w:rPr>
                <w:noProof/>
                <w:webHidden/>
              </w:rPr>
              <w:fldChar w:fldCharType="separate"/>
            </w:r>
            <w:r w:rsidR="009C1853" w:rsidRPr="009C1853">
              <w:rPr>
                <w:noProof/>
                <w:webHidden/>
              </w:rPr>
              <w:t>185</w:t>
            </w:r>
            <w:r w:rsidR="009C1853" w:rsidRPr="009C1853">
              <w:rPr>
                <w:noProof/>
                <w:webHidden/>
              </w:rPr>
              <w:fldChar w:fldCharType="end"/>
            </w:r>
          </w:hyperlink>
        </w:p>
        <w:p w14:paraId="768C499B" w14:textId="77777777" w:rsidR="009C1853" w:rsidRPr="009C1853" w:rsidRDefault="00FF643F">
          <w:pPr>
            <w:pStyle w:val="TOC2"/>
            <w:tabs>
              <w:tab w:val="left" w:pos="1760"/>
              <w:tab w:val="right" w:leader="dot" w:pos="9905"/>
            </w:tabs>
            <w:rPr>
              <w:noProof/>
              <w:lang w:eastAsia="en-GB"/>
            </w:rPr>
          </w:pPr>
          <w:hyperlink w:anchor="_Toc3538200" w:history="1">
            <w:r w:rsidR="009C1853" w:rsidRPr="009C1853">
              <w:rPr>
                <w:rStyle w:val="Hyperlink"/>
                <w:noProof/>
                <w:lang w:bidi="x-none"/>
                <w14:scene3d>
                  <w14:camera w14:prst="orthographicFront"/>
                  <w14:lightRig w14:rig="threePt" w14:dir="t">
                    <w14:rot w14:lat="0" w14:lon="0" w14:rev="0"/>
                  </w14:lightRig>
                </w14:scene3d>
              </w:rPr>
              <w:t>Appendix B2.</w:t>
            </w:r>
            <w:r w:rsidR="009C1853" w:rsidRPr="009C1853">
              <w:rPr>
                <w:noProof/>
                <w:lang w:eastAsia="en-GB"/>
              </w:rPr>
              <w:tab/>
            </w:r>
            <w:r w:rsidR="009C1853" w:rsidRPr="009C1853">
              <w:rPr>
                <w:rStyle w:val="Hyperlink"/>
                <w:noProof/>
              </w:rPr>
              <w:t>Full Search Strategy for PubInfo</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_Toc3538200 \h </w:instrText>
            </w:r>
            <w:r w:rsidR="009C1853" w:rsidRPr="009C1853">
              <w:rPr>
                <w:noProof/>
                <w:webHidden/>
              </w:rPr>
            </w:r>
            <w:r w:rsidR="009C1853" w:rsidRPr="009C1853">
              <w:rPr>
                <w:noProof/>
                <w:webHidden/>
              </w:rPr>
              <w:fldChar w:fldCharType="separate"/>
            </w:r>
            <w:r w:rsidR="009C1853" w:rsidRPr="009C1853">
              <w:rPr>
                <w:noProof/>
                <w:webHidden/>
              </w:rPr>
              <w:t>186</w:t>
            </w:r>
            <w:r w:rsidR="009C1853" w:rsidRPr="009C1853">
              <w:rPr>
                <w:noProof/>
                <w:webHidden/>
              </w:rPr>
              <w:fldChar w:fldCharType="end"/>
            </w:r>
          </w:hyperlink>
        </w:p>
        <w:p w14:paraId="7EF0C940" w14:textId="77777777" w:rsidR="009C1853" w:rsidRPr="009C1853" w:rsidRDefault="00FF643F">
          <w:pPr>
            <w:pStyle w:val="TOC2"/>
            <w:tabs>
              <w:tab w:val="left" w:pos="1760"/>
              <w:tab w:val="right" w:leader="dot" w:pos="9905"/>
            </w:tabs>
            <w:rPr>
              <w:noProof/>
              <w:lang w:eastAsia="en-GB"/>
            </w:rPr>
          </w:pPr>
          <w:hyperlink w:anchor="_Toc3538201" w:history="1">
            <w:r w:rsidR="009C1853" w:rsidRPr="009C1853">
              <w:rPr>
                <w:rStyle w:val="Hyperlink"/>
                <w:noProof/>
                <w:lang w:bidi="x-none"/>
                <w14:scene3d>
                  <w14:camera w14:prst="orthographicFront"/>
                  <w14:lightRig w14:rig="threePt" w14:dir="t">
                    <w14:rot w14:lat="0" w14:lon="0" w14:rev="0"/>
                  </w14:lightRig>
                </w14:scene3d>
              </w:rPr>
              <w:t>Appendix C1.</w:t>
            </w:r>
            <w:r w:rsidR="009C1853" w:rsidRPr="009C1853">
              <w:rPr>
                <w:noProof/>
                <w:lang w:eastAsia="en-GB"/>
              </w:rPr>
              <w:tab/>
            </w:r>
            <w:r w:rsidR="009C1853" w:rsidRPr="009C1853">
              <w:rPr>
                <w:rStyle w:val="Hyperlink"/>
                <w:noProof/>
              </w:rPr>
              <w:t>Problem Distress Rating Scale (PDRS) used in Studies IV and VI</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_Toc3538201 \h </w:instrText>
            </w:r>
            <w:r w:rsidR="009C1853" w:rsidRPr="009C1853">
              <w:rPr>
                <w:noProof/>
                <w:webHidden/>
              </w:rPr>
            </w:r>
            <w:r w:rsidR="009C1853" w:rsidRPr="009C1853">
              <w:rPr>
                <w:noProof/>
                <w:webHidden/>
              </w:rPr>
              <w:fldChar w:fldCharType="separate"/>
            </w:r>
            <w:r w:rsidR="009C1853" w:rsidRPr="009C1853">
              <w:rPr>
                <w:noProof/>
                <w:webHidden/>
              </w:rPr>
              <w:t>187</w:t>
            </w:r>
            <w:r w:rsidR="009C1853" w:rsidRPr="009C1853">
              <w:rPr>
                <w:noProof/>
                <w:webHidden/>
              </w:rPr>
              <w:fldChar w:fldCharType="end"/>
            </w:r>
          </w:hyperlink>
        </w:p>
        <w:p w14:paraId="76658585" w14:textId="77777777" w:rsidR="009C1853" w:rsidRPr="009C1853" w:rsidRDefault="00FF643F">
          <w:pPr>
            <w:pStyle w:val="TOC2"/>
            <w:tabs>
              <w:tab w:val="left" w:pos="1760"/>
              <w:tab w:val="right" w:leader="dot" w:pos="9905"/>
            </w:tabs>
            <w:rPr>
              <w:noProof/>
              <w:lang w:eastAsia="en-GB"/>
            </w:rPr>
          </w:pPr>
          <w:hyperlink w:anchor="_Toc3538202" w:history="1">
            <w:r w:rsidR="009C1853" w:rsidRPr="009C1853">
              <w:rPr>
                <w:rStyle w:val="Hyperlink"/>
                <w:noProof/>
                <w:lang w:bidi="x-none"/>
                <w14:scene3d>
                  <w14:camera w14:prst="orthographicFront"/>
                  <w14:lightRig w14:rig="threePt" w14:dir="t">
                    <w14:rot w14:lat="0" w14:lon="0" w14:rev="0"/>
                  </w14:lightRig>
                </w14:scene3d>
              </w:rPr>
              <w:t>Appendix C2.</w:t>
            </w:r>
            <w:r w:rsidR="009C1853" w:rsidRPr="009C1853">
              <w:rPr>
                <w:noProof/>
                <w:lang w:eastAsia="en-GB"/>
              </w:rPr>
              <w:tab/>
            </w:r>
            <w:r w:rsidR="009C1853" w:rsidRPr="009C1853">
              <w:rPr>
                <w:rStyle w:val="Hyperlink"/>
                <w:noProof/>
              </w:rPr>
              <w:t>Depression Anxiety Stress Scales 21 (DASS-21)</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_Toc3538202 \h </w:instrText>
            </w:r>
            <w:r w:rsidR="009C1853" w:rsidRPr="009C1853">
              <w:rPr>
                <w:noProof/>
                <w:webHidden/>
              </w:rPr>
            </w:r>
            <w:r w:rsidR="009C1853" w:rsidRPr="009C1853">
              <w:rPr>
                <w:noProof/>
                <w:webHidden/>
              </w:rPr>
              <w:fldChar w:fldCharType="separate"/>
            </w:r>
            <w:r w:rsidR="009C1853" w:rsidRPr="009C1853">
              <w:rPr>
                <w:noProof/>
                <w:webHidden/>
              </w:rPr>
              <w:t>188</w:t>
            </w:r>
            <w:r w:rsidR="009C1853" w:rsidRPr="009C1853">
              <w:rPr>
                <w:noProof/>
                <w:webHidden/>
              </w:rPr>
              <w:fldChar w:fldCharType="end"/>
            </w:r>
          </w:hyperlink>
        </w:p>
        <w:p w14:paraId="2FC04776" w14:textId="77777777" w:rsidR="009C1853" w:rsidRPr="009C1853" w:rsidRDefault="00FF643F">
          <w:pPr>
            <w:pStyle w:val="TOC2"/>
            <w:tabs>
              <w:tab w:val="left" w:pos="1760"/>
              <w:tab w:val="right" w:leader="dot" w:pos="9905"/>
            </w:tabs>
            <w:rPr>
              <w:noProof/>
              <w:lang w:eastAsia="en-GB"/>
            </w:rPr>
          </w:pPr>
          <w:hyperlink w:anchor="_Toc3538203" w:history="1">
            <w:r w:rsidR="009C1853" w:rsidRPr="009C1853">
              <w:rPr>
                <w:rStyle w:val="Hyperlink"/>
                <w:noProof/>
                <w:lang w:bidi="x-none"/>
                <w14:scene3d>
                  <w14:camera w14:prst="orthographicFront"/>
                  <w14:lightRig w14:rig="threePt" w14:dir="t">
                    <w14:rot w14:lat="0" w14:lon="0" w14:rev="0"/>
                  </w14:lightRig>
                </w14:scene3d>
              </w:rPr>
              <w:t>Appendix C3.</w:t>
            </w:r>
            <w:r w:rsidR="009C1853" w:rsidRPr="009C1853">
              <w:rPr>
                <w:noProof/>
                <w:lang w:eastAsia="en-GB"/>
              </w:rPr>
              <w:tab/>
            </w:r>
            <w:r w:rsidR="009C1853" w:rsidRPr="009C1853">
              <w:rPr>
                <w:rStyle w:val="Hyperlink"/>
                <w:noProof/>
              </w:rPr>
              <w:t>Rating of Resolution Scale (RoR)</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_Toc3538203 \h </w:instrText>
            </w:r>
            <w:r w:rsidR="009C1853" w:rsidRPr="009C1853">
              <w:rPr>
                <w:noProof/>
                <w:webHidden/>
              </w:rPr>
            </w:r>
            <w:r w:rsidR="009C1853" w:rsidRPr="009C1853">
              <w:rPr>
                <w:noProof/>
                <w:webHidden/>
              </w:rPr>
              <w:fldChar w:fldCharType="separate"/>
            </w:r>
            <w:r w:rsidR="009C1853" w:rsidRPr="009C1853">
              <w:rPr>
                <w:noProof/>
                <w:webHidden/>
              </w:rPr>
              <w:t>189</w:t>
            </w:r>
            <w:r w:rsidR="009C1853" w:rsidRPr="009C1853">
              <w:rPr>
                <w:noProof/>
                <w:webHidden/>
              </w:rPr>
              <w:fldChar w:fldCharType="end"/>
            </w:r>
          </w:hyperlink>
        </w:p>
        <w:p w14:paraId="7E82555A" w14:textId="77777777" w:rsidR="009C1853" w:rsidRPr="009C1853" w:rsidRDefault="00FF643F">
          <w:pPr>
            <w:pStyle w:val="TOC2"/>
            <w:tabs>
              <w:tab w:val="left" w:pos="1760"/>
              <w:tab w:val="right" w:leader="dot" w:pos="9905"/>
            </w:tabs>
            <w:rPr>
              <w:noProof/>
              <w:lang w:eastAsia="en-GB"/>
            </w:rPr>
          </w:pPr>
          <w:hyperlink w:anchor="_Toc3538204" w:history="1">
            <w:r w:rsidR="009C1853" w:rsidRPr="009C1853">
              <w:rPr>
                <w:rStyle w:val="Hyperlink"/>
                <w:noProof/>
                <w:lang w:bidi="x-none"/>
                <w14:scene3d>
                  <w14:camera w14:prst="orthographicFront"/>
                  <w14:lightRig w14:rig="threePt" w14:dir="t">
                    <w14:rot w14:lat="0" w14:lon="0" w14:rev="0"/>
                  </w14:lightRig>
                </w14:scene3d>
              </w:rPr>
              <w:t>Appendix C4.</w:t>
            </w:r>
            <w:r w:rsidR="009C1853" w:rsidRPr="009C1853">
              <w:rPr>
                <w:noProof/>
                <w:lang w:eastAsia="en-GB"/>
              </w:rPr>
              <w:tab/>
            </w:r>
            <w:r w:rsidR="009C1853" w:rsidRPr="009C1853">
              <w:rPr>
                <w:rStyle w:val="Hyperlink"/>
                <w:noProof/>
              </w:rPr>
              <w:t>System Usability Scale (SUS) used in Studies IV, V and VI</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_Toc3538204 \h </w:instrText>
            </w:r>
            <w:r w:rsidR="009C1853" w:rsidRPr="009C1853">
              <w:rPr>
                <w:noProof/>
                <w:webHidden/>
              </w:rPr>
            </w:r>
            <w:r w:rsidR="009C1853" w:rsidRPr="009C1853">
              <w:rPr>
                <w:noProof/>
                <w:webHidden/>
              </w:rPr>
              <w:fldChar w:fldCharType="separate"/>
            </w:r>
            <w:r w:rsidR="009C1853" w:rsidRPr="009C1853">
              <w:rPr>
                <w:noProof/>
                <w:webHidden/>
              </w:rPr>
              <w:t>191</w:t>
            </w:r>
            <w:r w:rsidR="009C1853" w:rsidRPr="009C1853">
              <w:rPr>
                <w:noProof/>
                <w:webHidden/>
              </w:rPr>
              <w:fldChar w:fldCharType="end"/>
            </w:r>
          </w:hyperlink>
        </w:p>
        <w:p w14:paraId="69115594" w14:textId="77777777" w:rsidR="009C1853" w:rsidRPr="009C1853" w:rsidRDefault="00FF643F">
          <w:pPr>
            <w:pStyle w:val="TOC2"/>
            <w:tabs>
              <w:tab w:val="left" w:pos="1760"/>
              <w:tab w:val="right" w:leader="dot" w:pos="9905"/>
            </w:tabs>
            <w:rPr>
              <w:noProof/>
              <w:lang w:eastAsia="en-GB"/>
            </w:rPr>
          </w:pPr>
          <w:hyperlink w:anchor="_Toc3538205" w:history="1">
            <w:r w:rsidR="009C1853" w:rsidRPr="009C1853">
              <w:rPr>
                <w:rStyle w:val="Hyperlink"/>
                <w:noProof/>
                <w:lang w:bidi="x-none"/>
                <w14:scene3d>
                  <w14:camera w14:prst="orthographicFront"/>
                  <w14:lightRig w14:rig="threePt" w14:dir="t">
                    <w14:rot w14:lat="0" w14:lon="0" w14:rev="0"/>
                  </w14:lightRig>
                </w14:scene3d>
              </w:rPr>
              <w:t>Appendix C5.</w:t>
            </w:r>
            <w:r w:rsidR="009C1853" w:rsidRPr="009C1853">
              <w:rPr>
                <w:noProof/>
                <w:lang w:eastAsia="en-GB"/>
              </w:rPr>
              <w:tab/>
            </w:r>
            <w:r w:rsidR="009C1853" w:rsidRPr="009C1853">
              <w:rPr>
                <w:rStyle w:val="Hyperlink"/>
                <w:noProof/>
              </w:rPr>
              <w:t>Study IV Ethics Approval Letter</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_Toc3538205 \h </w:instrText>
            </w:r>
            <w:r w:rsidR="009C1853" w:rsidRPr="009C1853">
              <w:rPr>
                <w:noProof/>
                <w:webHidden/>
              </w:rPr>
            </w:r>
            <w:r w:rsidR="009C1853" w:rsidRPr="009C1853">
              <w:rPr>
                <w:noProof/>
                <w:webHidden/>
              </w:rPr>
              <w:fldChar w:fldCharType="separate"/>
            </w:r>
            <w:r w:rsidR="009C1853" w:rsidRPr="009C1853">
              <w:rPr>
                <w:noProof/>
                <w:webHidden/>
              </w:rPr>
              <w:t>192</w:t>
            </w:r>
            <w:r w:rsidR="009C1853" w:rsidRPr="009C1853">
              <w:rPr>
                <w:noProof/>
                <w:webHidden/>
              </w:rPr>
              <w:fldChar w:fldCharType="end"/>
            </w:r>
          </w:hyperlink>
        </w:p>
        <w:p w14:paraId="590D0095" w14:textId="77777777" w:rsidR="009C1853" w:rsidRPr="009C1853" w:rsidRDefault="00FF643F">
          <w:pPr>
            <w:pStyle w:val="TOC2"/>
            <w:tabs>
              <w:tab w:val="left" w:pos="1760"/>
              <w:tab w:val="right" w:leader="dot" w:pos="9905"/>
            </w:tabs>
            <w:rPr>
              <w:noProof/>
              <w:lang w:eastAsia="en-GB"/>
            </w:rPr>
          </w:pPr>
          <w:hyperlink w:anchor="_Toc3538206" w:history="1">
            <w:r w:rsidR="009C1853" w:rsidRPr="009C1853">
              <w:rPr>
                <w:rStyle w:val="Hyperlink"/>
                <w:noProof/>
                <w:lang w:bidi="x-none"/>
                <w14:scene3d>
                  <w14:camera w14:prst="orthographicFront"/>
                  <w14:lightRig w14:rig="threePt" w14:dir="t">
                    <w14:rot w14:lat="0" w14:lon="0" w14:rev="0"/>
                  </w14:lightRig>
                </w14:scene3d>
              </w:rPr>
              <w:t>Appendix C6.</w:t>
            </w:r>
            <w:r w:rsidR="009C1853" w:rsidRPr="009C1853">
              <w:rPr>
                <w:noProof/>
                <w:lang w:eastAsia="en-GB"/>
              </w:rPr>
              <w:tab/>
            </w:r>
            <w:r w:rsidR="009C1853" w:rsidRPr="009C1853">
              <w:rPr>
                <w:rStyle w:val="Hyperlink"/>
                <w:noProof/>
              </w:rPr>
              <w:t>Study IV Recruitment Poster</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_Toc3538206 \h </w:instrText>
            </w:r>
            <w:r w:rsidR="009C1853" w:rsidRPr="009C1853">
              <w:rPr>
                <w:noProof/>
                <w:webHidden/>
              </w:rPr>
            </w:r>
            <w:r w:rsidR="009C1853" w:rsidRPr="009C1853">
              <w:rPr>
                <w:noProof/>
                <w:webHidden/>
              </w:rPr>
              <w:fldChar w:fldCharType="separate"/>
            </w:r>
            <w:r w:rsidR="009C1853" w:rsidRPr="009C1853">
              <w:rPr>
                <w:noProof/>
                <w:webHidden/>
              </w:rPr>
              <w:t>193</w:t>
            </w:r>
            <w:r w:rsidR="009C1853" w:rsidRPr="009C1853">
              <w:rPr>
                <w:noProof/>
                <w:webHidden/>
              </w:rPr>
              <w:fldChar w:fldCharType="end"/>
            </w:r>
          </w:hyperlink>
        </w:p>
        <w:p w14:paraId="62DC2A98" w14:textId="77777777" w:rsidR="009C1853" w:rsidRPr="009C1853" w:rsidRDefault="00FF643F">
          <w:pPr>
            <w:pStyle w:val="TOC2"/>
            <w:tabs>
              <w:tab w:val="left" w:pos="1760"/>
              <w:tab w:val="right" w:leader="dot" w:pos="9905"/>
            </w:tabs>
            <w:rPr>
              <w:noProof/>
              <w:lang w:eastAsia="en-GB"/>
            </w:rPr>
          </w:pPr>
          <w:hyperlink w:anchor="_Toc3538207" w:history="1">
            <w:r w:rsidR="009C1853" w:rsidRPr="009C1853">
              <w:rPr>
                <w:rStyle w:val="Hyperlink"/>
                <w:noProof/>
                <w:lang w:bidi="x-none"/>
                <w14:scene3d>
                  <w14:camera w14:prst="orthographicFront"/>
                  <w14:lightRig w14:rig="threePt" w14:dir="t">
                    <w14:rot w14:lat="0" w14:lon="0" w14:rev="0"/>
                  </w14:lightRig>
                </w14:scene3d>
              </w:rPr>
              <w:t>Appendix C7.</w:t>
            </w:r>
            <w:r w:rsidR="009C1853" w:rsidRPr="009C1853">
              <w:rPr>
                <w:noProof/>
                <w:lang w:eastAsia="en-GB"/>
              </w:rPr>
              <w:tab/>
            </w:r>
            <w:r w:rsidR="009C1853" w:rsidRPr="009C1853">
              <w:rPr>
                <w:rStyle w:val="Hyperlink"/>
                <w:noProof/>
              </w:rPr>
              <w:t>Study IV Participant Information Sheet and Consent Form</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_Toc3538207 \h </w:instrText>
            </w:r>
            <w:r w:rsidR="009C1853" w:rsidRPr="009C1853">
              <w:rPr>
                <w:noProof/>
                <w:webHidden/>
              </w:rPr>
            </w:r>
            <w:r w:rsidR="009C1853" w:rsidRPr="009C1853">
              <w:rPr>
                <w:noProof/>
                <w:webHidden/>
              </w:rPr>
              <w:fldChar w:fldCharType="separate"/>
            </w:r>
            <w:r w:rsidR="009C1853" w:rsidRPr="009C1853">
              <w:rPr>
                <w:noProof/>
                <w:webHidden/>
              </w:rPr>
              <w:t>194</w:t>
            </w:r>
            <w:r w:rsidR="009C1853" w:rsidRPr="009C1853">
              <w:rPr>
                <w:noProof/>
                <w:webHidden/>
              </w:rPr>
              <w:fldChar w:fldCharType="end"/>
            </w:r>
          </w:hyperlink>
        </w:p>
        <w:p w14:paraId="335AFA96" w14:textId="77777777" w:rsidR="009C1853" w:rsidRPr="009C1853" w:rsidRDefault="00FF643F">
          <w:pPr>
            <w:pStyle w:val="TOC2"/>
            <w:tabs>
              <w:tab w:val="left" w:pos="1760"/>
              <w:tab w:val="right" w:leader="dot" w:pos="9905"/>
            </w:tabs>
            <w:rPr>
              <w:noProof/>
              <w:lang w:eastAsia="en-GB"/>
            </w:rPr>
          </w:pPr>
          <w:hyperlink w:anchor="_Toc3538208" w:history="1">
            <w:r w:rsidR="009C1853" w:rsidRPr="009C1853">
              <w:rPr>
                <w:rStyle w:val="Hyperlink"/>
                <w:noProof/>
                <w:lang w:bidi="x-none"/>
                <w14:scene3d>
                  <w14:camera w14:prst="orthographicFront"/>
                  <w14:lightRig w14:rig="threePt" w14:dir="t">
                    <w14:rot w14:lat="0" w14:lon="0" w14:rev="0"/>
                  </w14:lightRig>
                </w14:scene3d>
              </w:rPr>
              <w:t>Appendix C8.</w:t>
            </w:r>
            <w:r w:rsidR="009C1853" w:rsidRPr="009C1853">
              <w:rPr>
                <w:noProof/>
                <w:lang w:eastAsia="en-GB"/>
              </w:rPr>
              <w:tab/>
            </w:r>
            <w:r w:rsidR="009C1853" w:rsidRPr="009C1853">
              <w:rPr>
                <w:rStyle w:val="Hyperlink"/>
                <w:noProof/>
              </w:rPr>
              <w:t>ELIZA Tips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_Toc3538208 \h </w:instrText>
            </w:r>
            <w:r w:rsidR="009C1853" w:rsidRPr="009C1853">
              <w:rPr>
                <w:noProof/>
                <w:webHidden/>
              </w:rPr>
            </w:r>
            <w:r w:rsidR="009C1853" w:rsidRPr="009C1853">
              <w:rPr>
                <w:noProof/>
                <w:webHidden/>
              </w:rPr>
              <w:fldChar w:fldCharType="separate"/>
            </w:r>
            <w:r w:rsidR="009C1853" w:rsidRPr="009C1853">
              <w:rPr>
                <w:noProof/>
                <w:webHidden/>
              </w:rPr>
              <w:t>197</w:t>
            </w:r>
            <w:r w:rsidR="009C1853" w:rsidRPr="009C1853">
              <w:rPr>
                <w:noProof/>
                <w:webHidden/>
              </w:rPr>
              <w:fldChar w:fldCharType="end"/>
            </w:r>
          </w:hyperlink>
        </w:p>
        <w:p w14:paraId="444C1F83" w14:textId="77777777" w:rsidR="009C1853" w:rsidRPr="009C1853" w:rsidRDefault="00FF643F">
          <w:pPr>
            <w:pStyle w:val="TOC2"/>
            <w:tabs>
              <w:tab w:val="left" w:pos="1760"/>
              <w:tab w:val="right" w:leader="dot" w:pos="9905"/>
            </w:tabs>
            <w:rPr>
              <w:noProof/>
              <w:lang w:eastAsia="en-GB"/>
            </w:rPr>
          </w:pPr>
          <w:hyperlink w:anchor="_Toc3538209" w:history="1">
            <w:r w:rsidR="009C1853" w:rsidRPr="009C1853">
              <w:rPr>
                <w:rStyle w:val="Hyperlink"/>
                <w:noProof/>
                <w:lang w:bidi="x-none"/>
                <w14:scene3d>
                  <w14:camera w14:prst="orthographicFront"/>
                  <w14:lightRig w14:rig="threePt" w14:dir="t">
                    <w14:rot w14:lat="0" w14:lon="0" w14:rev="0"/>
                  </w14:lightRig>
                </w14:scene3d>
              </w:rPr>
              <w:t>Appendix C9.</w:t>
            </w:r>
            <w:r w:rsidR="009C1853" w:rsidRPr="009C1853">
              <w:rPr>
                <w:noProof/>
                <w:lang w:eastAsia="en-GB"/>
              </w:rPr>
              <w:tab/>
            </w:r>
            <w:r w:rsidR="009C1853" w:rsidRPr="009C1853">
              <w:rPr>
                <w:rStyle w:val="Hyperlink"/>
                <w:noProof/>
              </w:rPr>
              <w:t>MYLO Tips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_Toc3538209 \h </w:instrText>
            </w:r>
            <w:r w:rsidR="009C1853" w:rsidRPr="009C1853">
              <w:rPr>
                <w:noProof/>
                <w:webHidden/>
              </w:rPr>
            </w:r>
            <w:r w:rsidR="009C1853" w:rsidRPr="009C1853">
              <w:rPr>
                <w:noProof/>
                <w:webHidden/>
              </w:rPr>
              <w:fldChar w:fldCharType="separate"/>
            </w:r>
            <w:r w:rsidR="009C1853" w:rsidRPr="009C1853">
              <w:rPr>
                <w:noProof/>
                <w:webHidden/>
              </w:rPr>
              <w:t>198</w:t>
            </w:r>
            <w:r w:rsidR="009C1853" w:rsidRPr="009C1853">
              <w:rPr>
                <w:noProof/>
                <w:webHidden/>
              </w:rPr>
              <w:fldChar w:fldCharType="end"/>
            </w:r>
          </w:hyperlink>
        </w:p>
        <w:p w14:paraId="3761C852" w14:textId="77777777" w:rsidR="009C1853" w:rsidRPr="009C1853" w:rsidRDefault="00FF643F">
          <w:pPr>
            <w:pStyle w:val="TOC2"/>
            <w:tabs>
              <w:tab w:val="left" w:pos="1784"/>
              <w:tab w:val="right" w:leader="dot" w:pos="9905"/>
            </w:tabs>
            <w:rPr>
              <w:noProof/>
              <w:lang w:eastAsia="en-GB"/>
            </w:rPr>
          </w:pPr>
          <w:hyperlink w:anchor="_Toc3538210" w:history="1">
            <w:r w:rsidR="009C1853" w:rsidRPr="009C1853">
              <w:rPr>
                <w:rStyle w:val="Hyperlink"/>
                <w:noProof/>
                <w:lang w:bidi="x-none"/>
                <w14:scene3d>
                  <w14:camera w14:prst="orthographicFront"/>
                  <w14:lightRig w14:rig="threePt" w14:dir="t">
                    <w14:rot w14:lat="0" w14:lon="0" w14:rev="0"/>
                  </w14:lightRig>
                </w14:scene3d>
              </w:rPr>
              <w:t>Appendix C10.</w:t>
            </w:r>
            <w:r w:rsidR="009C1853" w:rsidRPr="009C1853">
              <w:rPr>
                <w:noProof/>
                <w:lang w:eastAsia="en-GB"/>
              </w:rPr>
              <w:tab/>
            </w:r>
            <w:r w:rsidR="009C1853" w:rsidRPr="009C1853">
              <w:rPr>
                <w:rStyle w:val="Hyperlink"/>
                <w:noProof/>
              </w:rPr>
              <w:t>Study IV Participant Debrief</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_Toc3538210 \h </w:instrText>
            </w:r>
            <w:r w:rsidR="009C1853" w:rsidRPr="009C1853">
              <w:rPr>
                <w:noProof/>
                <w:webHidden/>
              </w:rPr>
            </w:r>
            <w:r w:rsidR="009C1853" w:rsidRPr="009C1853">
              <w:rPr>
                <w:noProof/>
                <w:webHidden/>
              </w:rPr>
              <w:fldChar w:fldCharType="separate"/>
            </w:r>
            <w:r w:rsidR="009C1853" w:rsidRPr="009C1853">
              <w:rPr>
                <w:noProof/>
                <w:webHidden/>
              </w:rPr>
              <w:t>199</w:t>
            </w:r>
            <w:r w:rsidR="009C1853" w:rsidRPr="009C1853">
              <w:rPr>
                <w:noProof/>
                <w:webHidden/>
              </w:rPr>
              <w:fldChar w:fldCharType="end"/>
            </w:r>
          </w:hyperlink>
        </w:p>
        <w:p w14:paraId="3D4EC290" w14:textId="77777777" w:rsidR="009C1853" w:rsidRPr="009C1853" w:rsidRDefault="00FF643F">
          <w:pPr>
            <w:pStyle w:val="TOC2"/>
            <w:tabs>
              <w:tab w:val="left" w:pos="1760"/>
              <w:tab w:val="right" w:leader="dot" w:pos="9905"/>
            </w:tabs>
            <w:rPr>
              <w:noProof/>
              <w:lang w:eastAsia="en-GB"/>
            </w:rPr>
          </w:pPr>
          <w:hyperlink w:anchor="_Toc3538211" w:history="1">
            <w:r w:rsidR="009C1853" w:rsidRPr="009C1853">
              <w:rPr>
                <w:rStyle w:val="Hyperlink"/>
                <w:noProof/>
                <w14:scene3d>
                  <w14:camera w14:prst="orthographicFront"/>
                  <w14:lightRig w14:rig="threePt" w14:dir="t">
                    <w14:rot w14:lat="0" w14:lon="0" w14:rev="0"/>
                  </w14:lightRig>
                </w14:scene3d>
              </w:rPr>
              <w:t>Appendix D1.</w:t>
            </w:r>
            <w:r w:rsidR="009C1853" w:rsidRPr="009C1853">
              <w:rPr>
                <w:noProof/>
                <w:lang w:eastAsia="en-GB"/>
              </w:rPr>
              <w:tab/>
            </w:r>
            <w:r w:rsidR="009C1853" w:rsidRPr="009C1853">
              <w:rPr>
                <w:rStyle w:val="Hyperlink"/>
                <w:noProof/>
              </w:rPr>
              <w:t>MYLO Introduction Screenshots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_Toc3538211 \h </w:instrText>
            </w:r>
            <w:r w:rsidR="009C1853" w:rsidRPr="009C1853">
              <w:rPr>
                <w:noProof/>
                <w:webHidden/>
              </w:rPr>
            </w:r>
            <w:r w:rsidR="009C1853" w:rsidRPr="009C1853">
              <w:rPr>
                <w:noProof/>
                <w:webHidden/>
              </w:rPr>
              <w:fldChar w:fldCharType="separate"/>
            </w:r>
            <w:r w:rsidR="009C1853" w:rsidRPr="009C1853">
              <w:rPr>
                <w:noProof/>
                <w:webHidden/>
              </w:rPr>
              <w:t>202</w:t>
            </w:r>
            <w:r w:rsidR="009C1853" w:rsidRPr="009C1853">
              <w:rPr>
                <w:noProof/>
                <w:webHidden/>
              </w:rPr>
              <w:fldChar w:fldCharType="end"/>
            </w:r>
          </w:hyperlink>
        </w:p>
        <w:p w14:paraId="118AE0D0" w14:textId="77777777" w:rsidR="009C1853" w:rsidRPr="009C1853" w:rsidRDefault="00FF643F">
          <w:pPr>
            <w:pStyle w:val="TOC2"/>
            <w:tabs>
              <w:tab w:val="left" w:pos="1760"/>
              <w:tab w:val="right" w:leader="dot" w:pos="9905"/>
            </w:tabs>
            <w:rPr>
              <w:noProof/>
              <w:lang w:eastAsia="en-GB"/>
            </w:rPr>
          </w:pPr>
          <w:hyperlink w:anchor="_Toc3538212" w:history="1">
            <w:r w:rsidR="009C1853" w:rsidRPr="009C1853">
              <w:rPr>
                <w:rStyle w:val="Hyperlink"/>
                <w:noProof/>
                <w14:scene3d>
                  <w14:camera w14:prst="orthographicFront"/>
                  <w14:lightRig w14:rig="threePt" w14:dir="t">
                    <w14:rot w14:lat="0" w14:lon="0" w14:rev="0"/>
                  </w14:lightRig>
                </w14:scene3d>
              </w:rPr>
              <w:t>Appendix D2.</w:t>
            </w:r>
            <w:r w:rsidR="009C1853" w:rsidRPr="009C1853">
              <w:rPr>
                <w:noProof/>
                <w:lang w:eastAsia="en-GB"/>
              </w:rPr>
              <w:tab/>
            </w:r>
            <w:r w:rsidR="009C1853" w:rsidRPr="009C1853">
              <w:rPr>
                <w:rStyle w:val="Hyperlink"/>
                <w:noProof/>
              </w:rPr>
              <w:t>MYLO Instructions Screenshots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_Toc3538212 \h </w:instrText>
            </w:r>
            <w:r w:rsidR="009C1853" w:rsidRPr="009C1853">
              <w:rPr>
                <w:noProof/>
                <w:webHidden/>
              </w:rPr>
            </w:r>
            <w:r w:rsidR="009C1853" w:rsidRPr="009C1853">
              <w:rPr>
                <w:noProof/>
                <w:webHidden/>
              </w:rPr>
              <w:fldChar w:fldCharType="separate"/>
            </w:r>
            <w:r w:rsidR="009C1853" w:rsidRPr="009C1853">
              <w:rPr>
                <w:noProof/>
                <w:webHidden/>
              </w:rPr>
              <w:t>206</w:t>
            </w:r>
            <w:r w:rsidR="009C1853" w:rsidRPr="009C1853">
              <w:rPr>
                <w:noProof/>
                <w:webHidden/>
              </w:rPr>
              <w:fldChar w:fldCharType="end"/>
            </w:r>
          </w:hyperlink>
        </w:p>
        <w:p w14:paraId="17DF3E84" w14:textId="77777777" w:rsidR="009C1853" w:rsidRPr="009C1853" w:rsidRDefault="00FF643F">
          <w:pPr>
            <w:pStyle w:val="TOC2"/>
            <w:tabs>
              <w:tab w:val="left" w:pos="1760"/>
              <w:tab w:val="right" w:leader="dot" w:pos="9905"/>
            </w:tabs>
            <w:rPr>
              <w:noProof/>
              <w:lang w:eastAsia="en-GB"/>
            </w:rPr>
          </w:pPr>
          <w:hyperlink w:anchor="_Toc3538213" w:history="1">
            <w:r w:rsidR="009C1853" w:rsidRPr="009C1853">
              <w:rPr>
                <w:rStyle w:val="Hyperlink"/>
                <w:noProof/>
                <w:lang w:eastAsia="en-GB"/>
                <w14:scene3d>
                  <w14:camera w14:prst="orthographicFront"/>
                  <w14:lightRig w14:rig="threePt" w14:dir="t">
                    <w14:rot w14:lat="0" w14:lon="0" w14:rev="0"/>
                  </w14:lightRig>
                </w14:scene3d>
              </w:rPr>
              <w:t>Appendix D3.</w:t>
            </w:r>
            <w:r w:rsidR="009C1853" w:rsidRPr="009C1853">
              <w:rPr>
                <w:noProof/>
                <w:lang w:eastAsia="en-GB"/>
              </w:rPr>
              <w:tab/>
            </w:r>
            <w:r w:rsidR="009C1853" w:rsidRPr="009C1853">
              <w:rPr>
                <w:rStyle w:val="Hyperlink"/>
                <w:noProof/>
                <w:lang w:eastAsia="en-GB"/>
              </w:rPr>
              <w:t>MYLO Guided with Speech Screenshot</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_Toc3538213 \h </w:instrText>
            </w:r>
            <w:r w:rsidR="009C1853" w:rsidRPr="009C1853">
              <w:rPr>
                <w:noProof/>
                <w:webHidden/>
              </w:rPr>
            </w:r>
            <w:r w:rsidR="009C1853" w:rsidRPr="009C1853">
              <w:rPr>
                <w:noProof/>
                <w:webHidden/>
              </w:rPr>
              <w:fldChar w:fldCharType="separate"/>
            </w:r>
            <w:r w:rsidR="009C1853" w:rsidRPr="009C1853">
              <w:rPr>
                <w:noProof/>
                <w:webHidden/>
              </w:rPr>
              <w:t>207</w:t>
            </w:r>
            <w:r w:rsidR="009C1853" w:rsidRPr="009C1853">
              <w:rPr>
                <w:noProof/>
                <w:webHidden/>
              </w:rPr>
              <w:fldChar w:fldCharType="end"/>
            </w:r>
          </w:hyperlink>
        </w:p>
        <w:p w14:paraId="6A6E1535" w14:textId="77777777" w:rsidR="009C1853" w:rsidRPr="009C1853" w:rsidRDefault="00FF643F">
          <w:pPr>
            <w:pStyle w:val="TOC2"/>
            <w:tabs>
              <w:tab w:val="left" w:pos="1760"/>
              <w:tab w:val="right" w:leader="dot" w:pos="9905"/>
            </w:tabs>
            <w:rPr>
              <w:noProof/>
              <w:lang w:eastAsia="en-GB"/>
            </w:rPr>
          </w:pPr>
          <w:hyperlink w:anchor="_Toc3538214" w:history="1">
            <w:r w:rsidR="009C1853" w:rsidRPr="009C1853">
              <w:rPr>
                <w:rStyle w:val="Hyperlink"/>
                <w:noProof/>
                <w:lang w:eastAsia="en-GB"/>
                <w14:scene3d>
                  <w14:camera w14:prst="orthographicFront"/>
                  <w14:lightRig w14:rig="threePt" w14:dir="t">
                    <w14:rot w14:lat="0" w14:lon="0" w14:rev="0"/>
                  </w14:lightRig>
                </w14:scene3d>
              </w:rPr>
              <w:t>Appendix D4.</w:t>
            </w:r>
            <w:r w:rsidR="009C1853" w:rsidRPr="009C1853">
              <w:rPr>
                <w:noProof/>
                <w:lang w:eastAsia="en-GB"/>
              </w:rPr>
              <w:tab/>
            </w:r>
            <w:r w:rsidR="009C1853" w:rsidRPr="009C1853">
              <w:rPr>
                <w:rStyle w:val="Hyperlink"/>
                <w:noProof/>
                <w:lang w:eastAsia="en-GB"/>
              </w:rPr>
              <w:t>MYLO Speech Generation Process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_Toc3538214 \h </w:instrText>
            </w:r>
            <w:r w:rsidR="009C1853" w:rsidRPr="009C1853">
              <w:rPr>
                <w:noProof/>
                <w:webHidden/>
              </w:rPr>
            </w:r>
            <w:r w:rsidR="009C1853" w:rsidRPr="009C1853">
              <w:rPr>
                <w:noProof/>
                <w:webHidden/>
              </w:rPr>
              <w:fldChar w:fldCharType="separate"/>
            </w:r>
            <w:r w:rsidR="009C1853" w:rsidRPr="009C1853">
              <w:rPr>
                <w:noProof/>
                <w:webHidden/>
              </w:rPr>
              <w:t>208</w:t>
            </w:r>
            <w:r w:rsidR="009C1853" w:rsidRPr="009C1853">
              <w:rPr>
                <w:noProof/>
                <w:webHidden/>
              </w:rPr>
              <w:fldChar w:fldCharType="end"/>
            </w:r>
          </w:hyperlink>
        </w:p>
        <w:p w14:paraId="1C30887E" w14:textId="77777777" w:rsidR="009C1853" w:rsidRPr="009C1853" w:rsidRDefault="00FF643F">
          <w:pPr>
            <w:pStyle w:val="TOC2"/>
            <w:tabs>
              <w:tab w:val="left" w:pos="1760"/>
              <w:tab w:val="right" w:leader="dot" w:pos="9905"/>
            </w:tabs>
            <w:rPr>
              <w:noProof/>
              <w:lang w:eastAsia="en-GB"/>
            </w:rPr>
          </w:pPr>
          <w:hyperlink w:anchor="_Toc3538215" w:history="1">
            <w:r w:rsidR="009C1853" w:rsidRPr="009C1853">
              <w:rPr>
                <w:rStyle w:val="Hyperlink"/>
                <w:noProof/>
                <w14:scene3d>
                  <w14:camera w14:prst="orthographicFront"/>
                  <w14:lightRig w14:rig="threePt" w14:dir="t">
                    <w14:rot w14:lat="0" w14:lon="0" w14:rev="0"/>
                  </w14:lightRig>
                </w14:scene3d>
              </w:rPr>
              <w:t>Appendix D5.</w:t>
            </w:r>
            <w:r w:rsidR="009C1853" w:rsidRPr="009C1853">
              <w:rPr>
                <w:noProof/>
                <w:lang w:eastAsia="en-GB"/>
              </w:rPr>
              <w:tab/>
            </w:r>
            <w:r w:rsidR="009C1853" w:rsidRPr="009C1853">
              <w:rPr>
                <w:rStyle w:val="Hyperlink"/>
                <w:noProof/>
              </w:rPr>
              <w:t>Health Questionnaire 9 (PHQ-9)</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_Toc3538215 \h </w:instrText>
            </w:r>
            <w:r w:rsidR="009C1853" w:rsidRPr="009C1853">
              <w:rPr>
                <w:noProof/>
                <w:webHidden/>
              </w:rPr>
            </w:r>
            <w:r w:rsidR="009C1853" w:rsidRPr="009C1853">
              <w:rPr>
                <w:noProof/>
                <w:webHidden/>
              </w:rPr>
              <w:fldChar w:fldCharType="separate"/>
            </w:r>
            <w:r w:rsidR="009C1853" w:rsidRPr="009C1853">
              <w:rPr>
                <w:noProof/>
                <w:webHidden/>
              </w:rPr>
              <w:t>209</w:t>
            </w:r>
            <w:r w:rsidR="009C1853" w:rsidRPr="009C1853">
              <w:rPr>
                <w:noProof/>
                <w:webHidden/>
              </w:rPr>
              <w:fldChar w:fldCharType="end"/>
            </w:r>
          </w:hyperlink>
        </w:p>
        <w:p w14:paraId="0CF11561" w14:textId="77777777" w:rsidR="009C1853" w:rsidRPr="009C1853" w:rsidRDefault="00FF643F">
          <w:pPr>
            <w:pStyle w:val="TOC2"/>
            <w:tabs>
              <w:tab w:val="left" w:pos="1760"/>
              <w:tab w:val="right" w:leader="dot" w:pos="9905"/>
            </w:tabs>
            <w:rPr>
              <w:noProof/>
              <w:lang w:eastAsia="en-GB"/>
            </w:rPr>
          </w:pPr>
          <w:hyperlink w:anchor="_Toc3538216" w:history="1">
            <w:r w:rsidR="009C1853" w:rsidRPr="009C1853">
              <w:rPr>
                <w:rStyle w:val="Hyperlink"/>
                <w:noProof/>
                <w14:scene3d>
                  <w14:camera w14:prst="orthographicFront"/>
                  <w14:lightRig w14:rig="threePt" w14:dir="t">
                    <w14:rot w14:lat="0" w14:lon="0" w14:rev="0"/>
                  </w14:lightRig>
                </w14:scene3d>
              </w:rPr>
              <w:t>Appendix D6.</w:t>
            </w:r>
            <w:r w:rsidR="009C1853" w:rsidRPr="009C1853">
              <w:rPr>
                <w:noProof/>
                <w:lang w:eastAsia="en-GB"/>
              </w:rPr>
              <w:tab/>
            </w:r>
            <w:r w:rsidR="009C1853" w:rsidRPr="009C1853">
              <w:rPr>
                <w:rStyle w:val="Hyperlink"/>
                <w:noProof/>
              </w:rPr>
              <w:t>General Anxiety Disorder 7 (GAD-7)</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_Toc3538216 \h </w:instrText>
            </w:r>
            <w:r w:rsidR="009C1853" w:rsidRPr="009C1853">
              <w:rPr>
                <w:noProof/>
                <w:webHidden/>
              </w:rPr>
            </w:r>
            <w:r w:rsidR="009C1853" w:rsidRPr="009C1853">
              <w:rPr>
                <w:noProof/>
                <w:webHidden/>
              </w:rPr>
              <w:fldChar w:fldCharType="separate"/>
            </w:r>
            <w:r w:rsidR="009C1853" w:rsidRPr="009C1853">
              <w:rPr>
                <w:noProof/>
                <w:webHidden/>
              </w:rPr>
              <w:t>210</w:t>
            </w:r>
            <w:r w:rsidR="009C1853" w:rsidRPr="009C1853">
              <w:rPr>
                <w:noProof/>
                <w:webHidden/>
              </w:rPr>
              <w:fldChar w:fldCharType="end"/>
            </w:r>
          </w:hyperlink>
        </w:p>
        <w:p w14:paraId="17CDE848" w14:textId="77777777" w:rsidR="009C1853" w:rsidRPr="009C1853" w:rsidRDefault="00FF643F">
          <w:pPr>
            <w:pStyle w:val="TOC2"/>
            <w:tabs>
              <w:tab w:val="left" w:pos="1760"/>
              <w:tab w:val="right" w:leader="dot" w:pos="9905"/>
            </w:tabs>
            <w:rPr>
              <w:noProof/>
              <w:lang w:eastAsia="en-GB"/>
            </w:rPr>
          </w:pPr>
          <w:hyperlink w:anchor="_Toc3538217" w:history="1">
            <w:r w:rsidR="009C1853" w:rsidRPr="009C1853">
              <w:rPr>
                <w:rStyle w:val="Hyperlink"/>
                <w:noProof/>
                <w14:scene3d>
                  <w14:camera w14:prst="orthographicFront"/>
                  <w14:lightRig w14:rig="threePt" w14:dir="t">
                    <w14:rot w14:lat="0" w14:lon="0" w14:rev="0"/>
                  </w14:lightRig>
                </w14:scene3d>
              </w:rPr>
              <w:t>Appendix D7.</w:t>
            </w:r>
            <w:r w:rsidR="009C1853" w:rsidRPr="009C1853">
              <w:rPr>
                <w:noProof/>
                <w:lang w:eastAsia="en-GB"/>
              </w:rPr>
              <w:tab/>
            </w:r>
            <w:r w:rsidR="009C1853" w:rsidRPr="009C1853">
              <w:rPr>
                <w:rStyle w:val="Hyperlink"/>
                <w:noProof/>
              </w:rPr>
              <w:t>Credibility and Expectancy Scale (CEQ)</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_Toc3538217 \h </w:instrText>
            </w:r>
            <w:r w:rsidR="009C1853" w:rsidRPr="009C1853">
              <w:rPr>
                <w:noProof/>
                <w:webHidden/>
              </w:rPr>
            </w:r>
            <w:r w:rsidR="009C1853" w:rsidRPr="009C1853">
              <w:rPr>
                <w:noProof/>
                <w:webHidden/>
              </w:rPr>
              <w:fldChar w:fldCharType="separate"/>
            </w:r>
            <w:r w:rsidR="009C1853" w:rsidRPr="009C1853">
              <w:rPr>
                <w:noProof/>
                <w:webHidden/>
              </w:rPr>
              <w:t>211</w:t>
            </w:r>
            <w:r w:rsidR="009C1853" w:rsidRPr="009C1853">
              <w:rPr>
                <w:noProof/>
                <w:webHidden/>
              </w:rPr>
              <w:fldChar w:fldCharType="end"/>
            </w:r>
          </w:hyperlink>
        </w:p>
        <w:p w14:paraId="5154D4EB" w14:textId="77777777" w:rsidR="009C1853" w:rsidRPr="009C1853" w:rsidRDefault="00FF643F">
          <w:pPr>
            <w:pStyle w:val="TOC2"/>
            <w:tabs>
              <w:tab w:val="left" w:pos="1760"/>
              <w:tab w:val="right" w:leader="dot" w:pos="9905"/>
            </w:tabs>
            <w:rPr>
              <w:noProof/>
              <w:lang w:eastAsia="en-GB"/>
            </w:rPr>
          </w:pPr>
          <w:hyperlink w:anchor="_Toc3538218" w:history="1">
            <w:r w:rsidR="009C1853" w:rsidRPr="009C1853">
              <w:rPr>
                <w:rStyle w:val="Hyperlink"/>
                <w:noProof/>
                <w14:scene3d>
                  <w14:camera w14:prst="orthographicFront"/>
                  <w14:lightRig w14:rig="threePt" w14:dir="t">
                    <w14:rot w14:lat="0" w14:lon="0" w14:rev="0"/>
                  </w14:lightRig>
                </w14:scene3d>
              </w:rPr>
              <w:t>Appendix D8.</w:t>
            </w:r>
            <w:r w:rsidR="009C1853" w:rsidRPr="009C1853">
              <w:rPr>
                <w:noProof/>
                <w:lang w:eastAsia="en-GB"/>
              </w:rPr>
              <w:tab/>
            </w:r>
            <w:r w:rsidR="009C1853" w:rsidRPr="009C1853">
              <w:rPr>
                <w:rStyle w:val="Hyperlink"/>
                <w:noProof/>
              </w:rPr>
              <w:t>Credibility Scale (CS)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_Toc3538218 \h </w:instrText>
            </w:r>
            <w:r w:rsidR="009C1853" w:rsidRPr="009C1853">
              <w:rPr>
                <w:noProof/>
                <w:webHidden/>
              </w:rPr>
            </w:r>
            <w:r w:rsidR="009C1853" w:rsidRPr="009C1853">
              <w:rPr>
                <w:noProof/>
                <w:webHidden/>
              </w:rPr>
              <w:fldChar w:fldCharType="separate"/>
            </w:r>
            <w:r w:rsidR="009C1853" w:rsidRPr="009C1853">
              <w:rPr>
                <w:noProof/>
                <w:webHidden/>
              </w:rPr>
              <w:t>213</w:t>
            </w:r>
            <w:r w:rsidR="009C1853" w:rsidRPr="009C1853">
              <w:rPr>
                <w:noProof/>
                <w:webHidden/>
              </w:rPr>
              <w:fldChar w:fldCharType="end"/>
            </w:r>
          </w:hyperlink>
        </w:p>
        <w:p w14:paraId="3E790F24" w14:textId="77777777" w:rsidR="009C1853" w:rsidRPr="009C1853" w:rsidRDefault="00FF643F">
          <w:pPr>
            <w:pStyle w:val="TOC2"/>
            <w:tabs>
              <w:tab w:val="left" w:pos="1760"/>
              <w:tab w:val="right" w:leader="dot" w:pos="9905"/>
            </w:tabs>
            <w:rPr>
              <w:noProof/>
              <w:lang w:eastAsia="en-GB"/>
            </w:rPr>
          </w:pPr>
          <w:hyperlink w:anchor="_Toc3538219" w:history="1">
            <w:r w:rsidR="009C1853" w:rsidRPr="009C1853">
              <w:rPr>
                <w:rStyle w:val="Hyperlink"/>
                <w:noProof/>
                <w14:scene3d>
                  <w14:camera w14:prst="orthographicFront"/>
                  <w14:lightRig w14:rig="threePt" w14:dir="t">
                    <w14:rot w14:lat="0" w14:lon="0" w14:rev="0"/>
                  </w14:lightRig>
                </w14:scene3d>
              </w:rPr>
              <w:t>Appendix D9.</w:t>
            </w:r>
            <w:r w:rsidR="009C1853" w:rsidRPr="009C1853">
              <w:rPr>
                <w:noProof/>
                <w:lang w:eastAsia="en-GB"/>
              </w:rPr>
              <w:tab/>
            </w:r>
            <w:r w:rsidR="009C1853" w:rsidRPr="009C1853">
              <w:rPr>
                <w:rStyle w:val="Hyperlink"/>
                <w:noProof/>
              </w:rPr>
              <w:t>Rating of Resolution v2 (Post-intervention and Follow-Up)</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_Toc3538219 \h </w:instrText>
            </w:r>
            <w:r w:rsidR="009C1853" w:rsidRPr="009C1853">
              <w:rPr>
                <w:noProof/>
                <w:webHidden/>
              </w:rPr>
            </w:r>
            <w:r w:rsidR="009C1853" w:rsidRPr="009C1853">
              <w:rPr>
                <w:noProof/>
                <w:webHidden/>
              </w:rPr>
              <w:fldChar w:fldCharType="separate"/>
            </w:r>
            <w:r w:rsidR="009C1853" w:rsidRPr="009C1853">
              <w:rPr>
                <w:noProof/>
                <w:webHidden/>
              </w:rPr>
              <w:t>214</w:t>
            </w:r>
            <w:r w:rsidR="009C1853" w:rsidRPr="009C1853">
              <w:rPr>
                <w:noProof/>
                <w:webHidden/>
              </w:rPr>
              <w:fldChar w:fldCharType="end"/>
            </w:r>
          </w:hyperlink>
        </w:p>
        <w:p w14:paraId="4546B4C4" w14:textId="77777777" w:rsidR="009C1853" w:rsidRPr="009C1853" w:rsidRDefault="00FF643F">
          <w:pPr>
            <w:pStyle w:val="TOC2"/>
            <w:tabs>
              <w:tab w:val="left" w:pos="1797"/>
              <w:tab w:val="right" w:leader="dot" w:pos="9905"/>
            </w:tabs>
            <w:rPr>
              <w:noProof/>
              <w:lang w:eastAsia="en-GB"/>
            </w:rPr>
          </w:pPr>
          <w:hyperlink w:anchor="_Toc3538220" w:history="1">
            <w:r w:rsidR="009C1853" w:rsidRPr="009C1853">
              <w:rPr>
                <w:rStyle w:val="Hyperlink"/>
                <w:noProof/>
                <w14:scene3d>
                  <w14:camera w14:prst="orthographicFront"/>
                  <w14:lightRig w14:rig="threePt" w14:dir="t">
                    <w14:rot w14:lat="0" w14:lon="0" w14:rev="0"/>
                  </w14:lightRig>
                </w14:scene3d>
              </w:rPr>
              <w:t>Appendix D10.</w:t>
            </w:r>
            <w:r w:rsidR="009C1853" w:rsidRPr="009C1853">
              <w:rPr>
                <w:noProof/>
                <w:lang w:eastAsia="en-GB"/>
              </w:rPr>
              <w:tab/>
            </w:r>
            <w:r w:rsidR="009C1853" w:rsidRPr="009C1853">
              <w:rPr>
                <w:rStyle w:val="Hyperlink"/>
                <w:noProof/>
              </w:rPr>
              <w:t>System Feedback including Net Promoter Score (NPS)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_Toc3538220 \h </w:instrText>
            </w:r>
            <w:r w:rsidR="009C1853" w:rsidRPr="009C1853">
              <w:rPr>
                <w:noProof/>
                <w:webHidden/>
              </w:rPr>
            </w:r>
            <w:r w:rsidR="009C1853" w:rsidRPr="009C1853">
              <w:rPr>
                <w:noProof/>
                <w:webHidden/>
              </w:rPr>
              <w:fldChar w:fldCharType="separate"/>
            </w:r>
            <w:r w:rsidR="009C1853" w:rsidRPr="009C1853">
              <w:rPr>
                <w:noProof/>
                <w:webHidden/>
              </w:rPr>
              <w:t>215</w:t>
            </w:r>
            <w:r w:rsidR="009C1853" w:rsidRPr="009C1853">
              <w:rPr>
                <w:noProof/>
                <w:webHidden/>
              </w:rPr>
              <w:fldChar w:fldCharType="end"/>
            </w:r>
          </w:hyperlink>
        </w:p>
        <w:p w14:paraId="44919121" w14:textId="77777777" w:rsidR="009C1853" w:rsidRPr="009C1853" w:rsidRDefault="00FF643F">
          <w:pPr>
            <w:pStyle w:val="TOC2"/>
            <w:tabs>
              <w:tab w:val="left" w:pos="1797"/>
              <w:tab w:val="right" w:leader="dot" w:pos="9905"/>
            </w:tabs>
            <w:rPr>
              <w:noProof/>
              <w:lang w:eastAsia="en-GB"/>
            </w:rPr>
          </w:pPr>
          <w:hyperlink w:anchor="_Toc3538221" w:history="1">
            <w:r w:rsidR="009C1853" w:rsidRPr="009C1853">
              <w:rPr>
                <w:rStyle w:val="Hyperlink"/>
                <w:noProof/>
                <w14:scene3d>
                  <w14:camera w14:prst="orthographicFront"/>
                  <w14:lightRig w14:rig="threePt" w14:dir="t">
                    <w14:rot w14:lat="0" w14:lon="0" w14:rev="0"/>
                  </w14:lightRig>
                </w14:scene3d>
              </w:rPr>
              <w:t>Appendix D11.</w:t>
            </w:r>
            <w:r w:rsidR="009C1853" w:rsidRPr="009C1853">
              <w:rPr>
                <w:noProof/>
                <w:lang w:eastAsia="en-GB"/>
              </w:rPr>
              <w:tab/>
            </w:r>
            <w:r w:rsidR="009C1853" w:rsidRPr="009C1853">
              <w:rPr>
                <w:rStyle w:val="Hyperlink"/>
                <w:noProof/>
              </w:rPr>
              <w:t>Working Alliance Inventory – Short Revised (WAI-SR)</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_Toc3538221 \h </w:instrText>
            </w:r>
            <w:r w:rsidR="009C1853" w:rsidRPr="009C1853">
              <w:rPr>
                <w:noProof/>
                <w:webHidden/>
              </w:rPr>
            </w:r>
            <w:r w:rsidR="009C1853" w:rsidRPr="009C1853">
              <w:rPr>
                <w:noProof/>
                <w:webHidden/>
              </w:rPr>
              <w:fldChar w:fldCharType="separate"/>
            </w:r>
            <w:r w:rsidR="009C1853" w:rsidRPr="009C1853">
              <w:rPr>
                <w:noProof/>
                <w:webHidden/>
              </w:rPr>
              <w:t>216</w:t>
            </w:r>
            <w:r w:rsidR="009C1853" w:rsidRPr="009C1853">
              <w:rPr>
                <w:noProof/>
                <w:webHidden/>
              </w:rPr>
              <w:fldChar w:fldCharType="end"/>
            </w:r>
          </w:hyperlink>
        </w:p>
        <w:p w14:paraId="1F79753C" w14:textId="77777777" w:rsidR="009C1853" w:rsidRPr="009C1853" w:rsidRDefault="00FF643F">
          <w:pPr>
            <w:pStyle w:val="TOC2"/>
            <w:tabs>
              <w:tab w:val="left" w:pos="1797"/>
              <w:tab w:val="right" w:leader="dot" w:pos="9905"/>
            </w:tabs>
            <w:rPr>
              <w:noProof/>
              <w:lang w:eastAsia="en-GB"/>
            </w:rPr>
          </w:pPr>
          <w:hyperlink w:anchor="_Toc3538222" w:history="1">
            <w:r w:rsidR="009C1853" w:rsidRPr="009C1853">
              <w:rPr>
                <w:rStyle w:val="Hyperlink"/>
                <w:noProof/>
                <w14:scene3d>
                  <w14:camera w14:prst="orthographicFront"/>
                  <w14:lightRig w14:rig="threePt" w14:dir="t">
                    <w14:rot w14:lat="0" w14:lon="0" w14:rev="0"/>
                  </w14:lightRig>
                </w14:scene3d>
              </w:rPr>
              <w:t>Appendix D12.</w:t>
            </w:r>
            <w:r w:rsidR="009C1853" w:rsidRPr="009C1853">
              <w:rPr>
                <w:noProof/>
                <w:lang w:eastAsia="en-GB"/>
              </w:rPr>
              <w:tab/>
            </w:r>
            <w:r w:rsidR="009C1853" w:rsidRPr="009C1853">
              <w:rPr>
                <w:rStyle w:val="Hyperlink"/>
                <w:noProof/>
              </w:rPr>
              <w:t>Study VI Ethics Approval Letter</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_Toc3538222 \h </w:instrText>
            </w:r>
            <w:r w:rsidR="009C1853" w:rsidRPr="009C1853">
              <w:rPr>
                <w:noProof/>
                <w:webHidden/>
              </w:rPr>
            </w:r>
            <w:r w:rsidR="009C1853" w:rsidRPr="009C1853">
              <w:rPr>
                <w:noProof/>
                <w:webHidden/>
              </w:rPr>
              <w:fldChar w:fldCharType="separate"/>
            </w:r>
            <w:r w:rsidR="009C1853" w:rsidRPr="009C1853">
              <w:rPr>
                <w:noProof/>
                <w:webHidden/>
              </w:rPr>
              <w:t>218</w:t>
            </w:r>
            <w:r w:rsidR="009C1853" w:rsidRPr="009C1853">
              <w:rPr>
                <w:noProof/>
                <w:webHidden/>
              </w:rPr>
              <w:fldChar w:fldCharType="end"/>
            </w:r>
          </w:hyperlink>
        </w:p>
        <w:p w14:paraId="119334E6" w14:textId="77777777" w:rsidR="009C1853" w:rsidRPr="009C1853" w:rsidRDefault="00FF643F">
          <w:pPr>
            <w:pStyle w:val="TOC2"/>
            <w:tabs>
              <w:tab w:val="left" w:pos="1797"/>
              <w:tab w:val="right" w:leader="dot" w:pos="9905"/>
            </w:tabs>
            <w:rPr>
              <w:noProof/>
              <w:lang w:eastAsia="en-GB"/>
            </w:rPr>
          </w:pPr>
          <w:hyperlink w:anchor="_Toc3538223" w:history="1">
            <w:r w:rsidR="009C1853" w:rsidRPr="009C1853">
              <w:rPr>
                <w:rStyle w:val="Hyperlink"/>
                <w:noProof/>
                <w14:scene3d>
                  <w14:camera w14:prst="orthographicFront"/>
                  <w14:lightRig w14:rig="threePt" w14:dir="t">
                    <w14:rot w14:lat="0" w14:lon="0" w14:rev="0"/>
                  </w14:lightRig>
                </w14:scene3d>
              </w:rPr>
              <w:t>Appendix D13.</w:t>
            </w:r>
            <w:r w:rsidR="009C1853" w:rsidRPr="009C1853">
              <w:rPr>
                <w:noProof/>
                <w:lang w:eastAsia="en-GB"/>
              </w:rPr>
              <w:tab/>
            </w:r>
            <w:r w:rsidR="009C1853" w:rsidRPr="009C1853">
              <w:rPr>
                <w:rStyle w:val="Hyperlink"/>
                <w:noProof/>
              </w:rPr>
              <w:t>Study VI Recruitment Poster</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_Toc3538223 \h </w:instrText>
            </w:r>
            <w:r w:rsidR="009C1853" w:rsidRPr="009C1853">
              <w:rPr>
                <w:noProof/>
                <w:webHidden/>
              </w:rPr>
            </w:r>
            <w:r w:rsidR="009C1853" w:rsidRPr="009C1853">
              <w:rPr>
                <w:noProof/>
                <w:webHidden/>
              </w:rPr>
              <w:fldChar w:fldCharType="separate"/>
            </w:r>
            <w:r w:rsidR="009C1853" w:rsidRPr="009C1853">
              <w:rPr>
                <w:noProof/>
                <w:webHidden/>
              </w:rPr>
              <w:t>219</w:t>
            </w:r>
            <w:r w:rsidR="009C1853" w:rsidRPr="009C1853">
              <w:rPr>
                <w:noProof/>
                <w:webHidden/>
              </w:rPr>
              <w:fldChar w:fldCharType="end"/>
            </w:r>
          </w:hyperlink>
        </w:p>
        <w:p w14:paraId="57611493" w14:textId="77777777" w:rsidR="009C1853" w:rsidRPr="009C1853" w:rsidRDefault="00FF643F">
          <w:pPr>
            <w:pStyle w:val="TOC2"/>
            <w:tabs>
              <w:tab w:val="left" w:pos="1797"/>
              <w:tab w:val="right" w:leader="dot" w:pos="9905"/>
            </w:tabs>
            <w:rPr>
              <w:noProof/>
              <w:lang w:eastAsia="en-GB"/>
            </w:rPr>
          </w:pPr>
          <w:hyperlink w:anchor="_Toc3538224" w:history="1">
            <w:r w:rsidR="009C1853" w:rsidRPr="009C1853">
              <w:rPr>
                <w:rStyle w:val="Hyperlink"/>
                <w:noProof/>
                <w14:scene3d>
                  <w14:camera w14:prst="orthographicFront"/>
                  <w14:lightRig w14:rig="threePt" w14:dir="t">
                    <w14:rot w14:lat="0" w14:lon="0" w14:rev="0"/>
                  </w14:lightRig>
                </w14:scene3d>
              </w:rPr>
              <w:t>Appendix D14.</w:t>
            </w:r>
            <w:r w:rsidR="009C1853" w:rsidRPr="009C1853">
              <w:rPr>
                <w:noProof/>
                <w:lang w:eastAsia="en-GB"/>
              </w:rPr>
              <w:tab/>
            </w:r>
            <w:r w:rsidR="009C1853" w:rsidRPr="009C1853">
              <w:rPr>
                <w:rStyle w:val="Hyperlink"/>
                <w:noProof/>
              </w:rPr>
              <w:t>Study VI Online Registration Screenshots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_Toc3538224 \h </w:instrText>
            </w:r>
            <w:r w:rsidR="009C1853" w:rsidRPr="009C1853">
              <w:rPr>
                <w:noProof/>
                <w:webHidden/>
              </w:rPr>
            </w:r>
            <w:r w:rsidR="009C1853" w:rsidRPr="009C1853">
              <w:rPr>
                <w:noProof/>
                <w:webHidden/>
              </w:rPr>
              <w:fldChar w:fldCharType="separate"/>
            </w:r>
            <w:r w:rsidR="009C1853" w:rsidRPr="009C1853">
              <w:rPr>
                <w:noProof/>
                <w:webHidden/>
              </w:rPr>
              <w:t>220</w:t>
            </w:r>
            <w:r w:rsidR="009C1853" w:rsidRPr="009C1853">
              <w:rPr>
                <w:noProof/>
                <w:webHidden/>
              </w:rPr>
              <w:fldChar w:fldCharType="end"/>
            </w:r>
          </w:hyperlink>
        </w:p>
        <w:p w14:paraId="425F2E02" w14:textId="77777777" w:rsidR="009C1853" w:rsidRPr="009C1853" w:rsidRDefault="00FF643F">
          <w:pPr>
            <w:pStyle w:val="TOC2"/>
            <w:tabs>
              <w:tab w:val="left" w:pos="1797"/>
              <w:tab w:val="right" w:leader="dot" w:pos="9905"/>
            </w:tabs>
            <w:rPr>
              <w:noProof/>
              <w:lang w:eastAsia="en-GB"/>
            </w:rPr>
          </w:pPr>
          <w:hyperlink w:anchor="_Toc3538225" w:history="1">
            <w:r w:rsidR="009C1853" w:rsidRPr="009C1853">
              <w:rPr>
                <w:rStyle w:val="Hyperlink"/>
                <w:noProof/>
                <w14:scene3d>
                  <w14:camera w14:prst="orthographicFront"/>
                  <w14:lightRig w14:rig="threePt" w14:dir="t">
                    <w14:rot w14:lat="0" w14:lon="0" w14:rev="0"/>
                  </w14:lightRig>
                </w14:scene3d>
              </w:rPr>
              <w:t>Appendix D15.</w:t>
            </w:r>
            <w:r w:rsidR="009C1853" w:rsidRPr="009C1853">
              <w:rPr>
                <w:noProof/>
                <w:lang w:eastAsia="en-GB"/>
              </w:rPr>
              <w:tab/>
            </w:r>
            <w:r w:rsidR="009C1853" w:rsidRPr="009C1853">
              <w:rPr>
                <w:rStyle w:val="Hyperlink"/>
                <w:noProof/>
              </w:rPr>
              <w:t>Backend Study Management System Process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_Toc3538225 \h </w:instrText>
            </w:r>
            <w:r w:rsidR="009C1853" w:rsidRPr="009C1853">
              <w:rPr>
                <w:noProof/>
                <w:webHidden/>
              </w:rPr>
            </w:r>
            <w:r w:rsidR="009C1853" w:rsidRPr="009C1853">
              <w:rPr>
                <w:noProof/>
                <w:webHidden/>
              </w:rPr>
              <w:fldChar w:fldCharType="separate"/>
            </w:r>
            <w:r w:rsidR="009C1853" w:rsidRPr="009C1853">
              <w:rPr>
                <w:noProof/>
                <w:webHidden/>
              </w:rPr>
              <w:t>221</w:t>
            </w:r>
            <w:r w:rsidR="009C1853" w:rsidRPr="009C1853">
              <w:rPr>
                <w:noProof/>
                <w:webHidden/>
              </w:rPr>
              <w:fldChar w:fldCharType="end"/>
            </w:r>
          </w:hyperlink>
        </w:p>
        <w:p w14:paraId="5874DE10" w14:textId="77777777" w:rsidR="009C1853" w:rsidRPr="009C1853" w:rsidRDefault="00FF643F">
          <w:pPr>
            <w:pStyle w:val="TOC2"/>
            <w:tabs>
              <w:tab w:val="left" w:pos="1797"/>
              <w:tab w:val="right" w:leader="dot" w:pos="9905"/>
            </w:tabs>
            <w:rPr>
              <w:noProof/>
              <w:lang w:eastAsia="en-GB"/>
            </w:rPr>
          </w:pPr>
          <w:hyperlink w:anchor="_Toc3538226" w:history="1">
            <w:r w:rsidR="009C1853" w:rsidRPr="009C1853">
              <w:rPr>
                <w:rStyle w:val="Hyperlink"/>
                <w:noProof/>
                <w14:scene3d>
                  <w14:camera w14:prst="orthographicFront"/>
                  <w14:lightRig w14:rig="threePt" w14:dir="t">
                    <w14:rot w14:lat="0" w14:lon="0" w14:rev="0"/>
                  </w14:lightRig>
                </w14:scene3d>
              </w:rPr>
              <w:t>Appendix D16.</w:t>
            </w:r>
            <w:r w:rsidR="009C1853" w:rsidRPr="009C1853">
              <w:rPr>
                <w:noProof/>
                <w:lang w:eastAsia="en-GB"/>
              </w:rPr>
              <w:tab/>
            </w:r>
            <w:r w:rsidR="009C1853" w:rsidRPr="009C1853">
              <w:rPr>
                <w:rStyle w:val="Hyperlink"/>
                <w:noProof/>
              </w:rPr>
              <w:t>Study VI Participant Information Sheet and Consent Form</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_Toc3538226 \h </w:instrText>
            </w:r>
            <w:r w:rsidR="009C1853" w:rsidRPr="009C1853">
              <w:rPr>
                <w:noProof/>
                <w:webHidden/>
              </w:rPr>
            </w:r>
            <w:r w:rsidR="009C1853" w:rsidRPr="009C1853">
              <w:rPr>
                <w:noProof/>
                <w:webHidden/>
              </w:rPr>
              <w:fldChar w:fldCharType="separate"/>
            </w:r>
            <w:r w:rsidR="009C1853" w:rsidRPr="009C1853">
              <w:rPr>
                <w:noProof/>
                <w:webHidden/>
              </w:rPr>
              <w:t>222</w:t>
            </w:r>
            <w:r w:rsidR="009C1853" w:rsidRPr="009C1853">
              <w:rPr>
                <w:noProof/>
                <w:webHidden/>
              </w:rPr>
              <w:fldChar w:fldCharType="end"/>
            </w:r>
          </w:hyperlink>
        </w:p>
        <w:p w14:paraId="1677F5C4" w14:textId="77777777" w:rsidR="009C1853" w:rsidRPr="009C1853" w:rsidRDefault="00FF643F">
          <w:pPr>
            <w:pStyle w:val="TOC2"/>
            <w:tabs>
              <w:tab w:val="left" w:pos="1797"/>
              <w:tab w:val="right" w:leader="dot" w:pos="9905"/>
            </w:tabs>
            <w:rPr>
              <w:noProof/>
              <w:lang w:eastAsia="en-GB"/>
            </w:rPr>
          </w:pPr>
          <w:hyperlink w:anchor="_Toc3538227" w:history="1">
            <w:r w:rsidR="009C1853" w:rsidRPr="009C1853">
              <w:rPr>
                <w:rStyle w:val="Hyperlink"/>
                <w:noProof/>
                <w14:scene3d>
                  <w14:camera w14:prst="orthographicFront"/>
                  <w14:lightRig w14:rig="threePt" w14:dir="t">
                    <w14:rot w14:lat="0" w14:lon="0" w14:rev="0"/>
                  </w14:lightRig>
                </w14:scene3d>
              </w:rPr>
              <w:t>Appendix D17.</w:t>
            </w:r>
            <w:r w:rsidR="009C1853" w:rsidRPr="009C1853">
              <w:rPr>
                <w:noProof/>
                <w:lang w:eastAsia="en-GB"/>
              </w:rPr>
              <w:tab/>
            </w:r>
            <w:r w:rsidR="009C1853" w:rsidRPr="009C1853">
              <w:rPr>
                <w:rStyle w:val="Hyperlink"/>
                <w:noProof/>
              </w:rPr>
              <w:t>MYLO Sound Test Screenshots</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_Toc3538227 \h </w:instrText>
            </w:r>
            <w:r w:rsidR="009C1853" w:rsidRPr="009C1853">
              <w:rPr>
                <w:noProof/>
                <w:webHidden/>
              </w:rPr>
            </w:r>
            <w:r w:rsidR="009C1853" w:rsidRPr="009C1853">
              <w:rPr>
                <w:noProof/>
                <w:webHidden/>
              </w:rPr>
              <w:fldChar w:fldCharType="separate"/>
            </w:r>
            <w:r w:rsidR="009C1853" w:rsidRPr="009C1853">
              <w:rPr>
                <w:noProof/>
                <w:webHidden/>
              </w:rPr>
              <w:t>225</w:t>
            </w:r>
            <w:r w:rsidR="009C1853" w:rsidRPr="009C1853">
              <w:rPr>
                <w:noProof/>
                <w:webHidden/>
              </w:rPr>
              <w:fldChar w:fldCharType="end"/>
            </w:r>
          </w:hyperlink>
        </w:p>
        <w:p w14:paraId="131C0D8A" w14:textId="77777777" w:rsidR="009C1853" w:rsidRPr="009C1853" w:rsidRDefault="00FF643F">
          <w:pPr>
            <w:pStyle w:val="TOC2"/>
            <w:tabs>
              <w:tab w:val="left" w:pos="1797"/>
              <w:tab w:val="right" w:leader="dot" w:pos="9905"/>
            </w:tabs>
            <w:rPr>
              <w:noProof/>
              <w:lang w:eastAsia="en-GB"/>
            </w:rPr>
          </w:pPr>
          <w:hyperlink w:anchor="_Toc3538228" w:history="1">
            <w:r w:rsidR="009C1853" w:rsidRPr="009C1853">
              <w:rPr>
                <w:rStyle w:val="Hyperlink"/>
                <w:noProof/>
                <w14:scene3d>
                  <w14:camera w14:prst="orthographicFront"/>
                  <w14:lightRig w14:rig="threePt" w14:dir="t">
                    <w14:rot w14:lat="0" w14:lon="0" w14:rev="0"/>
                  </w14:lightRig>
                </w14:scene3d>
              </w:rPr>
              <w:t>Appendix D18.</w:t>
            </w:r>
            <w:r w:rsidR="009C1853" w:rsidRPr="009C1853">
              <w:rPr>
                <w:noProof/>
                <w:lang w:eastAsia="en-GB"/>
              </w:rPr>
              <w:tab/>
            </w:r>
            <w:r w:rsidR="009C1853" w:rsidRPr="009C1853">
              <w:rPr>
                <w:rStyle w:val="Hyperlink"/>
                <w:noProof/>
              </w:rPr>
              <w:t>Study VI Participant Debrief</w:t>
            </w:r>
            <w:r w:rsidR="009C1853" w:rsidRPr="009C1853">
              <w:rPr>
                <w:noProof/>
                <w:webHidden/>
              </w:rPr>
              <w:tab/>
            </w:r>
            <w:r w:rsidR="009C1853" w:rsidRPr="009C1853">
              <w:rPr>
                <w:noProof/>
                <w:webHidden/>
              </w:rPr>
              <w:fldChar w:fldCharType="begin"/>
            </w:r>
            <w:r w:rsidR="009C1853" w:rsidRPr="009C1853">
              <w:rPr>
                <w:noProof/>
                <w:webHidden/>
              </w:rPr>
              <w:instrText xml:space="preserve"> PAGEREF _Toc3538228 \h </w:instrText>
            </w:r>
            <w:r w:rsidR="009C1853" w:rsidRPr="009C1853">
              <w:rPr>
                <w:noProof/>
                <w:webHidden/>
              </w:rPr>
            </w:r>
            <w:r w:rsidR="009C1853" w:rsidRPr="009C1853">
              <w:rPr>
                <w:noProof/>
                <w:webHidden/>
              </w:rPr>
              <w:fldChar w:fldCharType="separate"/>
            </w:r>
            <w:r w:rsidR="009C1853" w:rsidRPr="009C1853">
              <w:rPr>
                <w:noProof/>
                <w:webHidden/>
              </w:rPr>
              <w:t>226</w:t>
            </w:r>
            <w:r w:rsidR="009C1853" w:rsidRPr="009C1853">
              <w:rPr>
                <w:noProof/>
                <w:webHidden/>
              </w:rPr>
              <w:fldChar w:fldCharType="end"/>
            </w:r>
          </w:hyperlink>
        </w:p>
        <w:p w14:paraId="40EA3474" w14:textId="74E7350B" w:rsidR="00663CD6" w:rsidRPr="009C1853" w:rsidRDefault="00663CD6" w:rsidP="0080499F">
          <w:pPr>
            <w:pStyle w:val="TOC2"/>
            <w:tabs>
              <w:tab w:val="left" w:pos="1760"/>
              <w:tab w:val="right" w:leader="dot" w:pos="9905"/>
            </w:tabs>
            <w:ind w:left="0"/>
            <w:rPr>
              <w:rFonts w:cstheme="minorHAnsi"/>
            </w:rPr>
          </w:pPr>
          <w:r w:rsidRPr="009C1853">
            <w:rPr>
              <w:rFonts w:cstheme="minorHAnsi"/>
              <w:b/>
              <w:bCs/>
              <w:noProof/>
            </w:rPr>
            <w:fldChar w:fldCharType="end"/>
          </w:r>
        </w:p>
      </w:sdtContent>
    </w:sdt>
    <w:p w14:paraId="592C0E58" w14:textId="5DF7B78F" w:rsidR="00F712B2" w:rsidRDefault="00F712B2"/>
    <w:p w14:paraId="70AC8FCF" w14:textId="77777777" w:rsidR="00680BEE" w:rsidRDefault="00680BEE" w:rsidP="00124458">
      <w:pPr>
        <w:rPr>
          <w:rFonts w:ascii="TUOS Blake" w:hAnsi="TUOS Blake" w:hint="eastAsia"/>
        </w:rPr>
        <w:sectPr w:rsidR="00680BEE" w:rsidSect="00452C07">
          <w:pgSz w:w="11900" w:h="16840"/>
          <w:pgMar w:top="851" w:right="851" w:bottom="851" w:left="1134" w:header="720" w:footer="720" w:gutter="0"/>
          <w:cols w:space="720"/>
          <w:docGrid w:linePitch="360"/>
        </w:sectPr>
      </w:pPr>
    </w:p>
    <w:p w14:paraId="5031D34E" w14:textId="4DA5FA70" w:rsidR="007F2AE9" w:rsidRDefault="007F2AE9" w:rsidP="00A3163C">
      <w:pPr>
        <w:pStyle w:val="Heading1"/>
        <w:numPr>
          <w:ilvl w:val="0"/>
          <w:numId w:val="0"/>
        </w:numPr>
      </w:pPr>
      <w:bookmarkStart w:id="5" w:name="_Toc530598094"/>
      <w:bookmarkStart w:id="6" w:name="_Toc530660447"/>
      <w:bookmarkStart w:id="7" w:name="_Toc3538039"/>
      <w:r>
        <w:lastRenderedPageBreak/>
        <w:t>List of Tables</w:t>
      </w:r>
      <w:bookmarkEnd w:id="5"/>
      <w:bookmarkEnd w:id="6"/>
      <w:bookmarkEnd w:id="7"/>
    </w:p>
    <w:p w14:paraId="3F581A53" w14:textId="67E29A8D" w:rsidR="00A83A18" w:rsidRDefault="007F2AE9">
      <w:pPr>
        <w:pStyle w:val="TableofFigures"/>
        <w:tabs>
          <w:tab w:val="right" w:leader="dot" w:pos="9905"/>
        </w:tabs>
        <w:rPr>
          <w:noProof/>
          <w:lang w:eastAsia="en-GB"/>
        </w:rPr>
      </w:pPr>
      <w:r>
        <w:rPr>
          <w:rFonts w:ascii="TUOS Blake" w:hAnsi="TUOS Blake"/>
        </w:rPr>
        <w:fldChar w:fldCharType="begin"/>
      </w:r>
      <w:r>
        <w:rPr>
          <w:rFonts w:ascii="TUOS Blake" w:hAnsi="TUOS Blake"/>
        </w:rPr>
        <w:instrText xml:space="preserve"> TOC \h \z \c "Table" </w:instrText>
      </w:r>
      <w:r>
        <w:rPr>
          <w:rFonts w:ascii="TUOS Blake" w:hAnsi="TUOS Blake"/>
        </w:rPr>
        <w:fldChar w:fldCharType="separate"/>
      </w:r>
      <w:hyperlink w:anchor="_Toc530759480" w:history="1">
        <w:r w:rsidR="00A83A18" w:rsidRPr="00BA4810">
          <w:rPr>
            <w:rStyle w:val="Hyperlink"/>
            <w:noProof/>
          </w:rPr>
          <w:t>Table 2.1 Freedom of Information Request Questions asked of IAPT Service Providers</w:t>
        </w:r>
        <w:r w:rsidR="00A83A18">
          <w:rPr>
            <w:noProof/>
            <w:webHidden/>
          </w:rPr>
          <w:tab/>
        </w:r>
        <w:r w:rsidR="00A83A18">
          <w:rPr>
            <w:noProof/>
            <w:webHidden/>
          </w:rPr>
          <w:fldChar w:fldCharType="begin"/>
        </w:r>
        <w:r w:rsidR="00A83A18">
          <w:rPr>
            <w:noProof/>
            <w:webHidden/>
          </w:rPr>
          <w:instrText xml:space="preserve"> PAGEREF _Toc530759480 \h </w:instrText>
        </w:r>
        <w:r w:rsidR="00A83A18">
          <w:rPr>
            <w:noProof/>
            <w:webHidden/>
          </w:rPr>
        </w:r>
        <w:r w:rsidR="00A83A18">
          <w:rPr>
            <w:noProof/>
            <w:webHidden/>
          </w:rPr>
          <w:fldChar w:fldCharType="separate"/>
        </w:r>
        <w:r w:rsidR="00A83A18">
          <w:rPr>
            <w:noProof/>
            <w:webHidden/>
          </w:rPr>
          <w:t>28</w:t>
        </w:r>
        <w:r w:rsidR="00A83A18">
          <w:rPr>
            <w:noProof/>
            <w:webHidden/>
          </w:rPr>
          <w:fldChar w:fldCharType="end"/>
        </w:r>
      </w:hyperlink>
    </w:p>
    <w:p w14:paraId="31F6B0FA" w14:textId="2C040D20" w:rsidR="00A83A18" w:rsidRDefault="00FF643F">
      <w:pPr>
        <w:pStyle w:val="TableofFigures"/>
        <w:tabs>
          <w:tab w:val="right" w:leader="dot" w:pos="9905"/>
        </w:tabs>
        <w:rPr>
          <w:noProof/>
          <w:lang w:eastAsia="en-GB"/>
        </w:rPr>
      </w:pPr>
      <w:hyperlink w:anchor="_Toc530759481" w:history="1">
        <w:r w:rsidR="00A83A18" w:rsidRPr="00BA4810">
          <w:rPr>
            <w:rStyle w:val="Hyperlink"/>
            <w:noProof/>
          </w:rPr>
          <w:t>Table 2.2 Freedom of Information Request Questions asked of NHS Trusts</w:t>
        </w:r>
        <w:r w:rsidR="00A83A18">
          <w:rPr>
            <w:noProof/>
            <w:webHidden/>
          </w:rPr>
          <w:tab/>
        </w:r>
        <w:r w:rsidR="00A83A18">
          <w:rPr>
            <w:noProof/>
            <w:webHidden/>
          </w:rPr>
          <w:fldChar w:fldCharType="begin"/>
        </w:r>
        <w:r w:rsidR="00A83A18">
          <w:rPr>
            <w:noProof/>
            <w:webHidden/>
          </w:rPr>
          <w:instrText xml:space="preserve"> PAGEREF _Toc530759481 \h </w:instrText>
        </w:r>
        <w:r w:rsidR="00A83A18">
          <w:rPr>
            <w:noProof/>
            <w:webHidden/>
          </w:rPr>
        </w:r>
        <w:r w:rsidR="00A83A18">
          <w:rPr>
            <w:noProof/>
            <w:webHidden/>
          </w:rPr>
          <w:fldChar w:fldCharType="separate"/>
        </w:r>
        <w:r w:rsidR="00A83A18">
          <w:rPr>
            <w:noProof/>
            <w:webHidden/>
          </w:rPr>
          <w:t>28</w:t>
        </w:r>
        <w:r w:rsidR="00A83A18">
          <w:rPr>
            <w:noProof/>
            <w:webHidden/>
          </w:rPr>
          <w:fldChar w:fldCharType="end"/>
        </w:r>
      </w:hyperlink>
    </w:p>
    <w:p w14:paraId="5FF043F4" w14:textId="34C2E926" w:rsidR="00A83A18" w:rsidRDefault="00FF643F">
      <w:pPr>
        <w:pStyle w:val="TableofFigures"/>
        <w:tabs>
          <w:tab w:val="right" w:leader="dot" w:pos="9905"/>
        </w:tabs>
        <w:rPr>
          <w:noProof/>
          <w:lang w:eastAsia="en-GB"/>
        </w:rPr>
      </w:pPr>
      <w:hyperlink w:anchor="_Toc530759482" w:history="1">
        <w:r w:rsidR="00A83A18" w:rsidRPr="00BA4810">
          <w:rPr>
            <w:rStyle w:val="Hyperlink"/>
            <w:noProof/>
          </w:rPr>
          <w:t>Table 2.3 All web and smartphone apps reported to be used or recommended by the NHS for common mental health problems</w:t>
        </w:r>
        <w:r w:rsidR="00A83A18">
          <w:rPr>
            <w:noProof/>
            <w:webHidden/>
          </w:rPr>
          <w:tab/>
        </w:r>
        <w:r w:rsidR="00A83A18">
          <w:rPr>
            <w:noProof/>
            <w:webHidden/>
          </w:rPr>
          <w:fldChar w:fldCharType="begin"/>
        </w:r>
        <w:r w:rsidR="00A83A18">
          <w:rPr>
            <w:noProof/>
            <w:webHidden/>
          </w:rPr>
          <w:instrText xml:space="preserve"> PAGEREF _Toc530759482 \h </w:instrText>
        </w:r>
        <w:r w:rsidR="00A83A18">
          <w:rPr>
            <w:noProof/>
            <w:webHidden/>
          </w:rPr>
        </w:r>
        <w:r w:rsidR="00A83A18">
          <w:rPr>
            <w:noProof/>
            <w:webHidden/>
          </w:rPr>
          <w:fldChar w:fldCharType="separate"/>
        </w:r>
        <w:r w:rsidR="00A83A18">
          <w:rPr>
            <w:noProof/>
            <w:webHidden/>
          </w:rPr>
          <w:t>30</w:t>
        </w:r>
        <w:r w:rsidR="00A83A18">
          <w:rPr>
            <w:noProof/>
            <w:webHidden/>
          </w:rPr>
          <w:fldChar w:fldCharType="end"/>
        </w:r>
      </w:hyperlink>
    </w:p>
    <w:p w14:paraId="1F6BDF61" w14:textId="2FB3A1BC" w:rsidR="00A83A18" w:rsidRDefault="00FF643F">
      <w:pPr>
        <w:pStyle w:val="TableofFigures"/>
        <w:tabs>
          <w:tab w:val="right" w:leader="dot" w:pos="9905"/>
        </w:tabs>
        <w:rPr>
          <w:noProof/>
          <w:lang w:eastAsia="en-GB"/>
        </w:rPr>
      </w:pPr>
      <w:hyperlink w:anchor="_Toc530759483" w:history="1">
        <w:r w:rsidR="00A83A18" w:rsidRPr="00BA4810">
          <w:rPr>
            <w:rStyle w:val="Hyperlink"/>
            <w:noProof/>
          </w:rPr>
          <w:t>Table 3.1 Questions asked of NHS e-therapy app developers</w:t>
        </w:r>
        <w:r w:rsidR="00A83A18">
          <w:rPr>
            <w:noProof/>
            <w:webHidden/>
          </w:rPr>
          <w:tab/>
        </w:r>
        <w:r w:rsidR="00A83A18">
          <w:rPr>
            <w:noProof/>
            <w:webHidden/>
          </w:rPr>
          <w:fldChar w:fldCharType="begin"/>
        </w:r>
        <w:r w:rsidR="00A83A18">
          <w:rPr>
            <w:noProof/>
            <w:webHidden/>
          </w:rPr>
          <w:instrText xml:space="preserve"> PAGEREF _Toc530759483 \h </w:instrText>
        </w:r>
        <w:r w:rsidR="00A83A18">
          <w:rPr>
            <w:noProof/>
            <w:webHidden/>
          </w:rPr>
        </w:r>
        <w:r w:rsidR="00A83A18">
          <w:rPr>
            <w:noProof/>
            <w:webHidden/>
          </w:rPr>
          <w:fldChar w:fldCharType="separate"/>
        </w:r>
        <w:r w:rsidR="00A83A18">
          <w:rPr>
            <w:noProof/>
            <w:webHidden/>
          </w:rPr>
          <w:t>44</w:t>
        </w:r>
        <w:r w:rsidR="00A83A18">
          <w:rPr>
            <w:noProof/>
            <w:webHidden/>
          </w:rPr>
          <w:fldChar w:fldCharType="end"/>
        </w:r>
      </w:hyperlink>
    </w:p>
    <w:p w14:paraId="086549C2" w14:textId="1133827E" w:rsidR="00A83A18" w:rsidRDefault="00FF643F">
      <w:pPr>
        <w:pStyle w:val="TableofFigures"/>
        <w:tabs>
          <w:tab w:val="right" w:leader="dot" w:pos="9905"/>
        </w:tabs>
        <w:rPr>
          <w:noProof/>
          <w:lang w:eastAsia="en-GB"/>
        </w:rPr>
      </w:pPr>
      <w:hyperlink w:anchor="_Toc530759484" w:history="1">
        <w:r w:rsidR="00A83A18" w:rsidRPr="00BA4810">
          <w:rPr>
            <w:rStyle w:val="Hyperlink"/>
            <w:noProof/>
          </w:rPr>
          <w:t>Table 3.2 All NHS e-therapy app survey responses by app</w:t>
        </w:r>
        <w:r w:rsidR="00A83A18">
          <w:rPr>
            <w:noProof/>
            <w:webHidden/>
          </w:rPr>
          <w:tab/>
        </w:r>
        <w:r w:rsidR="00A83A18">
          <w:rPr>
            <w:noProof/>
            <w:webHidden/>
          </w:rPr>
          <w:fldChar w:fldCharType="begin"/>
        </w:r>
        <w:r w:rsidR="00A83A18">
          <w:rPr>
            <w:noProof/>
            <w:webHidden/>
          </w:rPr>
          <w:instrText xml:space="preserve"> PAGEREF _Toc530759484 \h </w:instrText>
        </w:r>
        <w:r w:rsidR="00A83A18">
          <w:rPr>
            <w:noProof/>
            <w:webHidden/>
          </w:rPr>
        </w:r>
        <w:r w:rsidR="00A83A18">
          <w:rPr>
            <w:noProof/>
            <w:webHidden/>
          </w:rPr>
          <w:fldChar w:fldCharType="separate"/>
        </w:r>
        <w:r w:rsidR="00A83A18">
          <w:rPr>
            <w:noProof/>
            <w:webHidden/>
          </w:rPr>
          <w:t>46</w:t>
        </w:r>
        <w:r w:rsidR="00A83A18">
          <w:rPr>
            <w:noProof/>
            <w:webHidden/>
          </w:rPr>
          <w:fldChar w:fldCharType="end"/>
        </w:r>
      </w:hyperlink>
    </w:p>
    <w:p w14:paraId="30CB4FD3" w14:textId="03AD61F5" w:rsidR="00A83A18" w:rsidRDefault="00FF643F">
      <w:pPr>
        <w:pStyle w:val="TableofFigures"/>
        <w:tabs>
          <w:tab w:val="right" w:leader="dot" w:pos="9905"/>
        </w:tabs>
        <w:rPr>
          <w:noProof/>
          <w:lang w:eastAsia="en-GB"/>
        </w:rPr>
      </w:pPr>
      <w:hyperlink w:anchor="_Toc530759485" w:history="1">
        <w:r w:rsidR="00A83A18" w:rsidRPr="00BA4810">
          <w:rPr>
            <w:rStyle w:val="Hyperlink"/>
            <w:noProof/>
          </w:rPr>
          <w:t>Table 3.3 Summary of key findings by number (N) and percentage (%) where yes was the response given</w:t>
        </w:r>
        <w:r w:rsidR="00A83A18">
          <w:rPr>
            <w:noProof/>
            <w:webHidden/>
          </w:rPr>
          <w:tab/>
        </w:r>
        <w:r w:rsidR="00A83A18">
          <w:rPr>
            <w:noProof/>
            <w:webHidden/>
          </w:rPr>
          <w:fldChar w:fldCharType="begin"/>
        </w:r>
        <w:r w:rsidR="00A83A18">
          <w:rPr>
            <w:noProof/>
            <w:webHidden/>
          </w:rPr>
          <w:instrText xml:space="preserve"> PAGEREF _Toc530759485 \h </w:instrText>
        </w:r>
        <w:r w:rsidR="00A83A18">
          <w:rPr>
            <w:noProof/>
            <w:webHidden/>
          </w:rPr>
        </w:r>
        <w:r w:rsidR="00A83A18">
          <w:rPr>
            <w:noProof/>
            <w:webHidden/>
          </w:rPr>
          <w:fldChar w:fldCharType="separate"/>
        </w:r>
        <w:r w:rsidR="00A83A18">
          <w:rPr>
            <w:noProof/>
            <w:webHidden/>
          </w:rPr>
          <w:t>49</w:t>
        </w:r>
        <w:r w:rsidR="00A83A18">
          <w:rPr>
            <w:noProof/>
            <w:webHidden/>
          </w:rPr>
          <w:fldChar w:fldCharType="end"/>
        </w:r>
      </w:hyperlink>
    </w:p>
    <w:p w14:paraId="02C21BE9" w14:textId="42F975ED" w:rsidR="00A83A18" w:rsidRDefault="00FF643F">
      <w:pPr>
        <w:pStyle w:val="TableofFigures"/>
        <w:tabs>
          <w:tab w:val="right" w:leader="dot" w:pos="9905"/>
        </w:tabs>
        <w:rPr>
          <w:noProof/>
          <w:lang w:eastAsia="en-GB"/>
        </w:rPr>
      </w:pPr>
      <w:hyperlink w:anchor="_Toc530759486" w:history="1">
        <w:r w:rsidR="00A83A18" w:rsidRPr="00BA4810">
          <w:rPr>
            <w:rStyle w:val="Hyperlink"/>
            <w:noProof/>
          </w:rPr>
          <w:t xml:space="preserve">Table 4.1 </w:t>
        </w:r>
        <w:r w:rsidR="00A83A18" w:rsidRPr="00BA4810">
          <w:rPr>
            <w:rStyle w:val="Hyperlink"/>
            <w:rFonts w:cs="Arial"/>
            <w:noProof/>
          </w:rPr>
          <w:t xml:space="preserve">Cochrane risk of bias assessment </w:t>
        </w:r>
        <w:r w:rsidR="00A83A18" w:rsidRPr="00BA4810">
          <w:rPr>
            <w:rStyle w:val="Hyperlink"/>
            <w:noProof/>
          </w:rPr>
          <w:t>of included studies</w:t>
        </w:r>
        <w:r w:rsidR="00A83A18">
          <w:rPr>
            <w:noProof/>
            <w:webHidden/>
          </w:rPr>
          <w:tab/>
        </w:r>
        <w:r w:rsidR="00A83A18">
          <w:rPr>
            <w:noProof/>
            <w:webHidden/>
          </w:rPr>
          <w:fldChar w:fldCharType="begin"/>
        </w:r>
        <w:r w:rsidR="00A83A18">
          <w:rPr>
            <w:noProof/>
            <w:webHidden/>
          </w:rPr>
          <w:instrText xml:space="preserve"> PAGEREF _Toc530759486 \h </w:instrText>
        </w:r>
        <w:r w:rsidR="00A83A18">
          <w:rPr>
            <w:noProof/>
            <w:webHidden/>
          </w:rPr>
        </w:r>
        <w:r w:rsidR="00A83A18">
          <w:rPr>
            <w:noProof/>
            <w:webHidden/>
          </w:rPr>
          <w:fldChar w:fldCharType="separate"/>
        </w:r>
        <w:r w:rsidR="00A83A18">
          <w:rPr>
            <w:noProof/>
            <w:webHidden/>
          </w:rPr>
          <w:t>61</w:t>
        </w:r>
        <w:r w:rsidR="00A83A18">
          <w:rPr>
            <w:noProof/>
            <w:webHidden/>
          </w:rPr>
          <w:fldChar w:fldCharType="end"/>
        </w:r>
      </w:hyperlink>
    </w:p>
    <w:p w14:paraId="6BB56D58" w14:textId="2E8A11E5" w:rsidR="00A83A18" w:rsidRDefault="00FF643F">
      <w:pPr>
        <w:pStyle w:val="TableofFigures"/>
        <w:tabs>
          <w:tab w:val="right" w:leader="dot" w:pos="9905"/>
        </w:tabs>
        <w:rPr>
          <w:noProof/>
          <w:lang w:eastAsia="en-GB"/>
        </w:rPr>
      </w:pPr>
      <w:hyperlink w:anchor="_Toc530759487" w:history="1">
        <w:r w:rsidR="00A83A18" w:rsidRPr="00BA4810">
          <w:rPr>
            <w:rStyle w:val="Hyperlink"/>
            <w:noProof/>
          </w:rPr>
          <w:t>Table 4.2 Characteristics of included studies</w:t>
        </w:r>
        <w:r w:rsidR="00A83A18">
          <w:rPr>
            <w:noProof/>
            <w:webHidden/>
          </w:rPr>
          <w:tab/>
        </w:r>
        <w:r w:rsidR="00A83A18">
          <w:rPr>
            <w:noProof/>
            <w:webHidden/>
          </w:rPr>
          <w:fldChar w:fldCharType="begin"/>
        </w:r>
        <w:r w:rsidR="00A83A18">
          <w:rPr>
            <w:noProof/>
            <w:webHidden/>
          </w:rPr>
          <w:instrText xml:space="preserve"> PAGEREF _Toc530759487 \h </w:instrText>
        </w:r>
        <w:r w:rsidR="00A83A18">
          <w:rPr>
            <w:noProof/>
            <w:webHidden/>
          </w:rPr>
        </w:r>
        <w:r w:rsidR="00A83A18">
          <w:rPr>
            <w:noProof/>
            <w:webHidden/>
          </w:rPr>
          <w:fldChar w:fldCharType="separate"/>
        </w:r>
        <w:r w:rsidR="00A83A18">
          <w:rPr>
            <w:noProof/>
            <w:webHidden/>
          </w:rPr>
          <w:t>65</w:t>
        </w:r>
        <w:r w:rsidR="00A83A18">
          <w:rPr>
            <w:noProof/>
            <w:webHidden/>
          </w:rPr>
          <w:fldChar w:fldCharType="end"/>
        </w:r>
      </w:hyperlink>
    </w:p>
    <w:p w14:paraId="2A30AF8D" w14:textId="7D33B3E8" w:rsidR="00A83A18" w:rsidRDefault="00FF643F">
      <w:pPr>
        <w:pStyle w:val="TableofFigures"/>
        <w:tabs>
          <w:tab w:val="right" w:leader="dot" w:pos="9905"/>
        </w:tabs>
        <w:rPr>
          <w:noProof/>
          <w:lang w:eastAsia="en-GB"/>
        </w:rPr>
      </w:pPr>
      <w:hyperlink w:anchor="_Toc530759488" w:history="1">
        <w:r w:rsidR="00A83A18" w:rsidRPr="00BA4810">
          <w:rPr>
            <w:rStyle w:val="Hyperlink"/>
            <w:noProof/>
          </w:rPr>
          <w:t>Table 4.3 E</w:t>
        </w:r>
        <w:r w:rsidR="00A83A18" w:rsidRPr="00BA4810">
          <w:rPr>
            <w:rStyle w:val="Hyperlink"/>
            <w:noProof/>
          </w:rPr>
          <w:noBreakHyphen/>
          <w:t>therapies with studies</w:t>
        </w:r>
        <w:r w:rsidR="00A83A18">
          <w:rPr>
            <w:noProof/>
            <w:webHidden/>
          </w:rPr>
          <w:tab/>
        </w:r>
        <w:r w:rsidR="00A83A18">
          <w:rPr>
            <w:noProof/>
            <w:webHidden/>
          </w:rPr>
          <w:fldChar w:fldCharType="begin"/>
        </w:r>
        <w:r w:rsidR="00A83A18">
          <w:rPr>
            <w:noProof/>
            <w:webHidden/>
          </w:rPr>
          <w:instrText xml:space="preserve"> PAGEREF _Toc530759488 \h </w:instrText>
        </w:r>
        <w:r w:rsidR="00A83A18">
          <w:rPr>
            <w:noProof/>
            <w:webHidden/>
          </w:rPr>
        </w:r>
        <w:r w:rsidR="00A83A18">
          <w:rPr>
            <w:noProof/>
            <w:webHidden/>
          </w:rPr>
          <w:fldChar w:fldCharType="separate"/>
        </w:r>
        <w:r w:rsidR="00A83A18">
          <w:rPr>
            <w:noProof/>
            <w:webHidden/>
          </w:rPr>
          <w:t>69</w:t>
        </w:r>
        <w:r w:rsidR="00A83A18">
          <w:rPr>
            <w:noProof/>
            <w:webHidden/>
          </w:rPr>
          <w:fldChar w:fldCharType="end"/>
        </w:r>
      </w:hyperlink>
    </w:p>
    <w:p w14:paraId="28CB71E4" w14:textId="151D2C3F" w:rsidR="00A83A18" w:rsidRDefault="00FF643F">
      <w:pPr>
        <w:pStyle w:val="TableofFigures"/>
        <w:tabs>
          <w:tab w:val="right" w:leader="dot" w:pos="9905"/>
        </w:tabs>
        <w:rPr>
          <w:noProof/>
          <w:lang w:eastAsia="en-GB"/>
        </w:rPr>
      </w:pPr>
      <w:hyperlink w:anchor="_Toc530759489" w:history="1">
        <w:r w:rsidR="00A83A18" w:rsidRPr="00BA4810">
          <w:rPr>
            <w:rStyle w:val="Hyperlink"/>
            <w:noProof/>
          </w:rPr>
          <w:t>Table 4.4 Meta-regression analysis</w:t>
        </w:r>
        <w:r w:rsidR="00A83A18">
          <w:rPr>
            <w:noProof/>
            <w:webHidden/>
          </w:rPr>
          <w:tab/>
        </w:r>
        <w:r w:rsidR="00A83A18">
          <w:rPr>
            <w:noProof/>
            <w:webHidden/>
          </w:rPr>
          <w:fldChar w:fldCharType="begin"/>
        </w:r>
        <w:r w:rsidR="00A83A18">
          <w:rPr>
            <w:noProof/>
            <w:webHidden/>
          </w:rPr>
          <w:instrText xml:space="preserve"> PAGEREF _Toc530759489 \h </w:instrText>
        </w:r>
        <w:r w:rsidR="00A83A18">
          <w:rPr>
            <w:noProof/>
            <w:webHidden/>
          </w:rPr>
        </w:r>
        <w:r w:rsidR="00A83A18">
          <w:rPr>
            <w:noProof/>
            <w:webHidden/>
          </w:rPr>
          <w:fldChar w:fldCharType="separate"/>
        </w:r>
        <w:r w:rsidR="00A83A18">
          <w:rPr>
            <w:noProof/>
            <w:webHidden/>
          </w:rPr>
          <w:t>73</w:t>
        </w:r>
        <w:r w:rsidR="00A83A18">
          <w:rPr>
            <w:noProof/>
            <w:webHidden/>
          </w:rPr>
          <w:fldChar w:fldCharType="end"/>
        </w:r>
      </w:hyperlink>
    </w:p>
    <w:p w14:paraId="1FDCFE1D" w14:textId="7ECF269B" w:rsidR="00A83A18" w:rsidRDefault="00FF643F">
      <w:pPr>
        <w:pStyle w:val="TableofFigures"/>
        <w:tabs>
          <w:tab w:val="right" w:leader="dot" w:pos="9905"/>
        </w:tabs>
        <w:rPr>
          <w:noProof/>
          <w:lang w:eastAsia="en-GB"/>
        </w:rPr>
      </w:pPr>
      <w:hyperlink w:anchor="_Toc530759490" w:history="1">
        <w:r w:rsidR="00A83A18" w:rsidRPr="00BA4810">
          <w:rPr>
            <w:rStyle w:val="Hyperlink"/>
            <w:noProof/>
          </w:rPr>
          <w:t>Table 4.5 Subgroup analysis</w:t>
        </w:r>
        <w:r w:rsidR="00A83A18">
          <w:rPr>
            <w:noProof/>
            <w:webHidden/>
          </w:rPr>
          <w:tab/>
        </w:r>
        <w:r w:rsidR="00A83A18">
          <w:rPr>
            <w:noProof/>
            <w:webHidden/>
          </w:rPr>
          <w:fldChar w:fldCharType="begin"/>
        </w:r>
        <w:r w:rsidR="00A83A18">
          <w:rPr>
            <w:noProof/>
            <w:webHidden/>
          </w:rPr>
          <w:instrText xml:space="preserve"> PAGEREF _Toc530759490 \h </w:instrText>
        </w:r>
        <w:r w:rsidR="00A83A18">
          <w:rPr>
            <w:noProof/>
            <w:webHidden/>
          </w:rPr>
        </w:r>
        <w:r w:rsidR="00A83A18">
          <w:rPr>
            <w:noProof/>
            <w:webHidden/>
          </w:rPr>
          <w:fldChar w:fldCharType="separate"/>
        </w:r>
        <w:r w:rsidR="00A83A18">
          <w:rPr>
            <w:noProof/>
            <w:webHidden/>
          </w:rPr>
          <w:t>75</w:t>
        </w:r>
        <w:r w:rsidR="00A83A18">
          <w:rPr>
            <w:noProof/>
            <w:webHidden/>
          </w:rPr>
          <w:fldChar w:fldCharType="end"/>
        </w:r>
      </w:hyperlink>
    </w:p>
    <w:p w14:paraId="7C0D608B" w14:textId="533BAC2F" w:rsidR="00A83A18" w:rsidRDefault="00FF643F">
      <w:pPr>
        <w:pStyle w:val="TableofFigures"/>
        <w:tabs>
          <w:tab w:val="right" w:leader="dot" w:pos="9905"/>
        </w:tabs>
        <w:rPr>
          <w:noProof/>
          <w:lang w:eastAsia="en-GB"/>
        </w:rPr>
      </w:pPr>
      <w:hyperlink w:anchor="_Toc530759491" w:history="1">
        <w:r w:rsidR="00A83A18" w:rsidRPr="00BA4810">
          <w:rPr>
            <w:rStyle w:val="Hyperlink"/>
            <w:noProof/>
          </w:rPr>
          <w:t>Table 5.1 Measures of effectiveness, efficiency and satisfaction (ISO, 2016)</w:t>
        </w:r>
        <w:r w:rsidR="00A83A18">
          <w:rPr>
            <w:noProof/>
            <w:webHidden/>
          </w:rPr>
          <w:tab/>
        </w:r>
        <w:r w:rsidR="00A83A18">
          <w:rPr>
            <w:noProof/>
            <w:webHidden/>
          </w:rPr>
          <w:fldChar w:fldCharType="begin"/>
        </w:r>
        <w:r w:rsidR="00A83A18">
          <w:rPr>
            <w:noProof/>
            <w:webHidden/>
          </w:rPr>
          <w:instrText xml:space="preserve"> PAGEREF _Toc530759491 \h </w:instrText>
        </w:r>
        <w:r w:rsidR="00A83A18">
          <w:rPr>
            <w:noProof/>
            <w:webHidden/>
          </w:rPr>
        </w:r>
        <w:r w:rsidR="00A83A18">
          <w:rPr>
            <w:noProof/>
            <w:webHidden/>
          </w:rPr>
          <w:fldChar w:fldCharType="separate"/>
        </w:r>
        <w:r w:rsidR="00A83A18">
          <w:rPr>
            <w:noProof/>
            <w:webHidden/>
          </w:rPr>
          <w:t>87</w:t>
        </w:r>
        <w:r w:rsidR="00A83A18">
          <w:rPr>
            <w:noProof/>
            <w:webHidden/>
          </w:rPr>
          <w:fldChar w:fldCharType="end"/>
        </w:r>
      </w:hyperlink>
    </w:p>
    <w:p w14:paraId="283DB5AD" w14:textId="4976270B" w:rsidR="00A83A18" w:rsidRDefault="00FF643F">
      <w:pPr>
        <w:pStyle w:val="TableofFigures"/>
        <w:tabs>
          <w:tab w:val="right" w:leader="dot" w:pos="9905"/>
        </w:tabs>
        <w:rPr>
          <w:noProof/>
          <w:lang w:eastAsia="en-GB"/>
        </w:rPr>
      </w:pPr>
      <w:hyperlink w:anchor="_Toc530759492" w:history="1">
        <w:r w:rsidR="00A83A18" w:rsidRPr="00BA4810">
          <w:rPr>
            <w:rStyle w:val="Hyperlink"/>
            <w:noProof/>
          </w:rPr>
          <w:t>Table 5.2. Means and standard deviations for baseline, post-intervention and follow-up measures</w:t>
        </w:r>
        <w:r w:rsidR="00A83A18">
          <w:rPr>
            <w:noProof/>
            <w:webHidden/>
          </w:rPr>
          <w:tab/>
        </w:r>
        <w:r w:rsidR="00A83A18">
          <w:rPr>
            <w:noProof/>
            <w:webHidden/>
          </w:rPr>
          <w:fldChar w:fldCharType="begin"/>
        </w:r>
        <w:r w:rsidR="00A83A18">
          <w:rPr>
            <w:noProof/>
            <w:webHidden/>
          </w:rPr>
          <w:instrText xml:space="preserve"> PAGEREF _Toc530759492 \h </w:instrText>
        </w:r>
        <w:r w:rsidR="00A83A18">
          <w:rPr>
            <w:noProof/>
            <w:webHidden/>
          </w:rPr>
        </w:r>
        <w:r w:rsidR="00A83A18">
          <w:rPr>
            <w:noProof/>
            <w:webHidden/>
          </w:rPr>
          <w:fldChar w:fldCharType="separate"/>
        </w:r>
        <w:r w:rsidR="00A83A18">
          <w:rPr>
            <w:noProof/>
            <w:webHidden/>
          </w:rPr>
          <w:t>99</w:t>
        </w:r>
        <w:r w:rsidR="00A83A18">
          <w:rPr>
            <w:noProof/>
            <w:webHidden/>
          </w:rPr>
          <w:fldChar w:fldCharType="end"/>
        </w:r>
      </w:hyperlink>
    </w:p>
    <w:p w14:paraId="626F6704" w14:textId="4D230F04" w:rsidR="00A83A18" w:rsidRDefault="00FF643F">
      <w:pPr>
        <w:pStyle w:val="TableofFigures"/>
        <w:tabs>
          <w:tab w:val="right" w:leader="dot" w:pos="9905"/>
        </w:tabs>
        <w:rPr>
          <w:noProof/>
          <w:lang w:eastAsia="en-GB"/>
        </w:rPr>
      </w:pPr>
      <w:hyperlink w:anchor="_Toc530759493" w:history="1">
        <w:r w:rsidR="00A83A18" w:rsidRPr="00BA4810">
          <w:rPr>
            <w:rStyle w:val="Hyperlink"/>
            <w:noProof/>
          </w:rPr>
          <w:t>Table 5.3  Correlation matrix of System usability and post intervention Ratings of Resolution, Helpfulness and Use Again, in the MYLO group</w:t>
        </w:r>
        <w:r w:rsidR="00A83A18">
          <w:rPr>
            <w:noProof/>
            <w:webHidden/>
          </w:rPr>
          <w:tab/>
        </w:r>
        <w:r w:rsidR="00A83A18">
          <w:rPr>
            <w:noProof/>
            <w:webHidden/>
          </w:rPr>
          <w:fldChar w:fldCharType="begin"/>
        </w:r>
        <w:r w:rsidR="00A83A18">
          <w:rPr>
            <w:noProof/>
            <w:webHidden/>
          </w:rPr>
          <w:instrText xml:space="preserve"> PAGEREF _Toc530759493 \h </w:instrText>
        </w:r>
        <w:r w:rsidR="00A83A18">
          <w:rPr>
            <w:noProof/>
            <w:webHidden/>
          </w:rPr>
        </w:r>
        <w:r w:rsidR="00A83A18">
          <w:rPr>
            <w:noProof/>
            <w:webHidden/>
          </w:rPr>
          <w:fldChar w:fldCharType="separate"/>
        </w:r>
        <w:r w:rsidR="00A83A18">
          <w:rPr>
            <w:noProof/>
            <w:webHidden/>
          </w:rPr>
          <w:t>108</w:t>
        </w:r>
        <w:r w:rsidR="00A83A18">
          <w:rPr>
            <w:noProof/>
            <w:webHidden/>
          </w:rPr>
          <w:fldChar w:fldCharType="end"/>
        </w:r>
      </w:hyperlink>
    </w:p>
    <w:p w14:paraId="66CFF4FE" w14:textId="7B18F4D4" w:rsidR="00A83A18" w:rsidRDefault="00FF643F">
      <w:pPr>
        <w:pStyle w:val="TableofFigures"/>
        <w:tabs>
          <w:tab w:val="right" w:leader="dot" w:pos="9905"/>
        </w:tabs>
        <w:rPr>
          <w:noProof/>
          <w:lang w:eastAsia="en-GB"/>
        </w:rPr>
      </w:pPr>
      <w:hyperlink w:anchor="_Toc530759494" w:history="1">
        <w:r w:rsidR="00A83A18" w:rsidRPr="00BA4810">
          <w:rPr>
            <w:rStyle w:val="Hyperlink"/>
            <w:noProof/>
          </w:rPr>
          <w:t>Table 6.1 SUS adjective rating scale adapted from Bangor, Kortum and Miller (2009)</w:t>
        </w:r>
        <w:r w:rsidR="00A83A18">
          <w:rPr>
            <w:noProof/>
            <w:webHidden/>
          </w:rPr>
          <w:tab/>
        </w:r>
        <w:r w:rsidR="00A83A18">
          <w:rPr>
            <w:noProof/>
            <w:webHidden/>
          </w:rPr>
          <w:fldChar w:fldCharType="begin"/>
        </w:r>
        <w:r w:rsidR="00A83A18">
          <w:rPr>
            <w:noProof/>
            <w:webHidden/>
          </w:rPr>
          <w:instrText xml:space="preserve"> PAGEREF _Toc530759494 \h </w:instrText>
        </w:r>
        <w:r w:rsidR="00A83A18">
          <w:rPr>
            <w:noProof/>
            <w:webHidden/>
          </w:rPr>
        </w:r>
        <w:r w:rsidR="00A83A18">
          <w:rPr>
            <w:noProof/>
            <w:webHidden/>
          </w:rPr>
          <w:fldChar w:fldCharType="separate"/>
        </w:r>
        <w:r w:rsidR="00A83A18">
          <w:rPr>
            <w:noProof/>
            <w:webHidden/>
          </w:rPr>
          <w:t>125</w:t>
        </w:r>
        <w:r w:rsidR="00A83A18">
          <w:rPr>
            <w:noProof/>
            <w:webHidden/>
          </w:rPr>
          <w:fldChar w:fldCharType="end"/>
        </w:r>
      </w:hyperlink>
    </w:p>
    <w:p w14:paraId="52F6ADBB" w14:textId="1690B750" w:rsidR="00A83A18" w:rsidRDefault="00FF643F">
      <w:pPr>
        <w:pStyle w:val="TableofFigures"/>
        <w:tabs>
          <w:tab w:val="right" w:leader="dot" w:pos="9905"/>
        </w:tabs>
        <w:rPr>
          <w:noProof/>
          <w:lang w:eastAsia="en-GB"/>
        </w:rPr>
      </w:pPr>
      <w:hyperlink w:anchor="_Toc530759495" w:history="1">
        <w:r w:rsidR="00A83A18" w:rsidRPr="00BA4810">
          <w:rPr>
            <w:rStyle w:val="Hyperlink"/>
            <w:noProof/>
          </w:rPr>
          <w:t>Table 6.2. Means and standard deviations for baseline, post-intervention and follow-up measures</w:t>
        </w:r>
        <w:r w:rsidR="00A83A18">
          <w:rPr>
            <w:noProof/>
            <w:webHidden/>
          </w:rPr>
          <w:tab/>
        </w:r>
        <w:r w:rsidR="00A83A18">
          <w:rPr>
            <w:noProof/>
            <w:webHidden/>
          </w:rPr>
          <w:fldChar w:fldCharType="begin"/>
        </w:r>
        <w:r w:rsidR="00A83A18">
          <w:rPr>
            <w:noProof/>
            <w:webHidden/>
          </w:rPr>
          <w:instrText xml:space="preserve"> PAGEREF _Toc530759495 \h </w:instrText>
        </w:r>
        <w:r w:rsidR="00A83A18">
          <w:rPr>
            <w:noProof/>
            <w:webHidden/>
          </w:rPr>
        </w:r>
        <w:r w:rsidR="00A83A18">
          <w:rPr>
            <w:noProof/>
            <w:webHidden/>
          </w:rPr>
          <w:fldChar w:fldCharType="separate"/>
        </w:r>
        <w:r w:rsidR="00A83A18">
          <w:rPr>
            <w:noProof/>
            <w:webHidden/>
          </w:rPr>
          <w:t>128</w:t>
        </w:r>
        <w:r w:rsidR="00A83A18">
          <w:rPr>
            <w:noProof/>
            <w:webHidden/>
          </w:rPr>
          <w:fldChar w:fldCharType="end"/>
        </w:r>
      </w:hyperlink>
    </w:p>
    <w:p w14:paraId="5C73C9A1" w14:textId="59CD1F8C" w:rsidR="00A83A18" w:rsidRDefault="00FF643F">
      <w:pPr>
        <w:pStyle w:val="TableofFigures"/>
        <w:tabs>
          <w:tab w:val="right" w:leader="dot" w:pos="9905"/>
        </w:tabs>
        <w:rPr>
          <w:noProof/>
          <w:lang w:eastAsia="en-GB"/>
        </w:rPr>
      </w:pPr>
      <w:hyperlink w:anchor="_Toc530759496" w:history="1">
        <w:r w:rsidR="00A83A18" w:rsidRPr="00BA4810">
          <w:rPr>
            <w:rStyle w:val="Hyperlink"/>
            <w:noProof/>
          </w:rPr>
          <w:t>Table 6.3 Category examples</w:t>
        </w:r>
        <w:r w:rsidR="00A83A18">
          <w:rPr>
            <w:noProof/>
            <w:webHidden/>
          </w:rPr>
          <w:tab/>
        </w:r>
        <w:r w:rsidR="00A83A18">
          <w:rPr>
            <w:noProof/>
            <w:webHidden/>
          </w:rPr>
          <w:fldChar w:fldCharType="begin"/>
        </w:r>
        <w:r w:rsidR="00A83A18">
          <w:rPr>
            <w:noProof/>
            <w:webHidden/>
          </w:rPr>
          <w:instrText xml:space="preserve"> PAGEREF _Toc530759496 \h </w:instrText>
        </w:r>
        <w:r w:rsidR="00A83A18">
          <w:rPr>
            <w:noProof/>
            <w:webHidden/>
          </w:rPr>
        </w:r>
        <w:r w:rsidR="00A83A18">
          <w:rPr>
            <w:noProof/>
            <w:webHidden/>
          </w:rPr>
          <w:fldChar w:fldCharType="separate"/>
        </w:r>
        <w:r w:rsidR="00A83A18">
          <w:rPr>
            <w:noProof/>
            <w:webHidden/>
          </w:rPr>
          <w:t>138</w:t>
        </w:r>
        <w:r w:rsidR="00A83A18">
          <w:rPr>
            <w:noProof/>
            <w:webHidden/>
          </w:rPr>
          <w:fldChar w:fldCharType="end"/>
        </w:r>
      </w:hyperlink>
    </w:p>
    <w:p w14:paraId="610B1880" w14:textId="59220FC7" w:rsidR="00A83A18" w:rsidRDefault="00FF643F">
      <w:pPr>
        <w:pStyle w:val="TableofFigures"/>
        <w:tabs>
          <w:tab w:val="right" w:leader="dot" w:pos="9905"/>
        </w:tabs>
        <w:rPr>
          <w:noProof/>
          <w:lang w:eastAsia="en-GB"/>
        </w:rPr>
      </w:pPr>
      <w:hyperlink w:anchor="_Toc530759497" w:history="1">
        <w:r w:rsidR="00A83A18" w:rsidRPr="00BA4810">
          <w:rPr>
            <w:rStyle w:val="Hyperlink"/>
            <w:noProof/>
          </w:rPr>
          <w:t>Table 6.4 System feedback improvement suggestions by improvement category by group</w:t>
        </w:r>
        <w:r w:rsidR="00A83A18">
          <w:rPr>
            <w:noProof/>
            <w:webHidden/>
          </w:rPr>
          <w:tab/>
        </w:r>
        <w:r w:rsidR="00A83A18">
          <w:rPr>
            <w:noProof/>
            <w:webHidden/>
          </w:rPr>
          <w:fldChar w:fldCharType="begin"/>
        </w:r>
        <w:r w:rsidR="00A83A18">
          <w:rPr>
            <w:noProof/>
            <w:webHidden/>
          </w:rPr>
          <w:instrText xml:space="preserve"> PAGEREF _Toc530759497 \h </w:instrText>
        </w:r>
        <w:r w:rsidR="00A83A18">
          <w:rPr>
            <w:noProof/>
            <w:webHidden/>
          </w:rPr>
        </w:r>
        <w:r w:rsidR="00A83A18">
          <w:rPr>
            <w:noProof/>
            <w:webHidden/>
          </w:rPr>
          <w:fldChar w:fldCharType="separate"/>
        </w:r>
        <w:r w:rsidR="00A83A18">
          <w:rPr>
            <w:noProof/>
            <w:webHidden/>
          </w:rPr>
          <w:t>138</w:t>
        </w:r>
        <w:r w:rsidR="00A83A18">
          <w:rPr>
            <w:noProof/>
            <w:webHidden/>
          </w:rPr>
          <w:fldChar w:fldCharType="end"/>
        </w:r>
      </w:hyperlink>
    </w:p>
    <w:p w14:paraId="01B7DFBD" w14:textId="53181FA7" w:rsidR="00A83A18" w:rsidRDefault="00FF643F">
      <w:pPr>
        <w:pStyle w:val="TableofFigures"/>
        <w:tabs>
          <w:tab w:val="right" w:leader="dot" w:pos="9905"/>
        </w:tabs>
        <w:rPr>
          <w:noProof/>
          <w:lang w:eastAsia="en-GB"/>
        </w:rPr>
      </w:pPr>
      <w:hyperlink w:anchor="_Toc530759498" w:history="1">
        <w:r w:rsidR="00A83A18" w:rsidRPr="00BA4810">
          <w:rPr>
            <w:rStyle w:val="Hyperlink"/>
            <w:noProof/>
          </w:rPr>
          <w:t>Table 6.5 Correlations between System Usability Score and Working Alliance Inventory and subscales</w:t>
        </w:r>
        <w:r w:rsidR="00A83A18">
          <w:rPr>
            <w:noProof/>
            <w:webHidden/>
          </w:rPr>
          <w:tab/>
        </w:r>
        <w:r w:rsidR="00A83A18">
          <w:rPr>
            <w:noProof/>
            <w:webHidden/>
          </w:rPr>
          <w:fldChar w:fldCharType="begin"/>
        </w:r>
        <w:r w:rsidR="00A83A18">
          <w:rPr>
            <w:noProof/>
            <w:webHidden/>
          </w:rPr>
          <w:instrText xml:space="preserve"> PAGEREF _Toc530759498 \h </w:instrText>
        </w:r>
        <w:r w:rsidR="00A83A18">
          <w:rPr>
            <w:noProof/>
            <w:webHidden/>
          </w:rPr>
        </w:r>
        <w:r w:rsidR="00A83A18">
          <w:rPr>
            <w:noProof/>
            <w:webHidden/>
          </w:rPr>
          <w:fldChar w:fldCharType="separate"/>
        </w:r>
        <w:r w:rsidR="00A83A18">
          <w:rPr>
            <w:noProof/>
            <w:webHidden/>
          </w:rPr>
          <w:t>143</w:t>
        </w:r>
        <w:r w:rsidR="00A83A18">
          <w:rPr>
            <w:noProof/>
            <w:webHidden/>
          </w:rPr>
          <w:fldChar w:fldCharType="end"/>
        </w:r>
      </w:hyperlink>
    </w:p>
    <w:p w14:paraId="148AE6F3" w14:textId="5B71FF32" w:rsidR="007F2AE9" w:rsidRDefault="007F2AE9" w:rsidP="00124458">
      <w:pPr>
        <w:rPr>
          <w:rFonts w:ascii="TUOS Blake" w:hAnsi="TUOS Blake" w:hint="eastAsia"/>
        </w:rPr>
        <w:sectPr w:rsidR="007F2AE9" w:rsidSect="00452C07">
          <w:pgSz w:w="11900" w:h="16840"/>
          <w:pgMar w:top="851" w:right="851" w:bottom="851" w:left="1134" w:header="720" w:footer="720" w:gutter="0"/>
          <w:cols w:space="720"/>
          <w:docGrid w:linePitch="360"/>
        </w:sectPr>
      </w:pPr>
      <w:r>
        <w:rPr>
          <w:rFonts w:ascii="TUOS Blake" w:hAnsi="TUOS Blake"/>
        </w:rPr>
        <w:fldChar w:fldCharType="end"/>
      </w:r>
    </w:p>
    <w:p w14:paraId="2573EFEC" w14:textId="7292AD90" w:rsidR="007F2AE9" w:rsidRDefault="007F2AE9" w:rsidP="00A3163C">
      <w:pPr>
        <w:pStyle w:val="Heading1"/>
        <w:numPr>
          <w:ilvl w:val="0"/>
          <w:numId w:val="0"/>
        </w:numPr>
      </w:pPr>
      <w:bookmarkStart w:id="8" w:name="_Toc530598095"/>
      <w:bookmarkStart w:id="9" w:name="_Toc530660448"/>
      <w:bookmarkStart w:id="10" w:name="_Toc3538040"/>
      <w:r>
        <w:lastRenderedPageBreak/>
        <w:t>List of Figures</w:t>
      </w:r>
      <w:bookmarkEnd w:id="8"/>
      <w:bookmarkEnd w:id="9"/>
      <w:bookmarkEnd w:id="10"/>
    </w:p>
    <w:p w14:paraId="1F55FA6E" w14:textId="78DCE393" w:rsidR="006F3D0A" w:rsidRDefault="007F2AE9">
      <w:pPr>
        <w:pStyle w:val="TableofFigures"/>
        <w:tabs>
          <w:tab w:val="right" w:leader="dot" w:pos="9905"/>
        </w:tabs>
        <w:rPr>
          <w:noProof/>
          <w:lang w:eastAsia="en-GB"/>
        </w:rPr>
      </w:pPr>
      <w:r>
        <w:rPr>
          <w:rFonts w:ascii="TUOS Blake" w:hAnsi="TUOS Blake"/>
        </w:rPr>
        <w:fldChar w:fldCharType="begin"/>
      </w:r>
      <w:r>
        <w:rPr>
          <w:rFonts w:ascii="TUOS Blake" w:hAnsi="TUOS Blake"/>
        </w:rPr>
        <w:instrText xml:space="preserve"> TOC \h \z \c "Figure" </w:instrText>
      </w:r>
      <w:r>
        <w:rPr>
          <w:rFonts w:ascii="TUOS Blake" w:hAnsi="TUOS Blake"/>
        </w:rPr>
        <w:fldChar w:fldCharType="separate"/>
      </w:r>
      <w:hyperlink w:anchor="_Toc530684645" w:history="1">
        <w:r w:rsidR="006F3D0A" w:rsidRPr="008346D9">
          <w:rPr>
            <w:rStyle w:val="Hyperlink"/>
            <w:noProof/>
          </w:rPr>
          <w:t>Figure 1.1 Thesis Structure</w:t>
        </w:r>
        <w:r w:rsidR="006F3D0A">
          <w:rPr>
            <w:noProof/>
            <w:webHidden/>
          </w:rPr>
          <w:tab/>
        </w:r>
        <w:r w:rsidR="006F3D0A">
          <w:rPr>
            <w:noProof/>
            <w:webHidden/>
          </w:rPr>
          <w:fldChar w:fldCharType="begin"/>
        </w:r>
        <w:r w:rsidR="006F3D0A">
          <w:rPr>
            <w:noProof/>
            <w:webHidden/>
          </w:rPr>
          <w:instrText xml:space="preserve"> PAGEREF _Toc530684645 \h </w:instrText>
        </w:r>
        <w:r w:rsidR="006F3D0A">
          <w:rPr>
            <w:noProof/>
            <w:webHidden/>
          </w:rPr>
        </w:r>
        <w:r w:rsidR="006F3D0A">
          <w:rPr>
            <w:noProof/>
            <w:webHidden/>
          </w:rPr>
          <w:fldChar w:fldCharType="separate"/>
        </w:r>
        <w:r w:rsidR="006F3D0A">
          <w:rPr>
            <w:noProof/>
            <w:webHidden/>
          </w:rPr>
          <w:t>22</w:t>
        </w:r>
        <w:r w:rsidR="006F3D0A">
          <w:rPr>
            <w:noProof/>
            <w:webHidden/>
          </w:rPr>
          <w:fldChar w:fldCharType="end"/>
        </w:r>
      </w:hyperlink>
    </w:p>
    <w:p w14:paraId="407503AF" w14:textId="5E728C1F" w:rsidR="006F3D0A" w:rsidRDefault="00FF643F">
      <w:pPr>
        <w:pStyle w:val="TableofFigures"/>
        <w:tabs>
          <w:tab w:val="right" w:leader="dot" w:pos="9905"/>
        </w:tabs>
        <w:rPr>
          <w:noProof/>
          <w:lang w:eastAsia="en-GB"/>
        </w:rPr>
      </w:pPr>
      <w:hyperlink w:anchor="_Toc530684646" w:history="1">
        <w:r w:rsidR="006F3D0A" w:rsidRPr="008346D9">
          <w:rPr>
            <w:rStyle w:val="Hyperlink"/>
            <w:noProof/>
          </w:rPr>
          <w:t>Figure 2.1 PRISMA Flow Diagram of app data collection</w:t>
        </w:r>
        <w:r w:rsidR="006F3D0A">
          <w:rPr>
            <w:noProof/>
            <w:webHidden/>
          </w:rPr>
          <w:tab/>
        </w:r>
        <w:r w:rsidR="006F3D0A">
          <w:rPr>
            <w:noProof/>
            <w:webHidden/>
          </w:rPr>
          <w:fldChar w:fldCharType="begin"/>
        </w:r>
        <w:r w:rsidR="006F3D0A">
          <w:rPr>
            <w:noProof/>
            <w:webHidden/>
          </w:rPr>
          <w:instrText xml:space="preserve"> PAGEREF _Toc530684646 \h </w:instrText>
        </w:r>
        <w:r w:rsidR="006F3D0A">
          <w:rPr>
            <w:noProof/>
            <w:webHidden/>
          </w:rPr>
        </w:r>
        <w:r w:rsidR="006F3D0A">
          <w:rPr>
            <w:noProof/>
            <w:webHidden/>
          </w:rPr>
          <w:fldChar w:fldCharType="separate"/>
        </w:r>
        <w:r w:rsidR="006F3D0A">
          <w:rPr>
            <w:noProof/>
            <w:webHidden/>
          </w:rPr>
          <w:t>37</w:t>
        </w:r>
        <w:r w:rsidR="006F3D0A">
          <w:rPr>
            <w:noProof/>
            <w:webHidden/>
          </w:rPr>
          <w:fldChar w:fldCharType="end"/>
        </w:r>
      </w:hyperlink>
    </w:p>
    <w:p w14:paraId="641B337A" w14:textId="0AAD56BA" w:rsidR="006F3D0A" w:rsidRDefault="00FF643F">
      <w:pPr>
        <w:pStyle w:val="TableofFigures"/>
        <w:tabs>
          <w:tab w:val="right" w:leader="dot" w:pos="9905"/>
        </w:tabs>
        <w:rPr>
          <w:noProof/>
          <w:lang w:eastAsia="en-GB"/>
        </w:rPr>
      </w:pPr>
      <w:hyperlink w:anchor="_Toc530684647" w:history="1">
        <w:r w:rsidR="006F3D0A" w:rsidRPr="008346D9">
          <w:rPr>
            <w:rStyle w:val="Hyperlink"/>
            <w:noProof/>
          </w:rPr>
          <w:t>Figure 3.1 Clustered bar chart of clinical involvement by app type</w:t>
        </w:r>
        <w:r w:rsidR="006F3D0A">
          <w:rPr>
            <w:noProof/>
            <w:webHidden/>
          </w:rPr>
          <w:tab/>
        </w:r>
        <w:r w:rsidR="006F3D0A">
          <w:rPr>
            <w:noProof/>
            <w:webHidden/>
          </w:rPr>
          <w:fldChar w:fldCharType="begin"/>
        </w:r>
        <w:r w:rsidR="006F3D0A">
          <w:rPr>
            <w:noProof/>
            <w:webHidden/>
          </w:rPr>
          <w:instrText xml:space="preserve"> PAGEREF _Toc530684647 \h </w:instrText>
        </w:r>
        <w:r w:rsidR="006F3D0A">
          <w:rPr>
            <w:noProof/>
            <w:webHidden/>
          </w:rPr>
        </w:r>
        <w:r w:rsidR="006F3D0A">
          <w:rPr>
            <w:noProof/>
            <w:webHidden/>
          </w:rPr>
          <w:fldChar w:fldCharType="separate"/>
        </w:r>
        <w:r w:rsidR="006F3D0A">
          <w:rPr>
            <w:noProof/>
            <w:webHidden/>
          </w:rPr>
          <w:t>50</w:t>
        </w:r>
        <w:r w:rsidR="006F3D0A">
          <w:rPr>
            <w:noProof/>
            <w:webHidden/>
          </w:rPr>
          <w:fldChar w:fldCharType="end"/>
        </w:r>
      </w:hyperlink>
    </w:p>
    <w:p w14:paraId="0292C689" w14:textId="21DB583C" w:rsidR="006F3D0A" w:rsidRDefault="00FF643F">
      <w:pPr>
        <w:pStyle w:val="TableofFigures"/>
        <w:tabs>
          <w:tab w:val="right" w:leader="dot" w:pos="9905"/>
        </w:tabs>
        <w:rPr>
          <w:noProof/>
          <w:lang w:eastAsia="en-GB"/>
        </w:rPr>
      </w:pPr>
      <w:hyperlink w:anchor="_Toc530684648" w:history="1">
        <w:r w:rsidR="006F3D0A" w:rsidRPr="008346D9">
          <w:rPr>
            <w:rStyle w:val="Hyperlink"/>
            <w:noProof/>
          </w:rPr>
          <w:t>Figure 3.2 Clustered bar chart of academic involvement by app type</w:t>
        </w:r>
        <w:r w:rsidR="006F3D0A">
          <w:rPr>
            <w:noProof/>
            <w:webHidden/>
          </w:rPr>
          <w:tab/>
        </w:r>
        <w:r w:rsidR="006F3D0A">
          <w:rPr>
            <w:noProof/>
            <w:webHidden/>
          </w:rPr>
          <w:fldChar w:fldCharType="begin"/>
        </w:r>
        <w:r w:rsidR="006F3D0A">
          <w:rPr>
            <w:noProof/>
            <w:webHidden/>
          </w:rPr>
          <w:instrText xml:space="preserve"> PAGEREF _Toc530684648 \h </w:instrText>
        </w:r>
        <w:r w:rsidR="006F3D0A">
          <w:rPr>
            <w:noProof/>
            <w:webHidden/>
          </w:rPr>
        </w:r>
        <w:r w:rsidR="006F3D0A">
          <w:rPr>
            <w:noProof/>
            <w:webHidden/>
          </w:rPr>
          <w:fldChar w:fldCharType="separate"/>
        </w:r>
        <w:r w:rsidR="006F3D0A">
          <w:rPr>
            <w:noProof/>
            <w:webHidden/>
          </w:rPr>
          <w:t>51</w:t>
        </w:r>
        <w:r w:rsidR="006F3D0A">
          <w:rPr>
            <w:noProof/>
            <w:webHidden/>
          </w:rPr>
          <w:fldChar w:fldCharType="end"/>
        </w:r>
      </w:hyperlink>
    </w:p>
    <w:p w14:paraId="53D728DF" w14:textId="24E794CC" w:rsidR="006F3D0A" w:rsidRDefault="00FF643F">
      <w:pPr>
        <w:pStyle w:val="TableofFigures"/>
        <w:tabs>
          <w:tab w:val="right" w:leader="dot" w:pos="9905"/>
        </w:tabs>
        <w:rPr>
          <w:noProof/>
          <w:lang w:eastAsia="en-GB"/>
        </w:rPr>
      </w:pPr>
      <w:hyperlink w:anchor="_Toc530684649" w:history="1">
        <w:r w:rsidR="006F3D0A" w:rsidRPr="008346D9">
          <w:rPr>
            <w:rStyle w:val="Hyperlink"/>
            <w:noProof/>
          </w:rPr>
          <w:t>Figure 3.3 Clustered bar chart of research evidence by app type</w:t>
        </w:r>
        <w:r w:rsidR="006F3D0A">
          <w:rPr>
            <w:noProof/>
            <w:webHidden/>
          </w:rPr>
          <w:tab/>
        </w:r>
        <w:r w:rsidR="006F3D0A">
          <w:rPr>
            <w:noProof/>
            <w:webHidden/>
          </w:rPr>
          <w:fldChar w:fldCharType="begin"/>
        </w:r>
        <w:r w:rsidR="006F3D0A">
          <w:rPr>
            <w:noProof/>
            <w:webHidden/>
          </w:rPr>
          <w:instrText xml:space="preserve"> PAGEREF _Toc530684649 \h </w:instrText>
        </w:r>
        <w:r w:rsidR="006F3D0A">
          <w:rPr>
            <w:noProof/>
            <w:webHidden/>
          </w:rPr>
        </w:r>
        <w:r w:rsidR="006F3D0A">
          <w:rPr>
            <w:noProof/>
            <w:webHidden/>
          </w:rPr>
          <w:fldChar w:fldCharType="separate"/>
        </w:r>
        <w:r w:rsidR="006F3D0A">
          <w:rPr>
            <w:noProof/>
            <w:webHidden/>
          </w:rPr>
          <w:t>52</w:t>
        </w:r>
        <w:r w:rsidR="006F3D0A">
          <w:rPr>
            <w:noProof/>
            <w:webHidden/>
          </w:rPr>
          <w:fldChar w:fldCharType="end"/>
        </w:r>
      </w:hyperlink>
    </w:p>
    <w:p w14:paraId="0047C836" w14:textId="7C58E618" w:rsidR="006F3D0A" w:rsidRDefault="00FF643F">
      <w:pPr>
        <w:pStyle w:val="TableofFigures"/>
        <w:tabs>
          <w:tab w:val="right" w:leader="dot" w:pos="9905"/>
        </w:tabs>
        <w:rPr>
          <w:noProof/>
          <w:lang w:eastAsia="en-GB"/>
        </w:rPr>
      </w:pPr>
      <w:hyperlink w:anchor="_Toc530684650" w:history="1">
        <w:r w:rsidR="006F3D0A" w:rsidRPr="008346D9">
          <w:rPr>
            <w:rStyle w:val="Hyperlink"/>
            <w:noProof/>
          </w:rPr>
          <w:t>Figure 3.4 Clustered bar chart of other evidence by app type</w:t>
        </w:r>
        <w:r w:rsidR="006F3D0A">
          <w:rPr>
            <w:noProof/>
            <w:webHidden/>
          </w:rPr>
          <w:tab/>
        </w:r>
        <w:r w:rsidR="006F3D0A">
          <w:rPr>
            <w:noProof/>
            <w:webHidden/>
          </w:rPr>
          <w:fldChar w:fldCharType="begin"/>
        </w:r>
        <w:r w:rsidR="006F3D0A">
          <w:rPr>
            <w:noProof/>
            <w:webHidden/>
          </w:rPr>
          <w:instrText xml:space="preserve"> PAGEREF _Toc530684650 \h </w:instrText>
        </w:r>
        <w:r w:rsidR="006F3D0A">
          <w:rPr>
            <w:noProof/>
            <w:webHidden/>
          </w:rPr>
        </w:r>
        <w:r w:rsidR="006F3D0A">
          <w:rPr>
            <w:noProof/>
            <w:webHidden/>
          </w:rPr>
          <w:fldChar w:fldCharType="separate"/>
        </w:r>
        <w:r w:rsidR="006F3D0A">
          <w:rPr>
            <w:noProof/>
            <w:webHidden/>
          </w:rPr>
          <w:t>53</w:t>
        </w:r>
        <w:r w:rsidR="006F3D0A">
          <w:rPr>
            <w:noProof/>
            <w:webHidden/>
          </w:rPr>
          <w:fldChar w:fldCharType="end"/>
        </w:r>
      </w:hyperlink>
    </w:p>
    <w:p w14:paraId="5CD877E3" w14:textId="373A1BB8" w:rsidR="006F3D0A" w:rsidRDefault="00FF643F">
      <w:pPr>
        <w:pStyle w:val="TableofFigures"/>
        <w:tabs>
          <w:tab w:val="right" w:leader="dot" w:pos="9905"/>
        </w:tabs>
        <w:rPr>
          <w:noProof/>
          <w:lang w:eastAsia="en-GB"/>
        </w:rPr>
      </w:pPr>
      <w:hyperlink w:anchor="_Toc530684651" w:history="1">
        <w:r w:rsidR="006F3D0A" w:rsidRPr="008346D9">
          <w:rPr>
            <w:rStyle w:val="Hyperlink"/>
            <w:noProof/>
          </w:rPr>
          <w:t>Figure 3.5 Pie chart of psychological approaches and theories used by web and smartphone apps</w:t>
        </w:r>
        <w:r w:rsidR="006F3D0A">
          <w:rPr>
            <w:noProof/>
            <w:webHidden/>
          </w:rPr>
          <w:tab/>
        </w:r>
        <w:r w:rsidR="006F3D0A">
          <w:rPr>
            <w:noProof/>
            <w:webHidden/>
          </w:rPr>
          <w:fldChar w:fldCharType="begin"/>
        </w:r>
        <w:r w:rsidR="006F3D0A">
          <w:rPr>
            <w:noProof/>
            <w:webHidden/>
          </w:rPr>
          <w:instrText xml:space="preserve"> PAGEREF _Toc530684651 \h </w:instrText>
        </w:r>
        <w:r w:rsidR="006F3D0A">
          <w:rPr>
            <w:noProof/>
            <w:webHidden/>
          </w:rPr>
        </w:r>
        <w:r w:rsidR="006F3D0A">
          <w:rPr>
            <w:noProof/>
            <w:webHidden/>
          </w:rPr>
          <w:fldChar w:fldCharType="separate"/>
        </w:r>
        <w:r w:rsidR="006F3D0A">
          <w:rPr>
            <w:noProof/>
            <w:webHidden/>
          </w:rPr>
          <w:t>54</w:t>
        </w:r>
        <w:r w:rsidR="006F3D0A">
          <w:rPr>
            <w:noProof/>
            <w:webHidden/>
          </w:rPr>
          <w:fldChar w:fldCharType="end"/>
        </w:r>
      </w:hyperlink>
    </w:p>
    <w:p w14:paraId="777C291D" w14:textId="7EA8CDCF" w:rsidR="006F3D0A" w:rsidRDefault="00FF643F">
      <w:pPr>
        <w:pStyle w:val="TableofFigures"/>
        <w:tabs>
          <w:tab w:val="right" w:leader="dot" w:pos="9905"/>
        </w:tabs>
        <w:rPr>
          <w:noProof/>
          <w:lang w:eastAsia="en-GB"/>
        </w:rPr>
      </w:pPr>
      <w:hyperlink w:anchor="_Toc530684652" w:history="1">
        <w:r w:rsidR="006F3D0A" w:rsidRPr="008346D9">
          <w:rPr>
            <w:rStyle w:val="Hyperlink"/>
            <w:noProof/>
          </w:rPr>
          <w:t>Figure 4.1 Risk of bias graph</w:t>
        </w:r>
        <w:r w:rsidR="006F3D0A">
          <w:rPr>
            <w:noProof/>
            <w:webHidden/>
          </w:rPr>
          <w:tab/>
        </w:r>
        <w:r w:rsidR="006F3D0A">
          <w:rPr>
            <w:noProof/>
            <w:webHidden/>
          </w:rPr>
          <w:fldChar w:fldCharType="begin"/>
        </w:r>
        <w:r w:rsidR="006F3D0A">
          <w:rPr>
            <w:noProof/>
            <w:webHidden/>
          </w:rPr>
          <w:instrText xml:space="preserve"> PAGEREF _Toc530684652 \h </w:instrText>
        </w:r>
        <w:r w:rsidR="006F3D0A">
          <w:rPr>
            <w:noProof/>
            <w:webHidden/>
          </w:rPr>
        </w:r>
        <w:r w:rsidR="006F3D0A">
          <w:rPr>
            <w:noProof/>
            <w:webHidden/>
          </w:rPr>
          <w:fldChar w:fldCharType="separate"/>
        </w:r>
        <w:r w:rsidR="006F3D0A">
          <w:rPr>
            <w:noProof/>
            <w:webHidden/>
          </w:rPr>
          <w:t>63</w:t>
        </w:r>
        <w:r w:rsidR="006F3D0A">
          <w:rPr>
            <w:noProof/>
            <w:webHidden/>
          </w:rPr>
          <w:fldChar w:fldCharType="end"/>
        </w:r>
      </w:hyperlink>
    </w:p>
    <w:p w14:paraId="71422A1B" w14:textId="60E54979" w:rsidR="006F3D0A" w:rsidRDefault="00FF643F">
      <w:pPr>
        <w:pStyle w:val="TableofFigures"/>
        <w:tabs>
          <w:tab w:val="right" w:leader="dot" w:pos="9905"/>
        </w:tabs>
        <w:rPr>
          <w:noProof/>
          <w:lang w:eastAsia="en-GB"/>
        </w:rPr>
      </w:pPr>
      <w:hyperlink w:anchor="_Toc530684653" w:history="1">
        <w:r w:rsidR="006F3D0A" w:rsidRPr="008346D9">
          <w:rPr>
            <w:rStyle w:val="Hyperlink"/>
            <w:noProof/>
          </w:rPr>
          <w:t>Figure 4.2 PRISMA flow chart of study section</w:t>
        </w:r>
        <w:r w:rsidR="006F3D0A">
          <w:rPr>
            <w:noProof/>
            <w:webHidden/>
          </w:rPr>
          <w:tab/>
        </w:r>
        <w:r w:rsidR="006F3D0A">
          <w:rPr>
            <w:noProof/>
            <w:webHidden/>
          </w:rPr>
          <w:fldChar w:fldCharType="begin"/>
        </w:r>
        <w:r w:rsidR="006F3D0A">
          <w:rPr>
            <w:noProof/>
            <w:webHidden/>
          </w:rPr>
          <w:instrText xml:space="preserve"> PAGEREF _Toc530684653 \h </w:instrText>
        </w:r>
        <w:r w:rsidR="006F3D0A">
          <w:rPr>
            <w:noProof/>
            <w:webHidden/>
          </w:rPr>
        </w:r>
        <w:r w:rsidR="006F3D0A">
          <w:rPr>
            <w:noProof/>
            <w:webHidden/>
          </w:rPr>
          <w:fldChar w:fldCharType="separate"/>
        </w:r>
        <w:r w:rsidR="006F3D0A">
          <w:rPr>
            <w:noProof/>
            <w:webHidden/>
          </w:rPr>
          <w:t>65</w:t>
        </w:r>
        <w:r w:rsidR="006F3D0A">
          <w:rPr>
            <w:noProof/>
            <w:webHidden/>
          </w:rPr>
          <w:fldChar w:fldCharType="end"/>
        </w:r>
      </w:hyperlink>
    </w:p>
    <w:p w14:paraId="12562F4B" w14:textId="52E01CCC" w:rsidR="006F3D0A" w:rsidRDefault="00FF643F">
      <w:pPr>
        <w:pStyle w:val="TableofFigures"/>
        <w:tabs>
          <w:tab w:val="right" w:leader="dot" w:pos="9905"/>
        </w:tabs>
        <w:rPr>
          <w:noProof/>
          <w:lang w:eastAsia="en-GB"/>
        </w:rPr>
      </w:pPr>
      <w:hyperlink w:anchor="_Toc530684654" w:history="1">
        <w:r w:rsidR="006F3D0A" w:rsidRPr="008346D9">
          <w:rPr>
            <w:rStyle w:val="Hyperlink"/>
            <w:noProof/>
          </w:rPr>
          <w:t>Figure 4.3 Forest plot of e therapy compared with passive control at end of the treatment</w:t>
        </w:r>
        <w:r w:rsidR="006F3D0A">
          <w:rPr>
            <w:noProof/>
            <w:webHidden/>
          </w:rPr>
          <w:tab/>
        </w:r>
        <w:r w:rsidR="006F3D0A">
          <w:rPr>
            <w:noProof/>
            <w:webHidden/>
          </w:rPr>
          <w:fldChar w:fldCharType="begin"/>
        </w:r>
        <w:r w:rsidR="006F3D0A">
          <w:rPr>
            <w:noProof/>
            <w:webHidden/>
          </w:rPr>
          <w:instrText xml:space="preserve"> PAGEREF _Toc530684654 \h </w:instrText>
        </w:r>
        <w:r w:rsidR="006F3D0A">
          <w:rPr>
            <w:noProof/>
            <w:webHidden/>
          </w:rPr>
        </w:r>
        <w:r w:rsidR="006F3D0A">
          <w:rPr>
            <w:noProof/>
            <w:webHidden/>
          </w:rPr>
          <w:fldChar w:fldCharType="separate"/>
        </w:r>
        <w:r w:rsidR="006F3D0A">
          <w:rPr>
            <w:noProof/>
            <w:webHidden/>
          </w:rPr>
          <w:t>71</w:t>
        </w:r>
        <w:r w:rsidR="006F3D0A">
          <w:rPr>
            <w:noProof/>
            <w:webHidden/>
          </w:rPr>
          <w:fldChar w:fldCharType="end"/>
        </w:r>
      </w:hyperlink>
    </w:p>
    <w:p w14:paraId="0F610FDD" w14:textId="734F8C35" w:rsidR="006F3D0A" w:rsidRDefault="00FF643F">
      <w:pPr>
        <w:pStyle w:val="TableofFigures"/>
        <w:tabs>
          <w:tab w:val="right" w:leader="dot" w:pos="9905"/>
        </w:tabs>
        <w:rPr>
          <w:noProof/>
          <w:lang w:eastAsia="en-GB"/>
        </w:rPr>
      </w:pPr>
      <w:hyperlink w:anchor="_Toc530684655" w:history="1">
        <w:r w:rsidR="006F3D0A" w:rsidRPr="008346D9">
          <w:rPr>
            <w:rStyle w:val="Hyperlink"/>
            <w:noProof/>
          </w:rPr>
          <w:t>Figure 4.4 Forest plot of e</w:t>
        </w:r>
        <w:r w:rsidR="006F3D0A" w:rsidRPr="008346D9">
          <w:rPr>
            <w:rStyle w:val="Hyperlink"/>
            <w:noProof/>
          </w:rPr>
          <w:noBreakHyphen/>
          <w:t>therapy compared with active control at end of the treatment</w:t>
        </w:r>
        <w:r w:rsidR="006F3D0A">
          <w:rPr>
            <w:noProof/>
            <w:webHidden/>
          </w:rPr>
          <w:tab/>
        </w:r>
        <w:r w:rsidR="006F3D0A">
          <w:rPr>
            <w:noProof/>
            <w:webHidden/>
          </w:rPr>
          <w:fldChar w:fldCharType="begin"/>
        </w:r>
        <w:r w:rsidR="006F3D0A">
          <w:rPr>
            <w:noProof/>
            <w:webHidden/>
          </w:rPr>
          <w:instrText xml:space="preserve"> PAGEREF _Toc530684655 \h </w:instrText>
        </w:r>
        <w:r w:rsidR="006F3D0A">
          <w:rPr>
            <w:noProof/>
            <w:webHidden/>
          </w:rPr>
        </w:r>
        <w:r w:rsidR="006F3D0A">
          <w:rPr>
            <w:noProof/>
            <w:webHidden/>
          </w:rPr>
          <w:fldChar w:fldCharType="separate"/>
        </w:r>
        <w:r w:rsidR="006F3D0A">
          <w:rPr>
            <w:noProof/>
            <w:webHidden/>
          </w:rPr>
          <w:t>72</w:t>
        </w:r>
        <w:r w:rsidR="006F3D0A">
          <w:rPr>
            <w:noProof/>
            <w:webHidden/>
          </w:rPr>
          <w:fldChar w:fldCharType="end"/>
        </w:r>
      </w:hyperlink>
    </w:p>
    <w:p w14:paraId="19AA4CEE" w14:textId="38B7B57D" w:rsidR="006F3D0A" w:rsidRDefault="00FF643F">
      <w:pPr>
        <w:pStyle w:val="TableofFigures"/>
        <w:tabs>
          <w:tab w:val="right" w:leader="dot" w:pos="9905"/>
        </w:tabs>
        <w:rPr>
          <w:noProof/>
          <w:lang w:eastAsia="en-GB"/>
        </w:rPr>
      </w:pPr>
      <w:hyperlink w:anchor="_Toc530684656" w:history="1">
        <w:r w:rsidR="006F3D0A" w:rsidRPr="008346D9">
          <w:rPr>
            <w:rStyle w:val="Hyperlink"/>
            <w:noProof/>
          </w:rPr>
          <w:t>Figure 4.5 Forest plot of e</w:t>
        </w:r>
        <w:r w:rsidR="006F3D0A" w:rsidRPr="008346D9">
          <w:rPr>
            <w:rStyle w:val="Hyperlink"/>
            <w:noProof/>
          </w:rPr>
          <w:noBreakHyphen/>
          <w:t>therapy compared with passive control at follow-up</w:t>
        </w:r>
        <w:r w:rsidR="006F3D0A">
          <w:rPr>
            <w:noProof/>
            <w:webHidden/>
          </w:rPr>
          <w:tab/>
        </w:r>
        <w:r w:rsidR="006F3D0A">
          <w:rPr>
            <w:noProof/>
            <w:webHidden/>
          </w:rPr>
          <w:fldChar w:fldCharType="begin"/>
        </w:r>
        <w:r w:rsidR="006F3D0A">
          <w:rPr>
            <w:noProof/>
            <w:webHidden/>
          </w:rPr>
          <w:instrText xml:space="preserve"> PAGEREF _Toc530684656 \h </w:instrText>
        </w:r>
        <w:r w:rsidR="006F3D0A">
          <w:rPr>
            <w:noProof/>
            <w:webHidden/>
          </w:rPr>
        </w:r>
        <w:r w:rsidR="006F3D0A">
          <w:rPr>
            <w:noProof/>
            <w:webHidden/>
          </w:rPr>
          <w:fldChar w:fldCharType="separate"/>
        </w:r>
        <w:r w:rsidR="006F3D0A">
          <w:rPr>
            <w:noProof/>
            <w:webHidden/>
          </w:rPr>
          <w:t>72</w:t>
        </w:r>
        <w:r w:rsidR="006F3D0A">
          <w:rPr>
            <w:noProof/>
            <w:webHidden/>
          </w:rPr>
          <w:fldChar w:fldCharType="end"/>
        </w:r>
      </w:hyperlink>
    </w:p>
    <w:p w14:paraId="3556106B" w14:textId="63935782" w:rsidR="006F3D0A" w:rsidRDefault="00FF643F">
      <w:pPr>
        <w:pStyle w:val="TableofFigures"/>
        <w:tabs>
          <w:tab w:val="right" w:leader="dot" w:pos="9905"/>
        </w:tabs>
        <w:rPr>
          <w:noProof/>
          <w:lang w:eastAsia="en-GB"/>
        </w:rPr>
      </w:pPr>
      <w:hyperlink w:anchor="_Toc530684657" w:history="1">
        <w:r w:rsidR="006F3D0A" w:rsidRPr="008346D9">
          <w:rPr>
            <w:rStyle w:val="Hyperlink"/>
            <w:noProof/>
          </w:rPr>
          <w:t>Figure 4.6 Forest plot of e</w:t>
        </w:r>
        <w:r w:rsidR="006F3D0A" w:rsidRPr="008346D9">
          <w:rPr>
            <w:rStyle w:val="Hyperlink"/>
            <w:noProof/>
          </w:rPr>
          <w:noBreakHyphen/>
          <w:t>therapy compared with active control at follow-up</w:t>
        </w:r>
        <w:r w:rsidR="006F3D0A">
          <w:rPr>
            <w:noProof/>
            <w:webHidden/>
          </w:rPr>
          <w:tab/>
        </w:r>
        <w:r w:rsidR="006F3D0A">
          <w:rPr>
            <w:noProof/>
            <w:webHidden/>
          </w:rPr>
          <w:fldChar w:fldCharType="begin"/>
        </w:r>
        <w:r w:rsidR="006F3D0A">
          <w:rPr>
            <w:noProof/>
            <w:webHidden/>
          </w:rPr>
          <w:instrText xml:space="preserve"> PAGEREF _Toc530684657 \h </w:instrText>
        </w:r>
        <w:r w:rsidR="006F3D0A">
          <w:rPr>
            <w:noProof/>
            <w:webHidden/>
          </w:rPr>
        </w:r>
        <w:r w:rsidR="006F3D0A">
          <w:rPr>
            <w:noProof/>
            <w:webHidden/>
          </w:rPr>
          <w:fldChar w:fldCharType="separate"/>
        </w:r>
        <w:r w:rsidR="006F3D0A">
          <w:rPr>
            <w:noProof/>
            <w:webHidden/>
          </w:rPr>
          <w:t>73</w:t>
        </w:r>
        <w:r w:rsidR="006F3D0A">
          <w:rPr>
            <w:noProof/>
            <w:webHidden/>
          </w:rPr>
          <w:fldChar w:fldCharType="end"/>
        </w:r>
      </w:hyperlink>
    </w:p>
    <w:p w14:paraId="41C09710" w14:textId="4C684CB3" w:rsidR="006F3D0A" w:rsidRDefault="00FF643F">
      <w:pPr>
        <w:pStyle w:val="TableofFigures"/>
        <w:tabs>
          <w:tab w:val="right" w:leader="dot" w:pos="9905"/>
        </w:tabs>
        <w:rPr>
          <w:noProof/>
          <w:lang w:eastAsia="en-GB"/>
        </w:rPr>
      </w:pPr>
      <w:hyperlink w:anchor="_Toc530684658" w:history="1">
        <w:r w:rsidR="006F3D0A" w:rsidRPr="008346D9">
          <w:rPr>
            <w:rStyle w:val="Hyperlink"/>
            <w:noProof/>
          </w:rPr>
          <w:t>Figure 4.7 Funnel Plot for e</w:t>
        </w:r>
        <w:r w:rsidR="006F3D0A" w:rsidRPr="008346D9">
          <w:rPr>
            <w:rStyle w:val="Hyperlink"/>
            <w:noProof/>
          </w:rPr>
          <w:noBreakHyphen/>
          <w:t>therapy compared with passive control at end of treatment</w:t>
        </w:r>
        <w:r w:rsidR="006F3D0A">
          <w:rPr>
            <w:noProof/>
            <w:webHidden/>
          </w:rPr>
          <w:tab/>
        </w:r>
        <w:r w:rsidR="006F3D0A">
          <w:rPr>
            <w:noProof/>
            <w:webHidden/>
          </w:rPr>
          <w:fldChar w:fldCharType="begin"/>
        </w:r>
        <w:r w:rsidR="006F3D0A">
          <w:rPr>
            <w:noProof/>
            <w:webHidden/>
          </w:rPr>
          <w:instrText xml:space="preserve"> PAGEREF _Toc530684658 \h </w:instrText>
        </w:r>
        <w:r w:rsidR="006F3D0A">
          <w:rPr>
            <w:noProof/>
            <w:webHidden/>
          </w:rPr>
        </w:r>
        <w:r w:rsidR="006F3D0A">
          <w:rPr>
            <w:noProof/>
            <w:webHidden/>
          </w:rPr>
          <w:fldChar w:fldCharType="separate"/>
        </w:r>
        <w:r w:rsidR="006F3D0A">
          <w:rPr>
            <w:noProof/>
            <w:webHidden/>
          </w:rPr>
          <w:t>78</w:t>
        </w:r>
        <w:r w:rsidR="006F3D0A">
          <w:rPr>
            <w:noProof/>
            <w:webHidden/>
          </w:rPr>
          <w:fldChar w:fldCharType="end"/>
        </w:r>
      </w:hyperlink>
    </w:p>
    <w:p w14:paraId="14701183" w14:textId="3A3B7C67" w:rsidR="006F3D0A" w:rsidRDefault="00FF643F">
      <w:pPr>
        <w:pStyle w:val="TableofFigures"/>
        <w:tabs>
          <w:tab w:val="right" w:leader="dot" w:pos="9905"/>
        </w:tabs>
        <w:rPr>
          <w:noProof/>
          <w:lang w:eastAsia="en-GB"/>
        </w:rPr>
      </w:pPr>
      <w:hyperlink w:anchor="_Toc530684659" w:history="1">
        <w:r w:rsidR="006F3D0A" w:rsidRPr="008346D9">
          <w:rPr>
            <w:rStyle w:val="Hyperlink"/>
            <w:noProof/>
          </w:rPr>
          <w:t>Figure 4.8 Funnel Plot for e</w:t>
        </w:r>
        <w:r w:rsidR="006F3D0A" w:rsidRPr="008346D9">
          <w:rPr>
            <w:rStyle w:val="Hyperlink"/>
            <w:noProof/>
          </w:rPr>
          <w:noBreakHyphen/>
          <w:t>therapy compared with passive control at follow-up</w:t>
        </w:r>
        <w:r w:rsidR="006F3D0A">
          <w:rPr>
            <w:noProof/>
            <w:webHidden/>
          </w:rPr>
          <w:tab/>
        </w:r>
        <w:r w:rsidR="006F3D0A">
          <w:rPr>
            <w:noProof/>
            <w:webHidden/>
          </w:rPr>
          <w:fldChar w:fldCharType="begin"/>
        </w:r>
        <w:r w:rsidR="006F3D0A">
          <w:rPr>
            <w:noProof/>
            <w:webHidden/>
          </w:rPr>
          <w:instrText xml:space="preserve"> PAGEREF _Toc530684659 \h </w:instrText>
        </w:r>
        <w:r w:rsidR="006F3D0A">
          <w:rPr>
            <w:noProof/>
            <w:webHidden/>
          </w:rPr>
        </w:r>
        <w:r w:rsidR="006F3D0A">
          <w:rPr>
            <w:noProof/>
            <w:webHidden/>
          </w:rPr>
          <w:fldChar w:fldCharType="separate"/>
        </w:r>
        <w:r w:rsidR="006F3D0A">
          <w:rPr>
            <w:noProof/>
            <w:webHidden/>
          </w:rPr>
          <w:t>79</w:t>
        </w:r>
        <w:r w:rsidR="006F3D0A">
          <w:rPr>
            <w:noProof/>
            <w:webHidden/>
          </w:rPr>
          <w:fldChar w:fldCharType="end"/>
        </w:r>
      </w:hyperlink>
    </w:p>
    <w:p w14:paraId="2A5C9A1F" w14:textId="53E332C7" w:rsidR="006F3D0A" w:rsidRDefault="00FF643F">
      <w:pPr>
        <w:pStyle w:val="TableofFigures"/>
        <w:tabs>
          <w:tab w:val="right" w:leader="dot" w:pos="9905"/>
        </w:tabs>
        <w:rPr>
          <w:noProof/>
          <w:lang w:eastAsia="en-GB"/>
        </w:rPr>
      </w:pPr>
      <w:hyperlink w:anchor="_Toc530684660" w:history="1">
        <w:r w:rsidR="006F3D0A" w:rsidRPr="008346D9">
          <w:rPr>
            <w:rStyle w:val="Hyperlink"/>
            <w:noProof/>
          </w:rPr>
          <w:t>Figure 5.1 Usability framework defined in ISO 9241–11.</w:t>
        </w:r>
        <w:r w:rsidR="006F3D0A">
          <w:rPr>
            <w:noProof/>
            <w:webHidden/>
          </w:rPr>
          <w:tab/>
        </w:r>
        <w:r w:rsidR="006F3D0A">
          <w:rPr>
            <w:noProof/>
            <w:webHidden/>
          </w:rPr>
          <w:fldChar w:fldCharType="begin"/>
        </w:r>
        <w:r w:rsidR="006F3D0A">
          <w:rPr>
            <w:noProof/>
            <w:webHidden/>
          </w:rPr>
          <w:instrText xml:space="preserve"> PAGEREF _Toc530684660 \h </w:instrText>
        </w:r>
        <w:r w:rsidR="006F3D0A">
          <w:rPr>
            <w:noProof/>
            <w:webHidden/>
          </w:rPr>
        </w:r>
        <w:r w:rsidR="006F3D0A">
          <w:rPr>
            <w:noProof/>
            <w:webHidden/>
          </w:rPr>
          <w:fldChar w:fldCharType="separate"/>
        </w:r>
        <w:r w:rsidR="006F3D0A">
          <w:rPr>
            <w:noProof/>
            <w:webHidden/>
          </w:rPr>
          <w:t>88</w:t>
        </w:r>
        <w:r w:rsidR="006F3D0A">
          <w:rPr>
            <w:noProof/>
            <w:webHidden/>
          </w:rPr>
          <w:fldChar w:fldCharType="end"/>
        </w:r>
      </w:hyperlink>
    </w:p>
    <w:p w14:paraId="3D914E56" w14:textId="6AD2DBA7" w:rsidR="006F3D0A" w:rsidRDefault="00FF643F">
      <w:pPr>
        <w:pStyle w:val="TableofFigures"/>
        <w:tabs>
          <w:tab w:val="right" w:leader="dot" w:pos="9905"/>
        </w:tabs>
        <w:rPr>
          <w:noProof/>
          <w:lang w:eastAsia="en-GB"/>
        </w:rPr>
      </w:pPr>
      <w:hyperlink w:anchor="_Toc530684661" w:history="1">
        <w:r w:rsidR="006F3D0A" w:rsidRPr="008346D9">
          <w:rPr>
            <w:rStyle w:val="Hyperlink"/>
            <w:noProof/>
          </w:rPr>
          <w:t>Figure 5.2 User Centred Design Process</w:t>
        </w:r>
        <w:r w:rsidR="006F3D0A">
          <w:rPr>
            <w:noProof/>
            <w:webHidden/>
          </w:rPr>
          <w:tab/>
        </w:r>
        <w:r w:rsidR="006F3D0A">
          <w:rPr>
            <w:noProof/>
            <w:webHidden/>
          </w:rPr>
          <w:fldChar w:fldCharType="begin"/>
        </w:r>
        <w:r w:rsidR="006F3D0A">
          <w:rPr>
            <w:noProof/>
            <w:webHidden/>
          </w:rPr>
          <w:instrText xml:space="preserve"> PAGEREF _Toc530684661 \h </w:instrText>
        </w:r>
        <w:r w:rsidR="006F3D0A">
          <w:rPr>
            <w:noProof/>
            <w:webHidden/>
          </w:rPr>
        </w:r>
        <w:r w:rsidR="006F3D0A">
          <w:rPr>
            <w:noProof/>
            <w:webHidden/>
          </w:rPr>
          <w:fldChar w:fldCharType="separate"/>
        </w:r>
        <w:r w:rsidR="006F3D0A">
          <w:rPr>
            <w:noProof/>
            <w:webHidden/>
          </w:rPr>
          <w:t>92</w:t>
        </w:r>
        <w:r w:rsidR="006F3D0A">
          <w:rPr>
            <w:noProof/>
            <w:webHidden/>
          </w:rPr>
          <w:fldChar w:fldCharType="end"/>
        </w:r>
      </w:hyperlink>
    </w:p>
    <w:p w14:paraId="0A770021" w14:textId="3D4825EF" w:rsidR="006F3D0A" w:rsidRDefault="00FF643F">
      <w:pPr>
        <w:pStyle w:val="TableofFigures"/>
        <w:tabs>
          <w:tab w:val="right" w:leader="dot" w:pos="9905"/>
        </w:tabs>
        <w:rPr>
          <w:noProof/>
          <w:lang w:eastAsia="en-GB"/>
        </w:rPr>
      </w:pPr>
      <w:hyperlink w:anchor="_Toc530684662" w:history="1">
        <w:r w:rsidR="006F3D0A" w:rsidRPr="008346D9">
          <w:rPr>
            <w:rStyle w:val="Hyperlink"/>
            <w:noProof/>
          </w:rPr>
          <w:t>Figure 5.3 Study flow mapped to UCD</w:t>
        </w:r>
        <w:r w:rsidR="006F3D0A">
          <w:rPr>
            <w:noProof/>
            <w:webHidden/>
          </w:rPr>
          <w:tab/>
        </w:r>
        <w:r w:rsidR="006F3D0A">
          <w:rPr>
            <w:noProof/>
            <w:webHidden/>
          </w:rPr>
          <w:fldChar w:fldCharType="begin"/>
        </w:r>
        <w:r w:rsidR="006F3D0A">
          <w:rPr>
            <w:noProof/>
            <w:webHidden/>
          </w:rPr>
          <w:instrText xml:space="preserve"> PAGEREF _Toc530684662 \h </w:instrText>
        </w:r>
        <w:r w:rsidR="006F3D0A">
          <w:rPr>
            <w:noProof/>
            <w:webHidden/>
          </w:rPr>
        </w:r>
        <w:r w:rsidR="006F3D0A">
          <w:rPr>
            <w:noProof/>
            <w:webHidden/>
          </w:rPr>
          <w:fldChar w:fldCharType="separate"/>
        </w:r>
        <w:r w:rsidR="006F3D0A">
          <w:rPr>
            <w:noProof/>
            <w:webHidden/>
          </w:rPr>
          <w:t>92</w:t>
        </w:r>
        <w:r w:rsidR="006F3D0A">
          <w:rPr>
            <w:noProof/>
            <w:webHidden/>
          </w:rPr>
          <w:fldChar w:fldCharType="end"/>
        </w:r>
      </w:hyperlink>
    </w:p>
    <w:p w14:paraId="124C9F06" w14:textId="3B4B4640" w:rsidR="006F3D0A" w:rsidRDefault="00FF643F">
      <w:pPr>
        <w:pStyle w:val="TableofFigures"/>
        <w:tabs>
          <w:tab w:val="right" w:leader="dot" w:pos="9905"/>
        </w:tabs>
        <w:rPr>
          <w:noProof/>
          <w:lang w:eastAsia="en-GB"/>
        </w:rPr>
      </w:pPr>
      <w:hyperlink w:anchor="_Toc530684663" w:history="1">
        <w:r w:rsidR="006F3D0A" w:rsidRPr="008346D9">
          <w:rPr>
            <w:rStyle w:val="Hyperlink"/>
            <w:noProof/>
          </w:rPr>
          <w:t>Figure 5.4 Study flow diagram</w:t>
        </w:r>
        <w:r w:rsidR="006F3D0A">
          <w:rPr>
            <w:noProof/>
            <w:webHidden/>
          </w:rPr>
          <w:tab/>
        </w:r>
        <w:r w:rsidR="006F3D0A">
          <w:rPr>
            <w:noProof/>
            <w:webHidden/>
          </w:rPr>
          <w:fldChar w:fldCharType="begin"/>
        </w:r>
        <w:r w:rsidR="006F3D0A">
          <w:rPr>
            <w:noProof/>
            <w:webHidden/>
          </w:rPr>
          <w:instrText xml:space="preserve"> PAGEREF _Toc530684663 \h </w:instrText>
        </w:r>
        <w:r w:rsidR="006F3D0A">
          <w:rPr>
            <w:noProof/>
            <w:webHidden/>
          </w:rPr>
        </w:r>
        <w:r w:rsidR="006F3D0A">
          <w:rPr>
            <w:noProof/>
            <w:webHidden/>
          </w:rPr>
          <w:fldChar w:fldCharType="separate"/>
        </w:r>
        <w:r w:rsidR="006F3D0A">
          <w:rPr>
            <w:noProof/>
            <w:webHidden/>
          </w:rPr>
          <w:t>94</w:t>
        </w:r>
        <w:r w:rsidR="006F3D0A">
          <w:rPr>
            <w:noProof/>
            <w:webHidden/>
          </w:rPr>
          <w:fldChar w:fldCharType="end"/>
        </w:r>
      </w:hyperlink>
    </w:p>
    <w:p w14:paraId="207D6307" w14:textId="74F3A1C3" w:rsidR="006F3D0A" w:rsidRDefault="00FF643F">
      <w:pPr>
        <w:pStyle w:val="TableofFigures"/>
        <w:tabs>
          <w:tab w:val="right" w:leader="dot" w:pos="9905"/>
        </w:tabs>
        <w:rPr>
          <w:noProof/>
          <w:lang w:eastAsia="en-GB"/>
        </w:rPr>
      </w:pPr>
      <w:hyperlink w:anchor="_Toc530684664" w:history="1">
        <w:r w:rsidR="006F3D0A" w:rsidRPr="008346D9">
          <w:rPr>
            <w:rStyle w:val="Hyperlink"/>
            <w:noProof/>
          </w:rPr>
          <w:t>Figure 5.5 Screenshots of study ELIZA UI</w:t>
        </w:r>
        <w:r w:rsidR="006F3D0A">
          <w:rPr>
            <w:noProof/>
            <w:webHidden/>
          </w:rPr>
          <w:tab/>
        </w:r>
        <w:r w:rsidR="006F3D0A">
          <w:rPr>
            <w:noProof/>
            <w:webHidden/>
          </w:rPr>
          <w:fldChar w:fldCharType="begin"/>
        </w:r>
        <w:r w:rsidR="006F3D0A">
          <w:rPr>
            <w:noProof/>
            <w:webHidden/>
          </w:rPr>
          <w:instrText xml:space="preserve"> PAGEREF _Toc530684664 \h </w:instrText>
        </w:r>
        <w:r w:rsidR="006F3D0A">
          <w:rPr>
            <w:noProof/>
            <w:webHidden/>
          </w:rPr>
        </w:r>
        <w:r w:rsidR="006F3D0A">
          <w:rPr>
            <w:noProof/>
            <w:webHidden/>
          </w:rPr>
          <w:fldChar w:fldCharType="separate"/>
        </w:r>
        <w:r w:rsidR="006F3D0A">
          <w:rPr>
            <w:noProof/>
            <w:webHidden/>
          </w:rPr>
          <w:t>97</w:t>
        </w:r>
        <w:r w:rsidR="006F3D0A">
          <w:rPr>
            <w:noProof/>
            <w:webHidden/>
          </w:rPr>
          <w:fldChar w:fldCharType="end"/>
        </w:r>
      </w:hyperlink>
    </w:p>
    <w:p w14:paraId="054CBFB7" w14:textId="65ADF001" w:rsidR="006F3D0A" w:rsidRDefault="00FF643F">
      <w:pPr>
        <w:pStyle w:val="TableofFigures"/>
        <w:tabs>
          <w:tab w:val="right" w:leader="dot" w:pos="9905"/>
        </w:tabs>
        <w:rPr>
          <w:noProof/>
          <w:lang w:eastAsia="en-GB"/>
        </w:rPr>
      </w:pPr>
      <w:hyperlink w:anchor="_Toc530684665" w:history="1">
        <w:r w:rsidR="006F3D0A" w:rsidRPr="008346D9">
          <w:rPr>
            <w:rStyle w:val="Hyperlink"/>
            <w:noProof/>
          </w:rPr>
          <w:t>Figure 5.6 Screenshots of MYLO</w:t>
        </w:r>
        <w:r w:rsidR="006F3D0A">
          <w:rPr>
            <w:noProof/>
            <w:webHidden/>
          </w:rPr>
          <w:tab/>
        </w:r>
        <w:r w:rsidR="006F3D0A">
          <w:rPr>
            <w:noProof/>
            <w:webHidden/>
          </w:rPr>
          <w:fldChar w:fldCharType="begin"/>
        </w:r>
        <w:r w:rsidR="006F3D0A">
          <w:rPr>
            <w:noProof/>
            <w:webHidden/>
          </w:rPr>
          <w:instrText xml:space="preserve"> PAGEREF _Toc530684665 \h </w:instrText>
        </w:r>
        <w:r w:rsidR="006F3D0A">
          <w:rPr>
            <w:noProof/>
            <w:webHidden/>
          </w:rPr>
        </w:r>
        <w:r w:rsidR="006F3D0A">
          <w:rPr>
            <w:noProof/>
            <w:webHidden/>
          </w:rPr>
          <w:fldChar w:fldCharType="separate"/>
        </w:r>
        <w:r w:rsidR="006F3D0A">
          <w:rPr>
            <w:noProof/>
            <w:webHidden/>
          </w:rPr>
          <w:t>98</w:t>
        </w:r>
        <w:r w:rsidR="006F3D0A">
          <w:rPr>
            <w:noProof/>
            <w:webHidden/>
          </w:rPr>
          <w:fldChar w:fldCharType="end"/>
        </w:r>
      </w:hyperlink>
    </w:p>
    <w:p w14:paraId="6C637D7C" w14:textId="45F884F3" w:rsidR="006F3D0A" w:rsidRDefault="00FF643F">
      <w:pPr>
        <w:pStyle w:val="TableofFigures"/>
        <w:tabs>
          <w:tab w:val="right" w:leader="dot" w:pos="9905"/>
        </w:tabs>
        <w:rPr>
          <w:noProof/>
          <w:lang w:eastAsia="en-GB"/>
        </w:rPr>
      </w:pPr>
      <w:hyperlink w:anchor="_Toc530684666" w:history="1">
        <w:r w:rsidR="006F3D0A" w:rsidRPr="008346D9">
          <w:rPr>
            <w:rStyle w:val="Hyperlink"/>
            <w:noProof/>
          </w:rPr>
          <w:t>Figure 5.7 System usability (post) and rating of resolution (post) scatterplot</w:t>
        </w:r>
        <w:r w:rsidR="006F3D0A">
          <w:rPr>
            <w:noProof/>
            <w:webHidden/>
          </w:rPr>
          <w:tab/>
        </w:r>
        <w:r w:rsidR="006F3D0A">
          <w:rPr>
            <w:noProof/>
            <w:webHidden/>
          </w:rPr>
          <w:fldChar w:fldCharType="begin"/>
        </w:r>
        <w:r w:rsidR="006F3D0A">
          <w:rPr>
            <w:noProof/>
            <w:webHidden/>
          </w:rPr>
          <w:instrText xml:space="preserve"> PAGEREF _Toc530684666 \h </w:instrText>
        </w:r>
        <w:r w:rsidR="006F3D0A">
          <w:rPr>
            <w:noProof/>
            <w:webHidden/>
          </w:rPr>
        </w:r>
        <w:r w:rsidR="006F3D0A">
          <w:rPr>
            <w:noProof/>
            <w:webHidden/>
          </w:rPr>
          <w:fldChar w:fldCharType="separate"/>
        </w:r>
        <w:r w:rsidR="006F3D0A">
          <w:rPr>
            <w:noProof/>
            <w:webHidden/>
          </w:rPr>
          <w:t>107</w:t>
        </w:r>
        <w:r w:rsidR="006F3D0A">
          <w:rPr>
            <w:noProof/>
            <w:webHidden/>
          </w:rPr>
          <w:fldChar w:fldCharType="end"/>
        </w:r>
      </w:hyperlink>
    </w:p>
    <w:p w14:paraId="3FD1EC1E" w14:textId="7A23203E" w:rsidR="006F3D0A" w:rsidRDefault="00FF643F">
      <w:pPr>
        <w:pStyle w:val="TableofFigures"/>
        <w:tabs>
          <w:tab w:val="right" w:leader="dot" w:pos="9905"/>
        </w:tabs>
        <w:rPr>
          <w:noProof/>
          <w:lang w:eastAsia="en-GB"/>
        </w:rPr>
      </w:pPr>
      <w:hyperlink w:anchor="_Toc530684667" w:history="1">
        <w:r w:rsidR="006F3D0A" w:rsidRPr="008346D9">
          <w:rPr>
            <w:rStyle w:val="Hyperlink"/>
            <w:noProof/>
          </w:rPr>
          <w:t>Figure 5.8 System usability (post) and helpfulness (post) scatterplot</w:t>
        </w:r>
        <w:r w:rsidR="006F3D0A">
          <w:rPr>
            <w:noProof/>
            <w:webHidden/>
          </w:rPr>
          <w:tab/>
        </w:r>
        <w:r w:rsidR="006F3D0A">
          <w:rPr>
            <w:noProof/>
            <w:webHidden/>
          </w:rPr>
          <w:fldChar w:fldCharType="begin"/>
        </w:r>
        <w:r w:rsidR="006F3D0A">
          <w:rPr>
            <w:noProof/>
            <w:webHidden/>
          </w:rPr>
          <w:instrText xml:space="preserve"> PAGEREF _Toc530684667 \h </w:instrText>
        </w:r>
        <w:r w:rsidR="006F3D0A">
          <w:rPr>
            <w:noProof/>
            <w:webHidden/>
          </w:rPr>
        </w:r>
        <w:r w:rsidR="006F3D0A">
          <w:rPr>
            <w:noProof/>
            <w:webHidden/>
          </w:rPr>
          <w:fldChar w:fldCharType="separate"/>
        </w:r>
        <w:r w:rsidR="006F3D0A">
          <w:rPr>
            <w:noProof/>
            <w:webHidden/>
          </w:rPr>
          <w:t>108</w:t>
        </w:r>
        <w:r w:rsidR="006F3D0A">
          <w:rPr>
            <w:noProof/>
            <w:webHidden/>
          </w:rPr>
          <w:fldChar w:fldCharType="end"/>
        </w:r>
      </w:hyperlink>
    </w:p>
    <w:p w14:paraId="735C0E4A" w14:textId="3F2457CD" w:rsidR="006F3D0A" w:rsidRDefault="00FF643F">
      <w:pPr>
        <w:pStyle w:val="TableofFigures"/>
        <w:tabs>
          <w:tab w:val="right" w:leader="dot" w:pos="9905"/>
        </w:tabs>
        <w:rPr>
          <w:noProof/>
          <w:lang w:eastAsia="en-GB"/>
        </w:rPr>
      </w:pPr>
      <w:hyperlink w:anchor="_Toc530684668" w:history="1">
        <w:r w:rsidR="006F3D0A" w:rsidRPr="008346D9">
          <w:rPr>
            <w:rStyle w:val="Hyperlink"/>
            <w:noProof/>
          </w:rPr>
          <w:t>Figure 5.9 System usability (post) and use again (post) scatterplot</w:t>
        </w:r>
        <w:r w:rsidR="006F3D0A">
          <w:rPr>
            <w:noProof/>
            <w:webHidden/>
          </w:rPr>
          <w:tab/>
        </w:r>
        <w:r w:rsidR="006F3D0A">
          <w:rPr>
            <w:noProof/>
            <w:webHidden/>
          </w:rPr>
          <w:fldChar w:fldCharType="begin"/>
        </w:r>
        <w:r w:rsidR="006F3D0A">
          <w:rPr>
            <w:noProof/>
            <w:webHidden/>
          </w:rPr>
          <w:instrText xml:space="preserve"> PAGEREF _Toc530684668 \h </w:instrText>
        </w:r>
        <w:r w:rsidR="006F3D0A">
          <w:rPr>
            <w:noProof/>
            <w:webHidden/>
          </w:rPr>
        </w:r>
        <w:r w:rsidR="006F3D0A">
          <w:rPr>
            <w:noProof/>
            <w:webHidden/>
          </w:rPr>
          <w:fldChar w:fldCharType="separate"/>
        </w:r>
        <w:r w:rsidR="006F3D0A">
          <w:rPr>
            <w:noProof/>
            <w:webHidden/>
          </w:rPr>
          <w:t>109</w:t>
        </w:r>
        <w:r w:rsidR="006F3D0A">
          <w:rPr>
            <w:noProof/>
            <w:webHidden/>
          </w:rPr>
          <w:fldChar w:fldCharType="end"/>
        </w:r>
      </w:hyperlink>
    </w:p>
    <w:p w14:paraId="2D9D3375" w14:textId="0009AD49" w:rsidR="006F3D0A" w:rsidRDefault="00FF643F">
      <w:pPr>
        <w:pStyle w:val="TableofFigures"/>
        <w:tabs>
          <w:tab w:val="right" w:leader="dot" w:pos="9905"/>
        </w:tabs>
        <w:rPr>
          <w:noProof/>
          <w:lang w:eastAsia="en-GB"/>
        </w:rPr>
      </w:pPr>
      <w:hyperlink w:anchor="_Toc530684669" w:history="1">
        <w:r w:rsidR="006F3D0A" w:rsidRPr="008346D9">
          <w:rPr>
            <w:rStyle w:val="Hyperlink"/>
            <w:noProof/>
          </w:rPr>
          <w:t>Figure 6.1 Four P's model of engagement with cCBT (Cavanagh and Millings, 2013)</w:t>
        </w:r>
        <w:r w:rsidR="006F3D0A">
          <w:rPr>
            <w:noProof/>
            <w:webHidden/>
          </w:rPr>
          <w:tab/>
        </w:r>
        <w:r w:rsidR="006F3D0A">
          <w:rPr>
            <w:noProof/>
            <w:webHidden/>
          </w:rPr>
          <w:fldChar w:fldCharType="begin"/>
        </w:r>
        <w:r w:rsidR="006F3D0A">
          <w:rPr>
            <w:noProof/>
            <w:webHidden/>
          </w:rPr>
          <w:instrText xml:space="preserve"> PAGEREF _Toc530684669 \h </w:instrText>
        </w:r>
        <w:r w:rsidR="006F3D0A">
          <w:rPr>
            <w:noProof/>
            <w:webHidden/>
          </w:rPr>
        </w:r>
        <w:r w:rsidR="006F3D0A">
          <w:rPr>
            <w:noProof/>
            <w:webHidden/>
          </w:rPr>
          <w:fldChar w:fldCharType="separate"/>
        </w:r>
        <w:r w:rsidR="006F3D0A">
          <w:rPr>
            <w:noProof/>
            <w:webHidden/>
          </w:rPr>
          <w:t>113</w:t>
        </w:r>
        <w:r w:rsidR="006F3D0A">
          <w:rPr>
            <w:noProof/>
            <w:webHidden/>
          </w:rPr>
          <w:fldChar w:fldCharType="end"/>
        </w:r>
      </w:hyperlink>
    </w:p>
    <w:p w14:paraId="02CBCBAD" w14:textId="0E026371" w:rsidR="006F3D0A" w:rsidRDefault="00FF643F">
      <w:pPr>
        <w:pStyle w:val="TableofFigures"/>
        <w:tabs>
          <w:tab w:val="right" w:leader="dot" w:pos="9905"/>
        </w:tabs>
        <w:rPr>
          <w:noProof/>
          <w:lang w:eastAsia="en-GB"/>
        </w:rPr>
      </w:pPr>
      <w:hyperlink w:anchor="_Toc530684670" w:history="1">
        <w:r w:rsidR="006F3D0A" w:rsidRPr="008346D9">
          <w:rPr>
            <w:rStyle w:val="Hyperlink"/>
            <w:noProof/>
          </w:rPr>
          <w:t>Figure 6.2 The 2 P Model for this study based on the 4 P’s model by Cavanagh and Millings (2013)</w:t>
        </w:r>
        <w:r w:rsidR="006F3D0A">
          <w:rPr>
            <w:noProof/>
            <w:webHidden/>
          </w:rPr>
          <w:tab/>
        </w:r>
        <w:r w:rsidR="006F3D0A">
          <w:rPr>
            <w:noProof/>
            <w:webHidden/>
          </w:rPr>
          <w:fldChar w:fldCharType="begin"/>
        </w:r>
        <w:r w:rsidR="006F3D0A">
          <w:rPr>
            <w:noProof/>
            <w:webHidden/>
          </w:rPr>
          <w:instrText xml:space="preserve"> PAGEREF _Toc530684670 \h </w:instrText>
        </w:r>
        <w:r w:rsidR="006F3D0A">
          <w:rPr>
            <w:noProof/>
            <w:webHidden/>
          </w:rPr>
        </w:r>
        <w:r w:rsidR="006F3D0A">
          <w:rPr>
            <w:noProof/>
            <w:webHidden/>
          </w:rPr>
          <w:fldChar w:fldCharType="separate"/>
        </w:r>
        <w:r w:rsidR="006F3D0A">
          <w:rPr>
            <w:noProof/>
            <w:webHidden/>
          </w:rPr>
          <w:t>114</w:t>
        </w:r>
        <w:r w:rsidR="006F3D0A">
          <w:rPr>
            <w:noProof/>
            <w:webHidden/>
          </w:rPr>
          <w:fldChar w:fldCharType="end"/>
        </w:r>
      </w:hyperlink>
    </w:p>
    <w:p w14:paraId="5F5159DA" w14:textId="7F674071" w:rsidR="006F3D0A" w:rsidRDefault="00FF643F">
      <w:pPr>
        <w:pStyle w:val="TableofFigures"/>
        <w:tabs>
          <w:tab w:val="right" w:leader="dot" w:pos="9905"/>
        </w:tabs>
        <w:rPr>
          <w:noProof/>
          <w:lang w:eastAsia="en-GB"/>
        </w:rPr>
      </w:pPr>
      <w:hyperlink w:anchor="_Toc530684671" w:history="1">
        <w:r w:rsidR="006F3D0A" w:rsidRPr="008346D9">
          <w:rPr>
            <w:rStyle w:val="Hyperlink"/>
            <w:noProof/>
          </w:rPr>
          <w:t>Figure 6.3 Study flow diagram</w:t>
        </w:r>
        <w:r w:rsidR="006F3D0A">
          <w:rPr>
            <w:noProof/>
            <w:webHidden/>
          </w:rPr>
          <w:tab/>
        </w:r>
        <w:r w:rsidR="006F3D0A">
          <w:rPr>
            <w:noProof/>
            <w:webHidden/>
          </w:rPr>
          <w:fldChar w:fldCharType="begin"/>
        </w:r>
        <w:r w:rsidR="006F3D0A">
          <w:rPr>
            <w:noProof/>
            <w:webHidden/>
          </w:rPr>
          <w:instrText xml:space="preserve"> PAGEREF _Toc530684671 \h </w:instrText>
        </w:r>
        <w:r w:rsidR="006F3D0A">
          <w:rPr>
            <w:noProof/>
            <w:webHidden/>
          </w:rPr>
        </w:r>
        <w:r w:rsidR="006F3D0A">
          <w:rPr>
            <w:noProof/>
            <w:webHidden/>
          </w:rPr>
          <w:fldChar w:fldCharType="separate"/>
        </w:r>
        <w:r w:rsidR="006F3D0A">
          <w:rPr>
            <w:noProof/>
            <w:webHidden/>
          </w:rPr>
          <w:t>119</w:t>
        </w:r>
        <w:r w:rsidR="006F3D0A">
          <w:rPr>
            <w:noProof/>
            <w:webHidden/>
          </w:rPr>
          <w:fldChar w:fldCharType="end"/>
        </w:r>
      </w:hyperlink>
    </w:p>
    <w:p w14:paraId="4EF0EE44" w14:textId="2063D6DD" w:rsidR="006F3D0A" w:rsidRDefault="00FF643F">
      <w:pPr>
        <w:pStyle w:val="TableofFigures"/>
        <w:tabs>
          <w:tab w:val="right" w:leader="dot" w:pos="9905"/>
        </w:tabs>
        <w:rPr>
          <w:noProof/>
          <w:lang w:eastAsia="en-GB"/>
        </w:rPr>
      </w:pPr>
      <w:hyperlink w:anchor="_Toc530684672" w:history="1">
        <w:r w:rsidR="006F3D0A" w:rsidRPr="008346D9">
          <w:rPr>
            <w:rStyle w:val="Hyperlink"/>
            <w:noProof/>
          </w:rPr>
          <w:t>Figure 6.4 Baseline problem-related distress boxplot</w:t>
        </w:r>
        <w:r w:rsidR="006F3D0A">
          <w:rPr>
            <w:noProof/>
            <w:webHidden/>
          </w:rPr>
          <w:tab/>
        </w:r>
        <w:r w:rsidR="006F3D0A">
          <w:rPr>
            <w:noProof/>
            <w:webHidden/>
          </w:rPr>
          <w:fldChar w:fldCharType="begin"/>
        </w:r>
        <w:r w:rsidR="006F3D0A">
          <w:rPr>
            <w:noProof/>
            <w:webHidden/>
          </w:rPr>
          <w:instrText xml:space="preserve"> PAGEREF _Toc530684672 \h </w:instrText>
        </w:r>
        <w:r w:rsidR="006F3D0A">
          <w:rPr>
            <w:noProof/>
            <w:webHidden/>
          </w:rPr>
        </w:r>
        <w:r w:rsidR="006F3D0A">
          <w:rPr>
            <w:noProof/>
            <w:webHidden/>
          </w:rPr>
          <w:fldChar w:fldCharType="separate"/>
        </w:r>
        <w:r w:rsidR="006F3D0A">
          <w:rPr>
            <w:noProof/>
            <w:webHidden/>
          </w:rPr>
          <w:t>130</w:t>
        </w:r>
        <w:r w:rsidR="006F3D0A">
          <w:rPr>
            <w:noProof/>
            <w:webHidden/>
          </w:rPr>
          <w:fldChar w:fldCharType="end"/>
        </w:r>
      </w:hyperlink>
    </w:p>
    <w:p w14:paraId="0BF19108" w14:textId="6ACCB9AF" w:rsidR="006F3D0A" w:rsidRDefault="00FF643F">
      <w:pPr>
        <w:pStyle w:val="TableofFigures"/>
        <w:tabs>
          <w:tab w:val="right" w:leader="dot" w:pos="9905"/>
        </w:tabs>
        <w:rPr>
          <w:noProof/>
          <w:lang w:eastAsia="en-GB"/>
        </w:rPr>
      </w:pPr>
      <w:hyperlink w:anchor="_Toc530684673" w:history="1">
        <w:r w:rsidR="006F3D0A" w:rsidRPr="008346D9">
          <w:rPr>
            <w:rStyle w:val="Hyperlink"/>
            <w:noProof/>
          </w:rPr>
          <w:t>Figure 6.5 Post-intervention problem-related distress boxplot</w:t>
        </w:r>
        <w:r w:rsidR="006F3D0A">
          <w:rPr>
            <w:noProof/>
            <w:webHidden/>
          </w:rPr>
          <w:tab/>
        </w:r>
        <w:r w:rsidR="006F3D0A">
          <w:rPr>
            <w:noProof/>
            <w:webHidden/>
          </w:rPr>
          <w:fldChar w:fldCharType="begin"/>
        </w:r>
        <w:r w:rsidR="006F3D0A">
          <w:rPr>
            <w:noProof/>
            <w:webHidden/>
          </w:rPr>
          <w:instrText xml:space="preserve"> PAGEREF _Toc530684673 \h </w:instrText>
        </w:r>
        <w:r w:rsidR="006F3D0A">
          <w:rPr>
            <w:noProof/>
            <w:webHidden/>
          </w:rPr>
        </w:r>
        <w:r w:rsidR="006F3D0A">
          <w:rPr>
            <w:noProof/>
            <w:webHidden/>
          </w:rPr>
          <w:fldChar w:fldCharType="separate"/>
        </w:r>
        <w:r w:rsidR="006F3D0A">
          <w:rPr>
            <w:noProof/>
            <w:webHidden/>
          </w:rPr>
          <w:t>131</w:t>
        </w:r>
        <w:r w:rsidR="006F3D0A">
          <w:rPr>
            <w:noProof/>
            <w:webHidden/>
          </w:rPr>
          <w:fldChar w:fldCharType="end"/>
        </w:r>
      </w:hyperlink>
    </w:p>
    <w:p w14:paraId="4D5589B7" w14:textId="184DDE40" w:rsidR="006F3D0A" w:rsidRDefault="00FF643F">
      <w:pPr>
        <w:pStyle w:val="TableofFigures"/>
        <w:tabs>
          <w:tab w:val="right" w:leader="dot" w:pos="9905"/>
        </w:tabs>
        <w:rPr>
          <w:noProof/>
          <w:lang w:eastAsia="en-GB"/>
        </w:rPr>
      </w:pPr>
      <w:hyperlink w:anchor="_Toc530684674" w:history="1">
        <w:r w:rsidR="006F3D0A" w:rsidRPr="008346D9">
          <w:rPr>
            <w:rStyle w:val="Hyperlink"/>
            <w:noProof/>
          </w:rPr>
          <w:t>Figure 6.6 Follow-up problem-related distress boxplot</w:t>
        </w:r>
        <w:r w:rsidR="006F3D0A">
          <w:rPr>
            <w:noProof/>
            <w:webHidden/>
          </w:rPr>
          <w:tab/>
        </w:r>
        <w:r w:rsidR="006F3D0A">
          <w:rPr>
            <w:noProof/>
            <w:webHidden/>
          </w:rPr>
          <w:fldChar w:fldCharType="begin"/>
        </w:r>
        <w:r w:rsidR="006F3D0A">
          <w:rPr>
            <w:noProof/>
            <w:webHidden/>
          </w:rPr>
          <w:instrText xml:space="preserve"> PAGEREF _Toc530684674 \h </w:instrText>
        </w:r>
        <w:r w:rsidR="006F3D0A">
          <w:rPr>
            <w:noProof/>
            <w:webHidden/>
          </w:rPr>
        </w:r>
        <w:r w:rsidR="006F3D0A">
          <w:rPr>
            <w:noProof/>
            <w:webHidden/>
          </w:rPr>
          <w:fldChar w:fldCharType="separate"/>
        </w:r>
        <w:r w:rsidR="006F3D0A">
          <w:rPr>
            <w:noProof/>
            <w:webHidden/>
          </w:rPr>
          <w:t>131</w:t>
        </w:r>
        <w:r w:rsidR="006F3D0A">
          <w:rPr>
            <w:noProof/>
            <w:webHidden/>
          </w:rPr>
          <w:fldChar w:fldCharType="end"/>
        </w:r>
      </w:hyperlink>
    </w:p>
    <w:p w14:paraId="659118F4" w14:textId="1E82E2E4" w:rsidR="006F3D0A" w:rsidRDefault="00FF643F">
      <w:pPr>
        <w:pStyle w:val="TableofFigures"/>
        <w:tabs>
          <w:tab w:val="right" w:leader="dot" w:pos="9905"/>
        </w:tabs>
        <w:rPr>
          <w:noProof/>
          <w:lang w:eastAsia="en-GB"/>
        </w:rPr>
      </w:pPr>
      <w:hyperlink w:anchor="_Toc530684675" w:history="1">
        <w:r w:rsidR="006F3D0A" w:rsidRPr="008346D9">
          <w:rPr>
            <w:rStyle w:val="Hyperlink"/>
            <w:noProof/>
          </w:rPr>
          <w:t>Figure 6.7 Baseline depression boxplot</w:t>
        </w:r>
        <w:r w:rsidR="006F3D0A">
          <w:rPr>
            <w:noProof/>
            <w:webHidden/>
          </w:rPr>
          <w:tab/>
        </w:r>
        <w:r w:rsidR="006F3D0A">
          <w:rPr>
            <w:noProof/>
            <w:webHidden/>
          </w:rPr>
          <w:fldChar w:fldCharType="begin"/>
        </w:r>
        <w:r w:rsidR="006F3D0A">
          <w:rPr>
            <w:noProof/>
            <w:webHidden/>
          </w:rPr>
          <w:instrText xml:space="preserve"> PAGEREF _Toc530684675 \h </w:instrText>
        </w:r>
        <w:r w:rsidR="006F3D0A">
          <w:rPr>
            <w:noProof/>
            <w:webHidden/>
          </w:rPr>
        </w:r>
        <w:r w:rsidR="006F3D0A">
          <w:rPr>
            <w:noProof/>
            <w:webHidden/>
          </w:rPr>
          <w:fldChar w:fldCharType="separate"/>
        </w:r>
        <w:r w:rsidR="006F3D0A">
          <w:rPr>
            <w:noProof/>
            <w:webHidden/>
          </w:rPr>
          <w:t>132</w:t>
        </w:r>
        <w:r w:rsidR="006F3D0A">
          <w:rPr>
            <w:noProof/>
            <w:webHidden/>
          </w:rPr>
          <w:fldChar w:fldCharType="end"/>
        </w:r>
      </w:hyperlink>
    </w:p>
    <w:p w14:paraId="0A7742ED" w14:textId="1CD4BA23" w:rsidR="006F3D0A" w:rsidRDefault="00FF643F">
      <w:pPr>
        <w:pStyle w:val="TableofFigures"/>
        <w:tabs>
          <w:tab w:val="right" w:leader="dot" w:pos="9905"/>
        </w:tabs>
        <w:rPr>
          <w:noProof/>
          <w:lang w:eastAsia="en-GB"/>
        </w:rPr>
      </w:pPr>
      <w:hyperlink w:anchor="_Toc530684676" w:history="1">
        <w:r w:rsidR="006F3D0A" w:rsidRPr="008346D9">
          <w:rPr>
            <w:rStyle w:val="Hyperlink"/>
            <w:noProof/>
          </w:rPr>
          <w:t>Figure 6.8 Follow-up depression boxplot</w:t>
        </w:r>
        <w:r w:rsidR="006F3D0A">
          <w:rPr>
            <w:noProof/>
            <w:webHidden/>
          </w:rPr>
          <w:tab/>
        </w:r>
        <w:r w:rsidR="006F3D0A">
          <w:rPr>
            <w:noProof/>
            <w:webHidden/>
          </w:rPr>
          <w:fldChar w:fldCharType="begin"/>
        </w:r>
        <w:r w:rsidR="006F3D0A">
          <w:rPr>
            <w:noProof/>
            <w:webHidden/>
          </w:rPr>
          <w:instrText xml:space="preserve"> PAGEREF _Toc530684676 \h </w:instrText>
        </w:r>
        <w:r w:rsidR="006F3D0A">
          <w:rPr>
            <w:noProof/>
            <w:webHidden/>
          </w:rPr>
        </w:r>
        <w:r w:rsidR="006F3D0A">
          <w:rPr>
            <w:noProof/>
            <w:webHidden/>
          </w:rPr>
          <w:fldChar w:fldCharType="separate"/>
        </w:r>
        <w:r w:rsidR="006F3D0A">
          <w:rPr>
            <w:noProof/>
            <w:webHidden/>
          </w:rPr>
          <w:t>133</w:t>
        </w:r>
        <w:r w:rsidR="006F3D0A">
          <w:rPr>
            <w:noProof/>
            <w:webHidden/>
          </w:rPr>
          <w:fldChar w:fldCharType="end"/>
        </w:r>
      </w:hyperlink>
    </w:p>
    <w:p w14:paraId="1C4F425C" w14:textId="3C84EDB7" w:rsidR="006F3D0A" w:rsidRDefault="00FF643F">
      <w:pPr>
        <w:pStyle w:val="TableofFigures"/>
        <w:tabs>
          <w:tab w:val="right" w:leader="dot" w:pos="9905"/>
        </w:tabs>
        <w:rPr>
          <w:noProof/>
          <w:lang w:eastAsia="en-GB"/>
        </w:rPr>
      </w:pPr>
      <w:hyperlink w:anchor="_Toc530684677" w:history="1">
        <w:r w:rsidR="006F3D0A" w:rsidRPr="008346D9">
          <w:rPr>
            <w:rStyle w:val="Hyperlink"/>
            <w:noProof/>
          </w:rPr>
          <w:t>Figure 6.9 Baseline anxiety boxplot</w:t>
        </w:r>
        <w:r w:rsidR="006F3D0A">
          <w:rPr>
            <w:noProof/>
            <w:webHidden/>
          </w:rPr>
          <w:tab/>
        </w:r>
        <w:r w:rsidR="006F3D0A">
          <w:rPr>
            <w:noProof/>
            <w:webHidden/>
          </w:rPr>
          <w:fldChar w:fldCharType="begin"/>
        </w:r>
        <w:r w:rsidR="006F3D0A">
          <w:rPr>
            <w:noProof/>
            <w:webHidden/>
          </w:rPr>
          <w:instrText xml:space="preserve"> PAGEREF _Toc530684677 \h </w:instrText>
        </w:r>
        <w:r w:rsidR="006F3D0A">
          <w:rPr>
            <w:noProof/>
            <w:webHidden/>
          </w:rPr>
        </w:r>
        <w:r w:rsidR="006F3D0A">
          <w:rPr>
            <w:noProof/>
            <w:webHidden/>
          </w:rPr>
          <w:fldChar w:fldCharType="separate"/>
        </w:r>
        <w:r w:rsidR="006F3D0A">
          <w:rPr>
            <w:noProof/>
            <w:webHidden/>
          </w:rPr>
          <w:t>134</w:t>
        </w:r>
        <w:r w:rsidR="006F3D0A">
          <w:rPr>
            <w:noProof/>
            <w:webHidden/>
          </w:rPr>
          <w:fldChar w:fldCharType="end"/>
        </w:r>
      </w:hyperlink>
    </w:p>
    <w:p w14:paraId="27B1891B" w14:textId="69E9D45F" w:rsidR="006F3D0A" w:rsidRDefault="00FF643F">
      <w:pPr>
        <w:pStyle w:val="TableofFigures"/>
        <w:tabs>
          <w:tab w:val="right" w:leader="dot" w:pos="9905"/>
        </w:tabs>
        <w:rPr>
          <w:noProof/>
          <w:lang w:eastAsia="en-GB"/>
        </w:rPr>
      </w:pPr>
      <w:hyperlink w:anchor="_Toc530684678" w:history="1">
        <w:r w:rsidR="006F3D0A" w:rsidRPr="008346D9">
          <w:rPr>
            <w:rStyle w:val="Hyperlink"/>
            <w:noProof/>
          </w:rPr>
          <w:t>Figure 6.10 Follow-up anxiety boxplot</w:t>
        </w:r>
        <w:r w:rsidR="006F3D0A">
          <w:rPr>
            <w:noProof/>
            <w:webHidden/>
          </w:rPr>
          <w:tab/>
        </w:r>
        <w:r w:rsidR="006F3D0A">
          <w:rPr>
            <w:noProof/>
            <w:webHidden/>
          </w:rPr>
          <w:fldChar w:fldCharType="begin"/>
        </w:r>
        <w:r w:rsidR="006F3D0A">
          <w:rPr>
            <w:noProof/>
            <w:webHidden/>
          </w:rPr>
          <w:instrText xml:space="preserve"> PAGEREF _Toc530684678 \h </w:instrText>
        </w:r>
        <w:r w:rsidR="006F3D0A">
          <w:rPr>
            <w:noProof/>
            <w:webHidden/>
          </w:rPr>
        </w:r>
        <w:r w:rsidR="006F3D0A">
          <w:rPr>
            <w:noProof/>
            <w:webHidden/>
          </w:rPr>
          <w:fldChar w:fldCharType="separate"/>
        </w:r>
        <w:r w:rsidR="006F3D0A">
          <w:rPr>
            <w:noProof/>
            <w:webHidden/>
          </w:rPr>
          <w:t>134</w:t>
        </w:r>
        <w:r w:rsidR="006F3D0A">
          <w:rPr>
            <w:noProof/>
            <w:webHidden/>
          </w:rPr>
          <w:fldChar w:fldCharType="end"/>
        </w:r>
      </w:hyperlink>
    </w:p>
    <w:p w14:paraId="60E5A7CC" w14:textId="46693E09" w:rsidR="006F3D0A" w:rsidRDefault="00FF643F">
      <w:pPr>
        <w:pStyle w:val="TableofFigures"/>
        <w:tabs>
          <w:tab w:val="right" w:leader="dot" w:pos="9905"/>
        </w:tabs>
        <w:rPr>
          <w:noProof/>
          <w:lang w:eastAsia="en-GB"/>
        </w:rPr>
      </w:pPr>
      <w:hyperlink w:anchor="_Toc530684679" w:history="1">
        <w:r w:rsidR="006F3D0A" w:rsidRPr="008346D9">
          <w:rPr>
            <w:rStyle w:val="Hyperlink"/>
            <w:noProof/>
          </w:rPr>
          <w:t>Figure 6.11 Post-intervention rating of resolution boxplot</w:t>
        </w:r>
        <w:r w:rsidR="006F3D0A">
          <w:rPr>
            <w:noProof/>
            <w:webHidden/>
          </w:rPr>
          <w:tab/>
        </w:r>
        <w:r w:rsidR="006F3D0A">
          <w:rPr>
            <w:noProof/>
            <w:webHidden/>
          </w:rPr>
          <w:fldChar w:fldCharType="begin"/>
        </w:r>
        <w:r w:rsidR="006F3D0A">
          <w:rPr>
            <w:noProof/>
            <w:webHidden/>
          </w:rPr>
          <w:instrText xml:space="preserve"> PAGEREF _Toc530684679 \h </w:instrText>
        </w:r>
        <w:r w:rsidR="006F3D0A">
          <w:rPr>
            <w:noProof/>
            <w:webHidden/>
          </w:rPr>
        </w:r>
        <w:r w:rsidR="006F3D0A">
          <w:rPr>
            <w:noProof/>
            <w:webHidden/>
          </w:rPr>
          <w:fldChar w:fldCharType="separate"/>
        </w:r>
        <w:r w:rsidR="006F3D0A">
          <w:rPr>
            <w:noProof/>
            <w:webHidden/>
          </w:rPr>
          <w:t>135</w:t>
        </w:r>
        <w:r w:rsidR="006F3D0A">
          <w:rPr>
            <w:noProof/>
            <w:webHidden/>
          </w:rPr>
          <w:fldChar w:fldCharType="end"/>
        </w:r>
      </w:hyperlink>
    </w:p>
    <w:p w14:paraId="656338E4" w14:textId="0B7292A6" w:rsidR="006F3D0A" w:rsidRDefault="00FF643F">
      <w:pPr>
        <w:pStyle w:val="TableofFigures"/>
        <w:tabs>
          <w:tab w:val="right" w:leader="dot" w:pos="9905"/>
        </w:tabs>
        <w:rPr>
          <w:noProof/>
          <w:lang w:eastAsia="en-GB"/>
        </w:rPr>
      </w:pPr>
      <w:hyperlink w:anchor="_Toc530684680" w:history="1">
        <w:r w:rsidR="006F3D0A" w:rsidRPr="008346D9">
          <w:rPr>
            <w:rStyle w:val="Hyperlink"/>
            <w:noProof/>
          </w:rPr>
          <w:t>Figure 6.12 Follow-up rating of resolution boxplot</w:t>
        </w:r>
        <w:r w:rsidR="006F3D0A">
          <w:rPr>
            <w:noProof/>
            <w:webHidden/>
          </w:rPr>
          <w:tab/>
        </w:r>
        <w:r w:rsidR="006F3D0A">
          <w:rPr>
            <w:noProof/>
            <w:webHidden/>
          </w:rPr>
          <w:fldChar w:fldCharType="begin"/>
        </w:r>
        <w:r w:rsidR="006F3D0A">
          <w:rPr>
            <w:noProof/>
            <w:webHidden/>
          </w:rPr>
          <w:instrText xml:space="preserve"> PAGEREF _Toc530684680 \h </w:instrText>
        </w:r>
        <w:r w:rsidR="006F3D0A">
          <w:rPr>
            <w:noProof/>
            <w:webHidden/>
          </w:rPr>
        </w:r>
        <w:r w:rsidR="006F3D0A">
          <w:rPr>
            <w:noProof/>
            <w:webHidden/>
          </w:rPr>
          <w:fldChar w:fldCharType="separate"/>
        </w:r>
        <w:r w:rsidR="006F3D0A">
          <w:rPr>
            <w:noProof/>
            <w:webHidden/>
          </w:rPr>
          <w:t>136</w:t>
        </w:r>
        <w:r w:rsidR="006F3D0A">
          <w:rPr>
            <w:noProof/>
            <w:webHidden/>
          </w:rPr>
          <w:fldChar w:fldCharType="end"/>
        </w:r>
      </w:hyperlink>
    </w:p>
    <w:p w14:paraId="2A8A5F5E" w14:textId="7DC096FA" w:rsidR="006F3D0A" w:rsidRDefault="00FF643F">
      <w:pPr>
        <w:pStyle w:val="TableofFigures"/>
        <w:tabs>
          <w:tab w:val="right" w:leader="dot" w:pos="9905"/>
        </w:tabs>
        <w:rPr>
          <w:noProof/>
          <w:lang w:eastAsia="en-GB"/>
        </w:rPr>
      </w:pPr>
      <w:hyperlink w:anchor="_Toc530684681" w:history="1">
        <w:r w:rsidR="006F3D0A" w:rsidRPr="008346D9">
          <w:rPr>
            <w:rStyle w:val="Hyperlink"/>
            <w:noProof/>
          </w:rPr>
          <w:t>Figure 6.13 Post-intervention net promoter score boxplot</w:t>
        </w:r>
        <w:r w:rsidR="006F3D0A">
          <w:rPr>
            <w:noProof/>
            <w:webHidden/>
          </w:rPr>
          <w:tab/>
        </w:r>
        <w:r w:rsidR="006F3D0A">
          <w:rPr>
            <w:noProof/>
            <w:webHidden/>
          </w:rPr>
          <w:fldChar w:fldCharType="begin"/>
        </w:r>
        <w:r w:rsidR="006F3D0A">
          <w:rPr>
            <w:noProof/>
            <w:webHidden/>
          </w:rPr>
          <w:instrText xml:space="preserve"> PAGEREF _Toc530684681 \h </w:instrText>
        </w:r>
        <w:r w:rsidR="006F3D0A">
          <w:rPr>
            <w:noProof/>
            <w:webHidden/>
          </w:rPr>
        </w:r>
        <w:r w:rsidR="006F3D0A">
          <w:rPr>
            <w:noProof/>
            <w:webHidden/>
          </w:rPr>
          <w:fldChar w:fldCharType="separate"/>
        </w:r>
        <w:r w:rsidR="006F3D0A">
          <w:rPr>
            <w:noProof/>
            <w:webHidden/>
          </w:rPr>
          <w:t>137</w:t>
        </w:r>
        <w:r w:rsidR="006F3D0A">
          <w:rPr>
            <w:noProof/>
            <w:webHidden/>
          </w:rPr>
          <w:fldChar w:fldCharType="end"/>
        </w:r>
      </w:hyperlink>
    </w:p>
    <w:p w14:paraId="19795924" w14:textId="1FFABFBD" w:rsidR="006F3D0A" w:rsidRDefault="00FF643F">
      <w:pPr>
        <w:pStyle w:val="TableofFigures"/>
        <w:tabs>
          <w:tab w:val="right" w:leader="dot" w:pos="9905"/>
        </w:tabs>
        <w:rPr>
          <w:noProof/>
          <w:lang w:eastAsia="en-GB"/>
        </w:rPr>
      </w:pPr>
      <w:hyperlink w:anchor="_Toc530684682" w:history="1">
        <w:r w:rsidR="006F3D0A" w:rsidRPr="008346D9">
          <w:rPr>
            <w:rStyle w:val="Hyperlink"/>
            <w:noProof/>
          </w:rPr>
          <w:t>Figure 6.14 Follow-up net promoter score boxplot</w:t>
        </w:r>
        <w:r w:rsidR="006F3D0A">
          <w:rPr>
            <w:noProof/>
            <w:webHidden/>
          </w:rPr>
          <w:tab/>
        </w:r>
        <w:r w:rsidR="006F3D0A">
          <w:rPr>
            <w:noProof/>
            <w:webHidden/>
          </w:rPr>
          <w:fldChar w:fldCharType="begin"/>
        </w:r>
        <w:r w:rsidR="006F3D0A">
          <w:rPr>
            <w:noProof/>
            <w:webHidden/>
          </w:rPr>
          <w:instrText xml:space="preserve"> PAGEREF _Toc530684682 \h </w:instrText>
        </w:r>
        <w:r w:rsidR="006F3D0A">
          <w:rPr>
            <w:noProof/>
            <w:webHidden/>
          </w:rPr>
        </w:r>
        <w:r w:rsidR="006F3D0A">
          <w:rPr>
            <w:noProof/>
            <w:webHidden/>
          </w:rPr>
          <w:fldChar w:fldCharType="separate"/>
        </w:r>
        <w:r w:rsidR="006F3D0A">
          <w:rPr>
            <w:noProof/>
            <w:webHidden/>
          </w:rPr>
          <w:t>137</w:t>
        </w:r>
        <w:r w:rsidR="006F3D0A">
          <w:rPr>
            <w:noProof/>
            <w:webHidden/>
          </w:rPr>
          <w:fldChar w:fldCharType="end"/>
        </w:r>
      </w:hyperlink>
    </w:p>
    <w:p w14:paraId="5F5D7233" w14:textId="39FF6408" w:rsidR="006F3D0A" w:rsidRDefault="00FF643F">
      <w:pPr>
        <w:pStyle w:val="TableofFigures"/>
        <w:tabs>
          <w:tab w:val="right" w:leader="dot" w:pos="9905"/>
        </w:tabs>
        <w:rPr>
          <w:noProof/>
          <w:lang w:eastAsia="en-GB"/>
        </w:rPr>
      </w:pPr>
      <w:hyperlink w:anchor="_Toc530684683" w:history="1">
        <w:r w:rsidR="006F3D0A" w:rsidRPr="008346D9">
          <w:rPr>
            <w:rStyle w:val="Hyperlink"/>
            <w:noProof/>
          </w:rPr>
          <w:t>Figure 6.15 Net promoter score analysis</w:t>
        </w:r>
        <w:r w:rsidR="006F3D0A">
          <w:rPr>
            <w:noProof/>
            <w:webHidden/>
          </w:rPr>
          <w:tab/>
        </w:r>
        <w:r w:rsidR="006F3D0A">
          <w:rPr>
            <w:noProof/>
            <w:webHidden/>
          </w:rPr>
          <w:fldChar w:fldCharType="begin"/>
        </w:r>
        <w:r w:rsidR="006F3D0A">
          <w:rPr>
            <w:noProof/>
            <w:webHidden/>
          </w:rPr>
          <w:instrText xml:space="preserve"> PAGEREF _Toc530684683 \h </w:instrText>
        </w:r>
        <w:r w:rsidR="006F3D0A">
          <w:rPr>
            <w:noProof/>
            <w:webHidden/>
          </w:rPr>
        </w:r>
        <w:r w:rsidR="006F3D0A">
          <w:rPr>
            <w:noProof/>
            <w:webHidden/>
          </w:rPr>
          <w:fldChar w:fldCharType="separate"/>
        </w:r>
        <w:r w:rsidR="006F3D0A">
          <w:rPr>
            <w:noProof/>
            <w:webHidden/>
          </w:rPr>
          <w:t>137</w:t>
        </w:r>
        <w:r w:rsidR="006F3D0A">
          <w:rPr>
            <w:noProof/>
            <w:webHidden/>
          </w:rPr>
          <w:fldChar w:fldCharType="end"/>
        </w:r>
      </w:hyperlink>
    </w:p>
    <w:p w14:paraId="1EF2EA3E" w14:textId="696C4448" w:rsidR="006F3D0A" w:rsidRDefault="00FF643F">
      <w:pPr>
        <w:pStyle w:val="TableofFigures"/>
        <w:tabs>
          <w:tab w:val="right" w:leader="dot" w:pos="9905"/>
        </w:tabs>
        <w:rPr>
          <w:noProof/>
          <w:lang w:eastAsia="en-GB"/>
        </w:rPr>
      </w:pPr>
      <w:hyperlink w:anchor="_Toc530684684" w:history="1">
        <w:r w:rsidR="006F3D0A" w:rsidRPr="008346D9">
          <w:rPr>
            <w:rStyle w:val="Hyperlink"/>
            <w:noProof/>
          </w:rPr>
          <w:t>Figure 6.16 Post-intervention system usability score boxplot</w:t>
        </w:r>
        <w:r w:rsidR="006F3D0A">
          <w:rPr>
            <w:noProof/>
            <w:webHidden/>
          </w:rPr>
          <w:tab/>
        </w:r>
        <w:r w:rsidR="006F3D0A">
          <w:rPr>
            <w:noProof/>
            <w:webHidden/>
          </w:rPr>
          <w:fldChar w:fldCharType="begin"/>
        </w:r>
        <w:r w:rsidR="006F3D0A">
          <w:rPr>
            <w:noProof/>
            <w:webHidden/>
          </w:rPr>
          <w:instrText xml:space="preserve"> PAGEREF _Toc530684684 \h </w:instrText>
        </w:r>
        <w:r w:rsidR="006F3D0A">
          <w:rPr>
            <w:noProof/>
            <w:webHidden/>
          </w:rPr>
        </w:r>
        <w:r w:rsidR="006F3D0A">
          <w:rPr>
            <w:noProof/>
            <w:webHidden/>
          </w:rPr>
          <w:fldChar w:fldCharType="separate"/>
        </w:r>
        <w:r w:rsidR="006F3D0A">
          <w:rPr>
            <w:noProof/>
            <w:webHidden/>
          </w:rPr>
          <w:t>139</w:t>
        </w:r>
        <w:r w:rsidR="006F3D0A">
          <w:rPr>
            <w:noProof/>
            <w:webHidden/>
          </w:rPr>
          <w:fldChar w:fldCharType="end"/>
        </w:r>
      </w:hyperlink>
    </w:p>
    <w:p w14:paraId="68110C96" w14:textId="7EFE5B75" w:rsidR="006F3D0A" w:rsidRDefault="00FF643F">
      <w:pPr>
        <w:pStyle w:val="TableofFigures"/>
        <w:tabs>
          <w:tab w:val="right" w:leader="dot" w:pos="9905"/>
        </w:tabs>
        <w:rPr>
          <w:noProof/>
          <w:lang w:eastAsia="en-GB"/>
        </w:rPr>
      </w:pPr>
      <w:hyperlink w:anchor="_Toc530684685" w:history="1">
        <w:r w:rsidR="006F3D0A" w:rsidRPr="008346D9">
          <w:rPr>
            <w:rStyle w:val="Hyperlink"/>
            <w:noProof/>
          </w:rPr>
          <w:t>Figure 6.17 Post-intervention problematic ratings boxplot</w:t>
        </w:r>
        <w:r w:rsidR="006F3D0A">
          <w:rPr>
            <w:noProof/>
            <w:webHidden/>
          </w:rPr>
          <w:tab/>
        </w:r>
        <w:r w:rsidR="006F3D0A">
          <w:rPr>
            <w:noProof/>
            <w:webHidden/>
          </w:rPr>
          <w:fldChar w:fldCharType="begin"/>
        </w:r>
        <w:r w:rsidR="006F3D0A">
          <w:rPr>
            <w:noProof/>
            <w:webHidden/>
          </w:rPr>
          <w:instrText xml:space="preserve"> PAGEREF _Toc530684685 \h </w:instrText>
        </w:r>
        <w:r w:rsidR="006F3D0A">
          <w:rPr>
            <w:noProof/>
            <w:webHidden/>
          </w:rPr>
        </w:r>
        <w:r w:rsidR="006F3D0A">
          <w:rPr>
            <w:noProof/>
            <w:webHidden/>
          </w:rPr>
          <w:fldChar w:fldCharType="separate"/>
        </w:r>
        <w:r w:rsidR="006F3D0A">
          <w:rPr>
            <w:noProof/>
            <w:webHidden/>
          </w:rPr>
          <w:t>140</w:t>
        </w:r>
        <w:r w:rsidR="006F3D0A">
          <w:rPr>
            <w:noProof/>
            <w:webHidden/>
          </w:rPr>
          <w:fldChar w:fldCharType="end"/>
        </w:r>
      </w:hyperlink>
    </w:p>
    <w:p w14:paraId="711CBBF1" w14:textId="2A8DB881" w:rsidR="006F3D0A" w:rsidRDefault="00FF643F">
      <w:pPr>
        <w:pStyle w:val="TableofFigures"/>
        <w:tabs>
          <w:tab w:val="right" w:leader="dot" w:pos="9905"/>
        </w:tabs>
        <w:rPr>
          <w:noProof/>
          <w:lang w:eastAsia="en-GB"/>
        </w:rPr>
      </w:pPr>
      <w:hyperlink w:anchor="_Toc530684686" w:history="1">
        <w:r w:rsidR="006F3D0A" w:rsidRPr="008346D9">
          <w:rPr>
            <w:rStyle w:val="Hyperlink"/>
            <w:noProof/>
          </w:rPr>
          <w:t>Figure 6.18 Post-intervention okay ratings boxplot</w:t>
        </w:r>
        <w:r w:rsidR="006F3D0A">
          <w:rPr>
            <w:noProof/>
            <w:webHidden/>
          </w:rPr>
          <w:tab/>
        </w:r>
        <w:r w:rsidR="006F3D0A">
          <w:rPr>
            <w:noProof/>
            <w:webHidden/>
          </w:rPr>
          <w:fldChar w:fldCharType="begin"/>
        </w:r>
        <w:r w:rsidR="006F3D0A">
          <w:rPr>
            <w:noProof/>
            <w:webHidden/>
          </w:rPr>
          <w:instrText xml:space="preserve"> PAGEREF _Toc530684686 \h </w:instrText>
        </w:r>
        <w:r w:rsidR="006F3D0A">
          <w:rPr>
            <w:noProof/>
            <w:webHidden/>
          </w:rPr>
        </w:r>
        <w:r w:rsidR="006F3D0A">
          <w:rPr>
            <w:noProof/>
            <w:webHidden/>
          </w:rPr>
          <w:fldChar w:fldCharType="separate"/>
        </w:r>
        <w:r w:rsidR="006F3D0A">
          <w:rPr>
            <w:noProof/>
            <w:webHidden/>
          </w:rPr>
          <w:t>141</w:t>
        </w:r>
        <w:r w:rsidR="006F3D0A">
          <w:rPr>
            <w:noProof/>
            <w:webHidden/>
          </w:rPr>
          <w:fldChar w:fldCharType="end"/>
        </w:r>
      </w:hyperlink>
    </w:p>
    <w:p w14:paraId="76630A81" w14:textId="1E417CB1" w:rsidR="006F3D0A" w:rsidRDefault="00FF643F">
      <w:pPr>
        <w:pStyle w:val="TableofFigures"/>
        <w:tabs>
          <w:tab w:val="right" w:leader="dot" w:pos="9905"/>
        </w:tabs>
        <w:rPr>
          <w:noProof/>
          <w:lang w:eastAsia="en-GB"/>
        </w:rPr>
      </w:pPr>
      <w:hyperlink w:anchor="_Toc530684687" w:history="1">
        <w:r w:rsidR="006F3D0A" w:rsidRPr="008346D9">
          <w:rPr>
            <w:rStyle w:val="Hyperlink"/>
            <w:noProof/>
          </w:rPr>
          <w:t>Figure 6.19 Post-intervention helpful ratings boxplot</w:t>
        </w:r>
        <w:r w:rsidR="006F3D0A">
          <w:rPr>
            <w:noProof/>
            <w:webHidden/>
          </w:rPr>
          <w:tab/>
        </w:r>
        <w:r w:rsidR="006F3D0A">
          <w:rPr>
            <w:noProof/>
            <w:webHidden/>
          </w:rPr>
          <w:fldChar w:fldCharType="begin"/>
        </w:r>
        <w:r w:rsidR="006F3D0A">
          <w:rPr>
            <w:noProof/>
            <w:webHidden/>
          </w:rPr>
          <w:instrText xml:space="preserve"> PAGEREF _Toc530684687 \h </w:instrText>
        </w:r>
        <w:r w:rsidR="006F3D0A">
          <w:rPr>
            <w:noProof/>
            <w:webHidden/>
          </w:rPr>
        </w:r>
        <w:r w:rsidR="006F3D0A">
          <w:rPr>
            <w:noProof/>
            <w:webHidden/>
          </w:rPr>
          <w:fldChar w:fldCharType="separate"/>
        </w:r>
        <w:r w:rsidR="006F3D0A">
          <w:rPr>
            <w:noProof/>
            <w:webHidden/>
          </w:rPr>
          <w:t>141</w:t>
        </w:r>
        <w:r w:rsidR="006F3D0A">
          <w:rPr>
            <w:noProof/>
            <w:webHidden/>
          </w:rPr>
          <w:fldChar w:fldCharType="end"/>
        </w:r>
      </w:hyperlink>
    </w:p>
    <w:p w14:paraId="5096DDBD" w14:textId="16E5E9BC" w:rsidR="006F3D0A" w:rsidRDefault="00FF643F">
      <w:pPr>
        <w:pStyle w:val="TableofFigures"/>
        <w:tabs>
          <w:tab w:val="right" w:leader="dot" w:pos="9905"/>
        </w:tabs>
        <w:rPr>
          <w:noProof/>
          <w:lang w:eastAsia="en-GB"/>
        </w:rPr>
      </w:pPr>
      <w:hyperlink w:anchor="_Toc530684688" w:history="1">
        <w:r w:rsidR="006F3D0A" w:rsidRPr="008346D9">
          <w:rPr>
            <w:rStyle w:val="Hyperlink"/>
            <w:noProof/>
          </w:rPr>
          <w:t>Figure 6.20 Baseline pre-credibility boxplot</w:t>
        </w:r>
        <w:r w:rsidR="006F3D0A">
          <w:rPr>
            <w:noProof/>
            <w:webHidden/>
          </w:rPr>
          <w:tab/>
        </w:r>
        <w:r w:rsidR="006F3D0A">
          <w:rPr>
            <w:noProof/>
            <w:webHidden/>
          </w:rPr>
          <w:fldChar w:fldCharType="begin"/>
        </w:r>
        <w:r w:rsidR="006F3D0A">
          <w:rPr>
            <w:noProof/>
            <w:webHidden/>
          </w:rPr>
          <w:instrText xml:space="preserve"> PAGEREF _Toc530684688 \h </w:instrText>
        </w:r>
        <w:r w:rsidR="006F3D0A">
          <w:rPr>
            <w:noProof/>
            <w:webHidden/>
          </w:rPr>
        </w:r>
        <w:r w:rsidR="006F3D0A">
          <w:rPr>
            <w:noProof/>
            <w:webHidden/>
          </w:rPr>
          <w:fldChar w:fldCharType="separate"/>
        </w:r>
        <w:r w:rsidR="006F3D0A">
          <w:rPr>
            <w:noProof/>
            <w:webHidden/>
          </w:rPr>
          <w:t>142</w:t>
        </w:r>
        <w:r w:rsidR="006F3D0A">
          <w:rPr>
            <w:noProof/>
            <w:webHidden/>
          </w:rPr>
          <w:fldChar w:fldCharType="end"/>
        </w:r>
      </w:hyperlink>
    </w:p>
    <w:p w14:paraId="46C584A2" w14:textId="2862E872" w:rsidR="006F3D0A" w:rsidRDefault="00FF643F">
      <w:pPr>
        <w:pStyle w:val="TableofFigures"/>
        <w:tabs>
          <w:tab w:val="right" w:leader="dot" w:pos="9905"/>
        </w:tabs>
        <w:rPr>
          <w:noProof/>
          <w:lang w:eastAsia="en-GB"/>
        </w:rPr>
      </w:pPr>
      <w:hyperlink w:anchor="_Toc530684689" w:history="1">
        <w:r w:rsidR="006F3D0A" w:rsidRPr="008346D9">
          <w:rPr>
            <w:rStyle w:val="Hyperlink"/>
            <w:noProof/>
          </w:rPr>
          <w:t>Figure 6.21 Baseline pre-expectancy boxplot</w:t>
        </w:r>
        <w:r w:rsidR="006F3D0A">
          <w:rPr>
            <w:noProof/>
            <w:webHidden/>
          </w:rPr>
          <w:tab/>
        </w:r>
        <w:r w:rsidR="006F3D0A">
          <w:rPr>
            <w:noProof/>
            <w:webHidden/>
          </w:rPr>
          <w:fldChar w:fldCharType="begin"/>
        </w:r>
        <w:r w:rsidR="006F3D0A">
          <w:rPr>
            <w:noProof/>
            <w:webHidden/>
          </w:rPr>
          <w:instrText xml:space="preserve"> PAGEREF _Toc530684689 \h </w:instrText>
        </w:r>
        <w:r w:rsidR="006F3D0A">
          <w:rPr>
            <w:noProof/>
            <w:webHidden/>
          </w:rPr>
        </w:r>
        <w:r w:rsidR="006F3D0A">
          <w:rPr>
            <w:noProof/>
            <w:webHidden/>
          </w:rPr>
          <w:fldChar w:fldCharType="separate"/>
        </w:r>
        <w:r w:rsidR="006F3D0A">
          <w:rPr>
            <w:noProof/>
            <w:webHidden/>
          </w:rPr>
          <w:t>142</w:t>
        </w:r>
        <w:r w:rsidR="006F3D0A">
          <w:rPr>
            <w:noProof/>
            <w:webHidden/>
          </w:rPr>
          <w:fldChar w:fldCharType="end"/>
        </w:r>
      </w:hyperlink>
    </w:p>
    <w:p w14:paraId="227E270D" w14:textId="66F45BA3" w:rsidR="006F3D0A" w:rsidRDefault="00FF643F">
      <w:pPr>
        <w:pStyle w:val="TableofFigures"/>
        <w:tabs>
          <w:tab w:val="right" w:leader="dot" w:pos="9905"/>
        </w:tabs>
        <w:rPr>
          <w:noProof/>
          <w:lang w:eastAsia="en-GB"/>
        </w:rPr>
      </w:pPr>
      <w:hyperlink w:anchor="_Toc530684690" w:history="1">
        <w:r w:rsidR="006F3D0A" w:rsidRPr="008346D9">
          <w:rPr>
            <w:rStyle w:val="Hyperlink"/>
            <w:noProof/>
          </w:rPr>
          <w:t>Figure 6.22 System usability (post) and working alliance scatterplot</w:t>
        </w:r>
        <w:r w:rsidR="006F3D0A">
          <w:rPr>
            <w:noProof/>
            <w:webHidden/>
          </w:rPr>
          <w:tab/>
        </w:r>
        <w:r w:rsidR="006F3D0A">
          <w:rPr>
            <w:noProof/>
            <w:webHidden/>
          </w:rPr>
          <w:fldChar w:fldCharType="begin"/>
        </w:r>
        <w:r w:rsidR="006F3D0A">
          <w:rPr>
            <w:noProof/>
            <w:webHidden/>
          </w:rPr>
          <w:instrText xml:space="preserve"> PAGEREF _Toc530684690 \h </w:instrText>
        </w:r>
        <w:r w:rsidR="006F3D0A">
          <w:rPr>
            <w:noProof/>
            <w:webHidden/>
          </w:rPr>
        </w:r>
        <w:r w:rsidR="006F3D0A">
          <w:rPr>
            <w:noProof/>
            <w:webHidden/>
          </w:rPr>
          <w:fldChar w:fldCharType="separate"/>
        </w:r>
        <w:r w:rsidR="006F3D0A">
          <w:rPr>
            <w:noProof/>
            <w:webHidden/>
          </w:rPr>
          <w:t>143</w:t>
        </w:r>
        <w:r w:rsidR="006F3D0A">
          <w:rPr>
            <w:noProof/>
            <w:webHidden/>
          </w:rPr>
          <w:fldChar w:fldCharType="end"/>
        </w:r>
      </w:hyperlink>
    </w:p>
    <w:p w14:paraId="5CACDC49" w14:textId="54C1AD80" w:rsidR="006F3D0A" w:rsidRDefault="00FF643F">
      <w:pPr>
        <w:pStyle w:val="TableofFigures"/>
        <w:tabs>
          <w:tab w:val="right" w:leader="dot" w:pos="9905"/>
        </w:tabs>
        <w:rPr>
          <w:noProof/>
          <w:lang w:eastAsia="en-GB"/>
        </w:rPr>
      </w:pPr>
      <w:hyperlink w:anchor="_Toc530684691" w:history="1">
        <w:r w:rsidR="006F3D0A" w:rsidRPr="008346D9">
          <w:rPr>
            <w:rStyle w:val="Hyperlink"/>
            <w:noProof/>
          </w:rPr>
          <w:t>Figure 6.23 System usability (post) and working alliance bond (bond) scatterplot</w:t>
        </w:r>
        <w:r w:rsidR="006F3D0A">
          <w:rPr>
            <w:noProof/>
            <w:webHidden/>
          </w:rPr>
          <w:tab/>
        </w:r>
        <w:r w:rsidR="006F3D0A">
          <w:rPr>
            <w:noProof/>
            <w:webHidden/>
          </w:rPr>
          <w:fldChar w:fldCharType="begin"/>
        </w:r>
        <w:r w:rsidR="006F3D0A">
          <w:rPr>
            <w:noProof/>
            <w:webHidden/>
          </w:rPr>
          <w:instrText xml:space="preserve"> PAGEREF _Toc530684691 \h </w:instrText>
        </w:r>
        <w:r w:rsidR="006F3D0A">
          <w:rPr>
            <w:noProof/>
            <w:webHidden/>
          </w:rPr>
        </w:r>
        <w:r w:rsidR="006F3D0A">
          <w:rPr>
            <w:noProof/>
            <w:webHidden/>
          </w:rPr>
          <w:fldChar w:fldCharType="separate"/>
        </w:r>
        <w:r w:rsidR="006F3D0A">
          <w:rPr>
            <w:noProof/>
            <w:webHidden/>
          </w:rPr>
          <w:t>143</w:t>
        </w:r>
        <w:r w:rsidR="006F3D0A">
          <w:rPr>
            <w:noProof/>
            <w:webHidden/>
          </w:rPr>
          <w:fldChar w:fldCharType="end"/>
        </w:r>
      </w:hyperlink>
    </w:p>
    <w:p w14:paraId="6E8BD00E" w14:textId="432F2FCA" w:rsidR="006F3D0A" w:rsidRDefault="00FF643F">
      <w:pPr>
        <w:pStyle w:val="TableofFigures"/>
        <w:tabs>
          <w:tab w:val="right" w:leader="dot" w:pos="9905"/>
        </w:tabs>
        <w:rPr>
          <w:noProof/>
          <w:lang w:eastAsia="en-GB"/>
        </w:rPr>
      </w:pPr>
      <w:hyperlink w:anchor="_Toc530684692" w:history="1">
        <w:r w:rsidR="006F3D0A" w:rsidRPr="008346D9">
          <w:rPr>
            <w:rStyle w:val="Hyperlink"/>
            <w:noProof/>
          </w:rPr>
          <w:t>Figure 6.24 System usability (post) and working alliance task (task) scatterplot</w:t>
        </w:r>
        <w:r w:rsidR="006F3D0A">
          <w:rPr>
            <w:noProof/>
            <w:webHidden/>
          </w:rPr>
          <w:tab/>
        </w:r>
        <w:r w:rsidR="006F3D0A">
          <w:rPr>
            <w:noProof/>
            <w:webHidden/>
          </w:rPr>
          <w:fldChar w:fldCharType="begin"/>
        </w:r>
        <w:r w:rsidR="006F3D0A">
          <w:rPr>
            <w:noProof/>
            <w:webHidden/>
          </w:rPr>
          <w:instrText xml:space="preserve"> PAGEREF _Toc530684692 \h </w:instrText>
        </w:r>
        <w:r w:rsidR="006F3D0A">
          <w:rPr>
            <w:noProof/>
            <w:webHidden/>
          </w:rPr>
        </w:r>
        <w:r w:rsidR="006F3D0A">
          <w:rPr>
            <w:noProof/>
            <w:webHidden/>
          </w:rPr>
          <w:fldChar w:fldCharType="separate"/>
        </w:r>
        <w:r w:rsidR="006F3D0A">
          <w:rPr>
            <w:noProof/>
            <w:webHidden/>
          </w:rPr>
          <w:t>144</w:t>
        </w:r>
        <w:r w:rsidR="006F3D0A">
          <w:rPr>
            <w:noProof/>
            <w:webHidden/>
          </w:rPr>
          <w:fldChar w:fldCharType="end"/>
        </w:r>
      </w:hyperlink>
    </w:p>
    <w:p w14:paraId="04B9ACBD" w14:textId="383B125B" w:rsidR="006F3D0A" w:rsidRDefault="00FF643F">
      <w:pPr>
        <w:pStyle w:val="TableofFigures"/>
        <w:tabs>
          <w:tab w:val="right" w:leader="dot" w:pos="9905"/>
        </w:tabs>
        <w:rPr>
          <w:noProof/>
          <w:lang w:eastAsia="en-GB"/>
        </w:rPr>
      </w:pPr>
      <w:hyperlink w:anchor="_Toc530684693" w:history="1">
        <w:r w:rsidR="006F3D0A" w:rsidRPr="008346D9">
          <w:rPr>
            <w:rStyle w:val="Hyperlink"/>
            <w:noProof/>
          </w:rPr>
          <w:t xml:space="preserve">Figure 6.25 System usability (post) and </w:t>
        </w:r>
        <w:r w:rsidR="006F3D0A" w:rsidRPr="008346D9">
          <w:rPr>
            <w:rStyle w:val="Hyperlink"/>
            <w:noProof/>
            <w:shd w:val="clear" w:color="auto" w:fill="FFFFFF"/>
          </w:rPr>
          <w:t xml:space="preserve">treatment </w:t>
        </w:r>
        <w:r w:rsidR="006F3D0A" w:rsidRPr="008346D9">
          <w:rPr>
            <w:rStyle w:val="Hyperlink"/>
            <w:noProof/>
          </w:rPr>
          <w:t>credibility (post) scatterplot</w:t>
        </w:r>
        <w:r w:rsidR="006F3D0A">
          <w:rPr>
            <w:noProof/>
            <w:webHidden/>
          </w:rPr>
          <w:tab/>
        </w:r>
        <w:r w:rsidR="006F3D0A">
          <w:rPr>
            <w:noProof/>
            <w:webHidden/>
          </w:rPr>
          <w:fldChar w:fldCharType="begin"/>
        </w:r>
        <w:r w:rsidR="006F3D0A">
          <w:rPr>
            <w:noProof/>
            <w:webHidden/>
          </w:rPr>
          <w:instrText xml:space="preserve"> PAGEREF _Toc530684693 \h </w:instrText>
        </w:r>
        <w:r w:rsidR="006F3D0A">
          <w:rPr>
            <w:noProof/>
            <w:webHidden/>
          </w:rPr>
        </w:r>
        <w:r w:rsidR="006F3D0A">
          <w:rPr>
            <w:noProof/>
            <w:webHidden/>
          </w:rPr>
          <w:fldChar w:fldCharType="separate"/>
        </w:r>
        <w:r w:rsidR="006F3D0A">
          <w:rPr>
            <w:noProof/>
            <w:webHidden/>
          </w:rPr>
          <w:t>145</w:t>
        </w:r>
        <w:r w:rsidR="006F3D0A">
          <w:rPr>
            <w:noProof/>
            <w:webHidden/>
          </w:rPr>
          <w:fldChar w:fldCharType="end"/>
        </w:r>
      </w:hyperlink>
    </w:p>
    <w:p w14:paraId="2102C29C" w14:textId="18B97F51" w:rsidR="007F2AE9" w:rsidRDefault="007F2AE9" w:rsidP="00124458">
      <w:pPr>
        <w:rPr>
          <w:rFonts w:ascii="TUOS Blake" w:hAnsi="TUOS Blake" w:hint="eastAsia"/>
        </w:rPr>
        <w:sectPr w:rsidR="007F2AE9" w:rsidSect="00452C07">
          <w:pgSz w:w="11900" w:h="16840"/>
          <w:pgMar w:top="851" w:right="851" w:bottom="851" w:left="1134" w:header="720" w:footer="720" w:gutter="0"/>
          <w:cols w:space="720"/>
          <w:docGrid w:linePitch="360"/>
        </w:sectPr>
      </w:pPr>
      <w:r>
        <w:rPr>
          <w:rFonts w:ascii="TUOS Blake" w:hAnsi="TUOS Blake"/>
        </w:rPr>
        <w:fldChar w:fldCharType="end"/>
      </w:r>
    </w:p>
    <w:p w14:paraId="0284498D" w14:textId="77777777" w:rsidR="0061653D" w:rsidRDefault="007F2AE9" w:rsidP="00A3163C">
      <w:pPr>
        <w:pStyle w:val="Heading1"/>
        <w:numPr>
          <w:ilvl w:val="0"/>
          <w:numId w:val="0"/>
        </w:numPr>
        <w:ind w:left="432" w:hanging="432"/>
      </w:pPr>
      <w:bookmarkStart w:id="11" w:name="_Toc530598096"/>
      <w:bookmarkStart w:id="12" w:name="_Toc530660449"/>
      <w:bookmarkStart w:id="13" w:name="_Toc3538041"/>
      <w:bookmarkStart w:id="14" w:name="_Hlk530557525"/>
      <w:r>
        <w:lastRenderedPageBreak/>
        <w:t>Acknowledgements</w:t>
      </w:r>
      <w:bookmarkEnd w:id="11"/>
      <w:bookmarkEnd w:id="12"/>
      <w:bookmarkEnd w:id="13"/>
    </w:p>
    <w:bookmarkEnd w:id="14"/>
    <w:p w14:paraId="2CB64392" w14:textId="4D93F7C6" w:rsidR="003F6293" w:rsidRDefault="003F6293" w:rsidP="003F6293">
      <w:pPr>
        <w:rPr>
          <w:lang w:eastAsia="en-GB"/>
        </w:rPr>
      </w:pPr>
      <w:r>
        <w:t xml:space="preserve">Firstly, I would like to express my sincere gratitude to my supervision team: Dr Abi Millings, Dr Stephen </w:t>
      </w:r>
      <w:proofErr w:type="spellStart"/>
      <w:r>
        <w:t>Kellet</w:t>
      </w:r>
      <w:proofErr w:type="spellEnd"/>
      <w:r>
        <w:t xml:space="preserve">, Prof Gillian </w:t>
      </w:r>
      <w:r w:rsidR="00C513F2">
        <w:t>Hardy</w:t>
      </w:r>
      <w:r>
        <w:t xml:space="preserve"> and Prof Roger Moore for their continuous support throughout my PhD, for their patience, motivation, and immense knowledge</w:t>
      </w:r>
      <w:r w:rsidR="00554CB4">
        <w:t xml:space="preserve">.  </w:t>
      </w:r>
      <w:r>
        <w:rPr>
          <w:lang w:eastAsia="en-GB"/>
        </w:rPr>
        <w:t xml:space="preserve">I’d </w:t>
      </w:r>
      <w:r>
        <w:t xml:space="preserve">also like to express my sincere gratitude to </w:t>
      </w:r>
      <w:r>
        <w:rPr>
          <w:lang w:eastAsia="en-GB"/>
        </w:rPr>
        <w:t>Dr Warren Mansell for allowing me to use his software</w:t>
      </w:r>
      <w:r w:rsidRPr="00E7117E">
        <w:rPr>
          <w:lang w:eastAsia="en-GB"/>
        </w:rPr>
        <w:t xml:space="preserve"> </w:t>
      </w:r>
      <w:r>
        <w:rPr>
          <w:lang w:eastAsia="en-GB"/>
        </w:rPr>
        <w:t>MYLO.</w:t>
      </w:r>
    </w:p>
    <w:p w14:paraId="674B001E" w14:textId="6C985C74" w:rsidR="003F6293" w:rsidRDefault="003F6293" w:rsidP="003F6293">
      <w:proofErr w:type="gramStart"/>
      <w:r w:rsidRPr="008B067B">
        <w:rPr>
          <w:noProof/>
        </w:rPr>
        <w:t>I</w:t>
      </w:r>
      <w:r>
        <w:rPr>
          <w:noProof/>
        </w:rPr>
        <w:t xml:space="preserve"> want</w:t>
      </w:r>
      <w:r>
        <w:t xml:space="preserve"> to thank with all my heart my other half and cheerleader, Vicky </w:t>
      </w:r>
      <w:proofErr w:type="spellStart"/>
      <w:r>
        <w:t>Hackley</w:t>
      </w:r>
      <w:proofErr w:type="spellEnd"/>
      <w:r w:rsidR="007C5971">
        <w:t>, t</w:t>
      </w:r>
      <w:r>
        <w:t xml:space="preserve">o whom I owe this entire PhD, who has supported me and been </w:t>
      </w:r>
      <w:r w:rsidRPr="00640E0D">
        <w:rPr>
          <w:noProof/>
        </w:rPr>
        <w:t xml:space="preserve">a </w:t>
      </w:r>
      <w:r>
        <w:t>voice of reason when things have got tough.</w:t>
      </w:r>
      <w:proofErr w:type="gramEnd"/>
    </w:p>
    <w:p w14:paraId="4350750F" w14:textId="3DC0842C" w:rsidR="003F6293" w:rsidRDefault="003F6293" w:rsidP="003F6293">
      <w:r>
        <w:t xml:space="preserve">I am grateful to my mother Liz Bennion, my sister Dr Amy </w:t>
      </w:r>
      <w:r w:rsidR="005B0320">
        <w:t>Burton</w:t>
      </w:r>
      <w:r>
        <w:t xml:space="preserve">, my brother-in-law Matt Burton and my </w:t>
      </w:r>
      <w:proofErr w:type="gramStart"/>
      <w:r>
        <w:t>nan</w:t>
      </w:r>
      <w:proofErr w:type="gramEnd"/>
      <w:r>
        <w:t xml:space="preserve"> </w:t>
      </w:r>
      <w:r w:rsidRPr="008650C0">
        <w:t>Margaret Pirie</w:t>
      </w:r>
      <w:r w:rsidR="00992BF7">
        <w:t>,</w:t>
      </w:r>
      <w:r>
        <w:t xml:space="preserve"> who have all </w:t>
      </w:r>
      <w:r>
        <w:rPr>
          <w:noProof/>
        </w:rPr>
        <w:t>supported me</w:t>
      </w:r>
      <w:r>
        <w:t xml:space="preserve"> throughout this process.  I now understand how tough a PhD is and have even more respect for my sister and her achievements.  </w:t>
      </w:r>
      <w:r w:rsidRPr="00640E0D">
        <w:rPr>
          <w:noProof/>
        </w:rPr>
        <w:t>I</w:t>
      </w:r>
      <w:r>
        <w:rPr>
          <w:noProof/>
        </w:rPr>
        <w:t xml:space="preserve"> want</w:t>
      </w:r>
      <w:r>
        <w:t xml:space="preserve"> to thank my father Lindsay Bennion and his wife, </w:t>
      </w:r>
      <w:r w:rsidRPr="008B067B">
        <w:rPr>
          <w:noProof/>
        </w:rPr>
        <w:t>Esther</w:t>
      </w:r>
      <w:r>
        <w:t xml:space="preserve">.  </w:t>
      </w:r>
      <w:r w:rsidRPr="008B067B">
        <w:rPr>
          <w:noProof/>
        </w:rPr>
        <w:t>I</w:t>
      </w:r>
      <w:r>
        <w:rPr>
          <w:noProof/>
        </w:rPr>
        <w:t xml:space="preserve"> </w:t>
      </w:r>
      <w:r w:rsidR="00992BF7">
        <w:rPr>
          <w:noProof/>
        </w:rPr>
        <w:t xml:space="preserve">also </w:t>
      </w:r>
      <w:r>
        <w:rPr>
          <w:noProof/>
        </w:rPr>
        <w:t>want</w:t>
      </w:r>
      <w:r>
        <w:t xml:space="preserve"> to express how grateful I am to have had the support of my family: The</w:t>
      </w:r>
      <w:r w:rsidRPr="008650C0">
        <w:t xml:space="preserve"> </w:t>
      </w:r>
      <w:r w:rsidRPr="008B067B">
        <w:rPr>
          <w:noProof/>
        </w:rPr>
        <w:t>Allards</w:t>
      </w:r>
      <w:r w:rsidRPr="008650C0">
        <w:t xml:space="preserve">, </w:t>
      </w:r>
      <w:r>
        <w:t xml:space="preserve">The </w:t>
      </w:r>
      <w:r w:rsidRPr="008B067B">
        <w:rPr>
          <w:noProof/>
        </w:rPr>
        <w:t>Sadelaars</w:t>
      </w:r>
      <w:r w:rsidRPr="008650C0">
        <w:t xml:space="preserve">, </w:t>
      </w:r>
      <w:r>
        <w:t>The</w:t>
      </w:r>
      <w:r w:rsidRPr="008650C0">
        <w:t xml:space="preserve"> Betts</w:t>
      </w:r>
      <w:r w:rsidR="00992BF7">
        <w:t xml:space="preserve"> and</w:t>
      </w:r>
      <w:r>
        <w:t xml:space="preserve"> The</w:t>
      </w:r>
      <w:r w:rsidRPr="008650C0">
        <w:t xml:space="preserve"> </w:t>
      </w:r>
      <w:proofErr w:type="spellStart"/>
      <w:r w:rsidRPr="008650C0">
        <w:t>Bennion</w:t>
      </w:r>
      <w:r>
        <w:t>s</w:t>
      </w:r>
      <w:proofErr w:type="spellEnd"/>
      <w:r>
        <w:t xml:space="preserve">.  </w:t>
      </w:r>
      <w:proofErr w:type="gramStart"/>
      <w:r>
        <w:t>A special thank you to my cousin Stuart Betts who checked in on me from time to time with words of encouragement.</w:t>
      </w:r>
      <w:proofErr w:type="gramEnd"/>
    </w:p>
    <w:p w14:paraId="00A7AB73" w14:textId="4EEF51C6" w:rsidR="003F6293" w:rsidRDefault="003F6293" w:rsidP="003F6293">
      <w:r w:rsidRPr="00640E0D">
        <w:rPr>
          <w:noProof/>
        </w:rPr>
        <w:t>I</w:t>
      </w:r>
      <w:r>
        <w:rPr>
          <w:noProof/>
        </w:rPr>
        <w:t xml:space="preserve"> want</w:t>
      </w:r>
      <w:r>
        <w:t xml:space="preserve"> to thank my close friends for their support: </w:t>
      </w:r>
      <w:r w:rsidRPr="00640E0D">
        <w:t xml:space="preserve">Andrew Morris, Ashley Horne, Cameron Isaacs, Damien </w:t>
      </w:r>
      <w:proofErr w:type="spellStart"/>
      <w:r w:rsidRPr="00640E0D">
        <w:t>Honeyford</w:t>
      </w:r>
      <w:proofErr w:type="spellEnd"/>
      <w:r w:rsidRPr="00640E0D">
        <w:t>, Dan Beresford</w:t>
      </w:r>
      <w:r>
        <w:t>,</w:t>
      </w:r>
      <w:r w:rsidRPr="00640E0D">
        <w:t xml:space="preserve"> David </w:t>
      </w:r>
      <w:proofErr w:type="spellStart"/>
      <w:r w:rsidRPr="00640E0D">
        <w:t>Mottershead</w:t>
      </w:r>
      <w:proofErr w:type="spellEnd"/>
      <w:r w:rsidRPr="00640E0D">
        <w:t xml:space="preserve">, Gemma &amp; Paul Salmon, John Owen, Leanne Beresford, Nathan Rhodes, Nick Martin, Paul </w:t>
      </w:r>
      <w:proofErr w:type="spellStart"/>
      <w:r w:rsidRPr="00640E0D">
        <w:t>Fullard</w:t>
      </w:r>
      <w:proofErr w:type="spellEnd"/>
      <w:r w:rsidRPr="00640E0D">
        <w:t>, Ross Spencer</w:t>
      </w:r>
      <w:r>
        <w:t xml:space="preserve"> and </w:t>
      </w:r>
      <w:r w:rsidRPr="00D21654">
        <w:t>Rob Evans</w:t>
      </w:r>
      <w:r>
        <w:t xml:space="preserve"> (Thank you for creating all those logos Rob!).  I’d also like to thank these charitable souls</w:t>
      </w:r>
      <w:r w:rsidRPr="002432FB">
        <w:t xml:space="preserve">: </w:t>
      </w:r>
      <w:r w:rsidRPr="008650C0">
        <w:t xml:space="preserve">April </w:t>
      </w:r>
      <w:proofErr w:type="spellStart"/>
      <w:r w:rsidRPr="008650C0">
        <w:t>Corum</w:t>
      </w:r>
      <w:proofErr w:type="spellEnd"/>
      <w:r w:rsidRPr="008650C0">
        <w:t xml:space="preserve">, Carolyn Fletcher, Gemma Downward, </w:t>
      </w:r>
      <w:proofErr w:type="spellStart"/>
      <w:r w:rsidRPr="008650C0">
        <w:t>Gokhan</w:t>
      </w:r>
      <w:proofErr w:type="spellEnd"/>
      <w:r w:rsidRPr="008650C0">
        <w:t xml:space="preserve"> </w:t>
      </w:r>
      <w:proofErr w:type="spellStart"/>
      <w:r w:rsidRPr="008650C0">
        <w:t>Yavuz</w:t>
      </w:r>
      <w:proofErr w:type="spellEnd"/>
      <w:r w:rsidRPr="008650C0">
        <w:t>,</w:t>
      </w:r>
      <w:r>
        <w:t xml:space="preserve"> </w:t>
      </w:r>
      <w:proofErr w:type="gramStart"/>
      <w:r w:rsidRPr="008650C0">
        <w:t>Nicole</w:t>
      </w:r>
      <w:proofErr w:type="gramEnd"/>
      <w:r w:rsidRPr="008650C0">
        <w:t xml:space="preserve"> Phillips</w:t>
      </w:r>
      <w:r w:rsidRPr="002432FB">
        <w:t>.</w:t>
      </w:r>
    </w:p>
    <w:p w14:paraId="3B691CF1" w14:textId="7BAFA46F" w:rsidR="003F6293" w:rsidRDefault="003F6293" w:rsidP="003F6293">
      <w:pPr>
        <w:rPr>
          <w:noProof/>
          <w:lang w:eastAsia="en-GB"/>
        </w:rPr>
      </w:pPr>
      <w:r>
        <w:rPr>
          <w:noProof/>
        </w:rPr>
        <w:t>My appreciation</w:t>
      </w:r>
      <w:r>
        <w:t xml:space="preserve"> goes to Sheffield University, the Psychology department and CATCH for providing the funding and facilities </w:t>
      </w:r>
      <w:r>
        <w:rPr>
          <w:noProof/>
        </w:rPr>
        <w:t>for carrying</w:t>
      </w:r>
      <w:r w:rsidRPr="00547522">
        <w:rPr>
          <w:noProof/>
        </w:rPr>
        <w:t xml:space="preserve"> out my research</w:t>
      </w:r>
      <w:r w:rsidR="00554CB4">
        <w:t xml:space="preserve">.  </w:t>
      </w:r>
      <w:r>
        <w:t>I’d also like to give special mention to my university colleagues</w:t>
      </w:r>
      <w:r w:rsidRPr="000729BC">
        <w:t xml:space="preserve">: </w:t>
      </w:r>
      <w:r w:rsidRPr="00640E0D">
        <w:rPr>
          <w:noProof/>
        </w:rPr>
        <w:t>Dr</w:t>
      </w:r>
      <w:r w:rsidRPr="000729BC">
        <w:t xml:space="preserve"> Jake Andrews</w:t>
      </w:r>
      <w:r>
        <w:t xml:space="preserve">, </w:t>
      </w:r>
      <w:r w:rsidRPr="000729BC">
        <w:t>David Clayton</w:t>
      </w:r>
      <w:r>
        <w:t xml:space="preserve">, </w:t>
      </w:r>
      <w:r w:rsidRPr="00B727FD">
        <w:t>Jodie Stevenson</w:t>
      </w:r>
      <w:r>
        <w:t xml:space="preserve">, </w:t>
      </w:r>
      <w:r w:rsidRPr="00547522">
        <w:t xml:space="preserve">Elaine Clarke, James Brookes, Justina </w:t>
      </w:r>
      <w:proofErr w:type="spellStart"/>
      <w:r w:rsidRPr="00547522">
        <w:t>Mischewski</w:t>
      </w:r>
      <w:proofErr w:type="spellEnd"/>
      <w:r w:rsidRPr="00547522">
        <w:t xml:space="preserve">, Mel Simmonds-Buckley, </w:t>
      </w:r>
      <w:proofErr w:type="spellStart"/>
      <w:r w:rsidRPr="00547522">
        <w:t>Rhiânan</w:t>
      </w:r>
      <w:proofErr w:type="spellEnd"/>
      <w:r w:rsidRPr="00547522">
        <w:t xml:space="preserve"> Ellis</w:t>
      </w:r>
      <w:r>
        <w:t xml:space="preserve"> and Dr Emma </w:t>
      </w:r>
      <w:proofErr w:type="spellStart"/>
      <w:r>
        <w:t>Broglia</w:t>
      </w:r>
      <w:proofErr w:type="spellEnd"/>
      <w:r>
        <w:t xml:space="preserve">.  </w:t>
      </w:r>
      <w:r w:rsidRPr="00B54E74">
        <w:rPr>
          <w:lang w:eastAsia="en-GB"/>
        </w:rPr>
        <w:t xml:space="preserve">I am also grateful to the following staff: </w:t>
      </w:r>
      <w:r>
        <w:rPr>
          <w:lang w:eastAsia="en-GB"/>
        </w:rPr>
        <w:t xml:space="preserve">Dr Stephen Potter, </w:t>
      </w:r>
      <w:r w:rsidRPr="00547522">
        <w:rPr>
          <w:lang w:eastAsia="en-GB"/>
        </w:rPr>
        <w:t>Dr Katherine Easton</w:t>
      </w:r>
      <w:r>
        <w:rPr>
          <w:lang w:eastAsia="en-GB"/>
        </w:rPr>
        <w:t xml:space="preserve"> and Dr </w:t>
      </w:r>
      <w:r w:rsidRPr="00D21654">
        <w:rPr>
          <w:lang w:eastAsia="en-GB"/>
        </w:rPr>
        <w:t xml:space="preserve">Michael </w:t>
      </w:r>
      <w:proofErr w:type="spellStart"/>
      <w:r w:rsidRPr="00D21654">
        <w:rPr>
          <w:lang w:eastAsia="en-GB"/>
        </w:rPr>
        <w:t>Batashvili</w:t>
      </w:r>
      <w:proofErr w:type="spellEnd"/>
      <w:r w:rsidRPr="00547522">
        <w:rPr>
          <w:lang w:eastAsia="en-GB"/>
        </w:rPr>
        <w:t xml:space="preserve"> </w:t>
      </w:r>
      <w:r w:rsidRPr="00B54E74">
        <w:rPr>
          <w:lang w:eastAsia="en-GB"/>
        </w:rPr>
        <w:t>for their unfailing support and assistance</w:t>
      </w:r>
      <w:r>
        <w:rPr>
          <w:lang w:eastAsia="en-GB"/>
        </w:rPr>
        <w:t>.</w:t>
      </w:r>
    </w:p>
    <w:p w14:paraId="4A880BF0" w14:textId="73051FD1" w:rsidR="003F6293" w:rsidRPr="00B54E74" w:rsidRDefault="003F6293" w:rsidP="003F6293">
      <w:pPr>
        <w:rPr>
          <w:lang w:eastAsia="en-GB"/>
        </w:rPr>
      </w:pPr>
      <w:r w:rsidRPr="00572173">
        <w:rPr>
          <w:noProof/>
          <w:lang w:eastAsia="en-GB"/>
        </w:rPr>
        <w:t xml:space="preserve">There have been times </w:t>
      </w:r>
      <w:r w:rsidR="00992BF7">
        <w:rPr>
          <w:noProof/>
          <w:lang w:eastAsia="en-GB"/>
        </w:rPr>
        <w:t xml:space="preserve">when </w:t>
      </w:r>
      <w:r w:rsidRPr="00572173">
        <w:rPr>
          <w:noProof/>
          <w:lang w:eastAsia="en-GB"/>
        </w:rPr>
        <w:t xml:space="preserve">I have doubted my capabilities as a dyslexic.  </w:t>
      </w:r>
      <w:r w:rsidRPr="003C3F05">
        <w:rPr>
          <w:noProof/>
          <w:lang w:eastAsia="en-GB"/>
        </w:rPr>
        <w:t xml:space="preserve">I owe a great deal of </w:t>
      </w:r>
      <w:r w:rsidRPr="003C3F05">
        <w:rPr>
          <w:noProof/>
        </w:rPr>
        <w:t>gratitude to the following:  Dr Harriet Cameron</w:t>
      </w:r>
      <w:r>
        <w:rPr>
          <w:noProof/>
        </w:rPr>
        <w:t>,</w:t>
      </w:r>
      <w:r w:rsidRPr="003C3F05">
        <w:rPr>
          <w:noProof/>
        </w:rPr>
        <w:t xml:space="preserve"> Daniel Tudhope</w:t>
      </w:r>
      <w:r>
        <w:rPr>
          <w:noProof/>
        </w:rPr>
        <w:t xml:space="preserve"> </w:t>
      </w:r>
      <w:r w:rsidRPr="003C3F05">
        <w:rPr>
          <w:noProof/>
        </w:rPr>
        <w:t xml:space="preserve">and </w:t>
      </w:r>
      <w:r w:rsidRPr="003C3F05">
        <w:rPr>
          <w:noProof/>
          <w:lang w:eastAsia="en-GB"/>
        </w:rPr>
        <w:t>Trevor Owen</w:t>
      </w:r>
      <w:r>
        <w:rPr>
          <w:noProof/>
          <w:lang w:eastAsia="en-GB"/>
        </w:rPr>
        <w:t>.</w:t>
      </w:r>
    </w:p>
    <w:p w14:paraId="603ED8F1" w14:textId="13A378E1" w:rsidR="003F6293" w:rsidRDefault="003F6293" w:rsidP="003F6293">
      <w:pPr>
        <w:rPr>
          <w:lang w:eastAsia="en-GB"/>
        </w:rPr>
      </w:pPr>
      <w:r>
        <w:rPr>
          <w:lang w:eastAsia="en-GB"/>
        </w:rPr>
        <w:t>F</w:t>
      </w:r>
      <w:r w:rsidRPr="00B54E74">
        <w:rPr>
          <w:lang w:eastAsia="en-GB"/>
        </w:rPr>
        <w:t xml:space="preserve">inally, </w:t>
      </w:r>
      <w:r>
        <w:rPr>
          <w:lang w:eastAsia="en-GB"/>
        </w:rPr>
        <w:t xml:space="preserve">I’d like to dedicate this thesis in memory of three </w:t>
      </w:r>
      <w:r w:rsidRPr="002B53CD">
        <w:rPr>
          <w:noProof/>
          <w:lang w:eastAsia="en-GB"/>
        </w:rPr>
        <w:t>people</w:t>
      </w:r>
      <w:r>
        <w:rPr>
          <w:noProof/>
          <w:lang w:eastAsia="en-GB"/>
        </w:rPr>
        <w:t>:</w:t>
      </w:r>
      <w:r w:rsidRPr="002B53CD">
        <w:rPr>
          <w:noProof/>
          <w:lang w:eastAsia="en-GB"/>
        </w:rPr>
        <w:t xml:space="preserve"> my</w:t>
      </w:r>
      <w:r>
        <w:rPr>
          <w:lang w:eastAsia="en-GB"/>
        </w:rPr>
        <w:t xml:space="preserve"> grandfather’s John Pirie, </w:t>
      </w:r>
      <w:r w:rsidRPr="00547522">
        <w:rPr>
          <w:noProof/>
          <w:lang w:eastAsia="en-GB"/>
        </w:rPr>
        <w:t>and</w:t>
      </w:r>
      <w:r>
        <w:rPr>
          <w:lang w:eastAsia="en-GB"/>
        </w:rPr>
        <w:t xml:space="preserve"> Owen Bennion who were both </w:t>
      </w:r>
      <w:r w:rsidRPr="00547522">
        <w:rPr>
          <w:noProof/>
          <w:lang w:eastAsia="en-GB"/>
        </w:rPr>
        <w:t>inspiration</w:t>
      </w:r>
      <w:r>
        <w:rPr>
          <w:noProof/>
          <w:lang w:eastAsia="en-GB"/>
        </w:rPr>
        <w:t>al</w:t>
      </w:r>
      <w:r>
        <w:rPr>
          <w:lang w:eastAsia="en-GB"/>
        </w:rPr>
        <w:t xml:space="preserve"> to me, and my old NHS manager Martin Bell who</w:t>
      </w:r>
      <w:r w:rsidR="00992BF7">
        <w:rPr>
          <w:lang w:eastAsia="en-GB"/>
        </w:rPr>
        <w:t>m</w:t>
      </w:r>
      <w:r>
        <w:rPr>
          <w:lang w:eastAsia="en-GB"/>
        </w:rPr>
        <w:t xml:space="preserve"> helped fund my MSc and supported </w:t>
      </w:r>
      <w:r w:rsidR="00992BF7">
        <w:rPr>
          <w:lang w:eastAsia="en-GB"/>
        </w:rPr>
        <w:t xml:space="preserve">the </w:t>
      </w:r>
      <w:r>
        <w:rPr>
          <w:lang w:eastAsia="en-GB"/>
        </w:rPr>
        <w:t xml:space="preserve">proposal for my initial </w:t>
      </w:r>
      <w:r>
        <w:rPr>
          <w:noProof/>
          <w:lang w:eastAsia="en-GB"/>
        </w:rPr>
        <w:t>suggestion</w:t>
      </w:r>
      <w:r>
        <w:rPr>
          <w:lang w:eastAsia="en-GB"/>
        </w:rPr>
        <w:t xml:space="preserve"> of a cross organisation-based PhD.</w:t>
      </w:r>
    </w:p>
    <w:p w14:paraId="66157ED3" w14:textId="77777777" w:rsidR="003F6293" w:rsidRDefault="003F6293" w:rsidP="003F6293">
      <w:r w:rsidRPr="00B54E74">
        <w:rPr>
          <w:lang w:eastAsia="en-GB"/>
        </w:rPr>
        <w:t>Thanks for all your encouragement!</w:t>
      </w:r>
    </w:p>
    <w:p w14:paraId="4FABE7FE" w14:textId="258CEC22" w:rsidR="003F6293" w:rsidRDefault="003F6293" w:rsidP="00B54E74">
      <w:pPr>
        <w:rPr>
          <w:lang w:eastAsia="en-GB"/>
        </w:rPr>
        <w:sectPr w:rsidR="003F6293" w:rsidSect="00452C07">
          <w:pgSz w:w="11906" w:h="16838"/>
          <w:pgMar w:top="851" w:right="851" w:bottom="851" w:left="1134" w:header="709" w:footer="709" w:gutter="0"/>
          <w:cols w:space="708"/>
          <w:docGrid w:linePitch="360"/>
        </w:sectPr>
      </w:pPr>
    </w:p>
    <w:p w14:paraId="23A12F63" w14:textId="77777777" w:rsidR="00CB2377" w:rsidRDefault="0061653D" w:rsidP="00E31AB0">
      <w:pPr>
        <w:pStyle w:val="Heading1"/>
        <w:numPr>
          <w:ilvl w:val="0"/>
          <w:numId w:val="8"/>
        </w:numPr>
      </w:pPr>
      <w:bookmarkStart w:id="15" w:name="_Toc530598098"/>
      <w:bookmarkStart w:id="16" w:name="_Toc530660451"/>
      <w:bookmarkStart w:id="17" w:name="_Toc3538042"/>
      <w:r w:rsidRPr="00850FC3">
        <w:lastRenderedPageBreak/>
        <w:t xml:space="preserve">General </w:t>
      </w:r>
      <w:r w:rsidR="00EE39FF">
        <w:t>I</w:t>
      </w:r>
      <w:r w:rsidRPr="00850FC3">
        <w:t>ntroduction</w:t>
      </w:r>
      <w:bookmarkEnd w:id="15"/>
      <w:bookmarkEnd w:id="16"/>
      <w:bookmarkEnd w:id="17"/>
    </w:p>
    <w:p w14:paraId="08A6873B" w14:textId="77777777" w:rsidR="002B4CFD" w:rsidRDefault="002B4CFD" w:rsidP="002B4CFD">
      <w:pPr>
        <w:pStyle w:val="Heading2"/>
        <w:numPr>
          <w:ilvl w:val="1"/>
          <w:numId w:val="29"/>
        </w:numPr>
      </w:pPr>
      <w:bookmarkStart w:id="18" w:name="_Toc3538043"/>
      <w:r w:rsidRPr="00850FC3">
        <w:t>Introduction</w:t>
      </w:r>
      <w:bookmarkEnd w:id="18"/>
    </w:p>
    <w:p w14:paraId="779E8D5D" w14:textId="77777777" w:rsidR="002B4CFD" w:rsidRPr="003151C7" w:rsidRDefault="002B4CFD" w:rsidP="002B4CFD">
      <w:r>
        <w:t xml:space="preserve">This thesis presents a program of work designed to explore ways in which e-therapy interfaces can be designed and enhanced to increase usability and acceptability in older adults.  </w:t>
      </w:r>
      <w:r>
        <w:rPr>
          <w:shd w:val="clear" w:color="auto" w:fill="FFFFFF"/>
        </w:rPr>
        <w:t>This introductory chapter summarises the current state of play regarding NHS mental health services for older adults with common mental health problems.</w:t>
      </w:r>
    </w:p>
    <w:p w14:paraId="18A22C10" w14:textId="77777777" w:rsidR="002B4CFD" w:rsidRDefault="002B4CFD" w:rsidP="002B4CFD">
      <w:pPr>
        <w:pStyle w:val="Heading3"/>
        <w:numPr>
          <w:ilvl w:val="2"/>
          <w:numId w:val="29"/>
        </w:numPr>
      </w:pPr>
      <w:bookmarkStart w:id="19" w:name="_Toc3538044"/>
      <w:r>
        <w:t>Mental Health</w:t>
      </w:r>
      <w:bookmarkEnd w:id="19"/>
    </w:p>
    <w:p w14:paraId="20811E48" w14:textId="6473D7BF" w:rsidR="002B4CFD" w:rsidRDefault="002B4CFD" w:rsidP="002B4CFD">
      <w:r>
        <w:t xml:space="preserve">It is estimated that one in four people in the UK </w:t>
      </w:r>
      <w:r w:rsidRPr="00CE2C65">
        <w:rPr>
          <w:noProof/>
        </w:rPr>
        <w:t>experience</w:t>
      </w:r>
      <w:r>
        <w:rPr>
          <w:noProof/>
        </w:rPr>
        <w:t>s</w:t>
      </w:r>
      <w:r>
        <w:t xml:space="preserve"> a mental health problem </w:t>
      </w:r>
      <w:r>
        <w:fldChar w:fldCharType="begin" w:fldLock="1"/>
      </w:r>
      <w:r>
        <w:instrText>ADDIN CSL_CITATION {"citationItems":[{"id":"ITEM-1","itemData":{"DOI":"10.13140/2.1.1563.5205","ISBN":"9781904599944","abstract":"The survey reported here is the third general population survey of adults and examines trends over the last 15 years. It is innovative in that it has added newquestions on eating disorder, attention deficient hyperactivity disorder, posttraumatic stress disorder and problemgambling: a proactive response to themental health issues of our time. Again, this proves the ability of The NHS Information Centre to provide appropriate information befitting of national concerns to improve care received and the targeting of resources effectively.","author":[{"dropping-particle":"","family":"McManus","given":"Sally","non-dropping-particle":"","parse-names":false,"suffix":""},{"dropping-particle":"","family":"Meltzer","given":"Howard","non-dropping-particle":"","parse-names":false,"suffix":""},{"dropping-particle":"","family":"Brugha","given":"Ts Traolach","non-dropping-particle":"","parse-names":false,"suffix":""},{"dropping-particle":"","family":"Bebbington","given":"Pe Paul","non-dropping-particle":"","parse-names":false,"suffix":""},{"dropping-particle":"","family":"Jenkins","given":"Rachel","non-dropping-particle":"","parse-names":false,"suffix":""}],"container-title":"The Health and Social Care Information Centre, Social Care Statistics.","id":"ITEM-1","issued":{"date-parts":[["2009"]]},"number-of-pages":"1-274","title":"Adult psychiatric morbidity in England, 2007 Results of a household survey","type":"book"},"uris":["http://www.mendeley.com/documents/?uuid=55883cfb-24a5-46a6-9bca-d9352cce49de"]}],"mendeley":{"formattedCitation":"(McManus &lt;i&gt;et al.&lt;/i&gt;, 2009)","plainTextFormattedCitation":"(McManus et al., 2009)","previouslyFormattedCitation":"(McManus &lt;i&gt;et al.&lt;/i&gt;, 2009)"},"properties":{"noteIndex":0},"schema":"https://github.com/citation-style-language/schema/raw/master/csl-citation.json"}</w:instrText>
      </w:r>
      <w:r>
        <w:fldChar w:fldCharType="separate"/>
      </w:r>
      <w:r w:rsidRPr="00150B80">
        <w:rPr>
          <w:noProof/>
        </w:rPr>
        <w:t xml:space="preserve">(McManus </w:t>
      </w:r>
      <w:r w:rsidRPr="00150B80">
        <w:rPr>
          <w:i/>
          <w:noProof/>
        </w:rPr>
        <w:t>et al.</w:t>
      </w:r>
      <w:r w:rsidRPr="00150B80">
        <w:rPr>
          <w:noProof/>
        </w:rPr>
        <w:t>, 2009)</w:t>
      </w:r>
      <w:r>
        <w:fldChar w:fldCharType="end"/>
      </w:r>
      <w:r>
        <w:t xml:space="preserve"> and that one in six </w:t>
      </w:r>
      <w:r w:rsidRPr="00CE2C65">
        <w:rPr>
          <w:noProof/>
        </w:rPr>
        <w:t>report</w:t>
      </w:r>
      <w:r>
        <w:rPr>
          <w:noProof/>
        </w:rPr>
        <w:t>s</w:t>
      </w:r>
      <w:r>
        <w:t xml:space="preserve"> experiencing a common mental health problem such as anxiety or depression in any given week </w:t>
      </w:r>
      <w:r>
        <w:fldChar w:fldCharType="begin" w:fldLock="1"/>
      </w:r>
      <w:r>
        <w:instrText>ADDIN CSL_CITATION {"citationItems":[{"id":"ITEM-1","itemData":{"ISBN":"9780470384725 0470384727 9780470384947 0470384948","abstract":"The Adult Psychiatric Morbidity Survey (APMS) provides England’s National Statistics for the monitoring of mental illness and treatment access in the household population. The data series is unique and valuable because: • A range of mental disorders, substance disorders and self-harm behaviours is covered. • High quality screening and assessment tools are used and undiagnosed conditions identified. One adult in six had a common mental disorder (CMD): about one woman in five and one man in eight. Since 2000, overall rates of CMD in England steadily increased in women and remained largely stable in men","author":[{"dropping-particle":"","family":"McManus","given":"Sally","non-dropping-particle":"","parse-names":false,"suffix":""},{"dropping-particle":"","family":"Bebbington","given":"P","non-dropping-particle":"","parse-names":false,"suffix":""},{"dropping-particle":"","family":"Jenkins","given":"R","non-dropping-particle":"","parse-names":false,"suffix":""},{"dropping-particle":"","family":"Brugha","given":"T","non-dropping-particle":"","parse-names":false,"suffix":""}],"id":"ITEM-1","issued":{"date-parts":[["2016"]]},"number-of-pages":"1-405","title":"Mental health and wellbeing in England: Adult Psychiatric Morbidity Survey 2014","type":"report"},"uris":["http://www.mendeley.com/documents/?uuid=decee828-6bc1-3960-8a38-9ab7a8c601e8"]}],"mendeley":{"formattedCitation":"(McManus &lt;i&gt;et al.&lt;/i&gt;, 2016)","plainTextFormattedCitation":"(McManus et al., 2016)","previouslyFormattedCitation":"(McManus &lt;i&gt;et al.&lt;/i&gt;, 2016)"},"properties":{"noteIndex":0},"schema":"https://github.com/citation-style-language/schema/raw/master/csl-citation.json"}</w:instrText>
      </w:r>
      <w:r>
        <w:fldChar w:fldCharType="separate"/>
      </w:r>
      <w:r w:rsidRPr="00D6199E">
        <w:rPr>
          <w:noProof/>
        </w:rPr>
        <w:t xml:space="preserve">(McManus </w:t>
      </w:r>
      <w:r w:rsidRPr="00D6199E">
        <w:rPr>
          <w:i/>
          <w:noProof/>
        </w:rPr>
        <w:t>et al.</w:t>
      </w:r>
      <w:r w:rsidRPr="00D6199E">
        <w:rPr>
          <w:noProof/>
        </w:rPr>
        <w:t>, 2016)</w:t>
      </w:r>
      <w:r>
        <w:fldChar w:fldCharType="end"/>
      </w:r>
      <w:r>
        <w:t xml:space="preserve">.  However, there are still wide </w:t>
      </w:r>
      <w:r w:rsidR="00035ABE">
        <w:t>in</w:t>
      </w:r>
      <w:r>
        <w:t>equalities in accessing mental health care across England.  Reports show that approximately</w:t>
      </w:r>
      <w:r w:rsidR="00035ABE">
        <w:t xml:space="preserve"> only</w:t>
      </w:r>
      <w:r>
        <w:t xml:space="preserve"> 1 in 8 adults with a mental health problem currently </w:t>
      </w:r>
      <w:r w:rsidRPr="00CE2C65">
        <w:rPr>
          <w:noProof/>
        </w:rPr>
        <w:t>receive</w:t>
      </w:r>
      <w:r>
        <w:rPr>
          <w:noProof/>
        </w:rPr>
        <w:t>s</w:t>
      </w:r>
      <w:r>
        <w:t xml:space="preserve"> treatment and that medication is the most common type of treatment for a mental health problem </w:t>
      </w:r>
      <w:r>
        <w:fldChar w:fldCharType="begin" w:fldLock="1"/>
      </w:r>
      <w:r>
        <w:instrText>ADDIN CSL_CITATION {"citationItems":[{"id":"ITEM-1","itemData":{"ISBN":"9780470384725 0470384727 9780470384947 0470384948","abstract":"The Adult Psychiatric Morbidity Survey (APMS) provides England’s National Statistics for the monitoring of mental illness and treatment access in the household population. The data series is unique and valuable because: • A range of mental disorders, substance disorders and self-harm behaviours is covered. • High quality screening and assessment tools are used and undiagnosed conditions identified. One adult in six had a common mental disorder (CMD): about one woman in five and one man in eight. Since 2000, overall rates of CMD in England steadily increased in women and remained largely stable in men","author":[{"dropping-particle":"","family":"McManus","given":"Sally","non-dropping-particle":"","parse-names":false,"suffix":""},{"dropping-particle":"","family":"Bebbington","given":"P","non-dropping-particle":"","parse-names":false,"suffix":""},{"dropping-particle":"","family":"Jenkins","given":"R","non-dropping-particle":"","parse-names":false,"suffix":""},{"dropping-particle":"","family":"Brugha","given":"T","non-dropping-particle":"","parse-names":false,"suffix":""}],"id":"ITEM-1","issued":{"date-parts":[["2016"]]},"number-of-pages":"1-405","title":"Mental health and wellbeing in England: Adult Psychiatric Morbidity Survey 2014","type":"report"},"uris":["http://www.mendeley.com/documents/?uuid=decee828-6bc1-3960-8a38-9ab7a8c601e8"]}],"mendeley":{"formattedCitation":"(McManus &lt;i&gt;et al.&lt;/i&gt;, 2016)","plainTextFormattedCitation":"(McManus et al., 2016)","previouslyFormattedCitation":"(McManus &lt;i&gt;et al.&lt;/i&gt;, 2016)"},"properties":{"noteIndex":0},"schema":"https://github.com/citation-style-language/schema/raw/master/csl-citation.json"}</w:instrText>
      </w:r>
      <w:r>
        <w:fldChar w:fldCharType="separate"/>
      </w:r>
      <w:r w:rsidRPr="00D6199E">
        <w:rPr>
          <w:noProof/>
        </w:rPr>
        <w:t xml:space="preserve">(McManus </w:t>
      </w:r>
      <w:r w:rsidRPr="00D6199E">
        <w:rPr>
          <w:i/>
          <w:noProof/>
        </w:rPr>
        <w:t>et al.</w:t>
      </w:r>
      <w:r w:rsidRPr="00D6199E">
        <w:rPr>
          <w:noProof/>
        </w:rPr>
        <w:t>, 2016)</w:t>
      </w:r>
      <w:r>
        <w:fldChar w:fldCharType="end"/>
      </w:r>
      <w:r>
        <w:t>.</w:t>
      </w:r>
    </w:p>
    <w:p w14:paraId="14737A0A" w14:textId="77777777" w:rsidR="002B4CFD" w:rsidRDefault="002B4CFD" w:rsidP="002B4CFD">
      <w:pPr>
        <w:pStyle w:val="Heading3"/>
        <w:numPr>
          <w:ilvl w:val="2"/>
          <w:numId w:val="29"/>
        </w:numPr>
      </w:pPr>
      <w:bookmarkStart w:id="20" w:name="_Toc3538045"/>
      <w:r>
        <w:t>Older Adult Mental Health</w:t>
      </w:r>
      <w:bookmarkEnd w:id="20"/>
    </w:p>
    <w:p w14:paraId="2D1D88DB" w14:textId="77777777" w:rsidR="002B4CFD" w:rsidRDefault="002B4CFD" w:rsidP="002B4CFD">
      <w:r>
        <w:t xml:space="preserve">A survey measuring the wellbeing of those aged over 16 conducted in 2010-11 in the UK found that 19% felt anxious or depressed </w:t>
      </w:r>
      <w:r>
        <w:fldChar w:fldCharType="begin" w:fldLock="1"/>
      </w:r>
      <w:r>
        <w:instrText>ADDIN CSL_CITATION {"citationItems":[{"id":"ITEM-1","itemData":{"abstract":"This article analyses by age and other variables two of the current measures of national well-being: 'satisfaction with health' and 'evidence of mental ill-health (GHQ)' and their relationship to well-being. There is also contextual information about other variables related to health which may affect an individual's well-being. The data used are from Understanding Society, the UK Household Longitudinal Study (UKHLS) 2010–11.","author":[{"dropping-particle":"","family":"Beaumont","given":"Jen.","non-dropping-particle":"","parse-names":false,"suffix":""},{"dropping-particle":"","family":"Lofts","given":"Helen.","non-dropping-particle":"","parse-names":false,"suffix":""}],"id":"ITEM-1","issue":"June","issued":{"date-parts":[["2013"]]},"number-of-pages":"1-14","title":"Measuring National Well-being - Health, 2013","type":"report"},"uris":["http://www.mendeley.com/documents/?uuid=a1b7a4bb-a60f-35e6-955e-24bd4a739182"]}],"mendeley":{"formattedCitation":"(Beaumont and Lofts, 2013)","plainTextFormattedCitation":"(Beaumont and Lofts, 2013)","previouslyFormattedCitation":"(Beaumont and Lofts, 2013)"},"properties":{"noteIndex":0},"schema":"https://github.com/citation-style-language/schema/raw/master/csl-citation.json"}</w:instrText>
      </w:r>
      <w:r>
        <w:fldChar w:fldCharType="separate"/>
      </w:r>
      <w:r w:rsidRPr="00150B80">
        <w:rPr>
          <w:noProof/>
        </w:rPr>
        <w:t>(Beaumont and Lofts, 2013)</w:t>
      </w:r>
      <w:r>
        <w:fldChar w:fldCharType="end"/>
      </w:r>
      <w:r>
        <w:t xml:space="preserve">.  Depression and anxiety were found to be highest among those aged between 50 and 59 and those aged 80 years or older </w:t>
      </w:r>
      <w:r>
        <w:fldChar w:fldCharType="begin" w:fldLock="1"/>
      </w:r>
      <w:r>
        <w:instrText>ADDIN CSL_CITATION {"citationItems":[{"id":"ITEM-1","itemData":{"abstract":"This article analyses by age and other variables two of the current measures of national well-being: 'satisfaction with health' and 'evidence of mental ill-health (GHQ)' and their relationship to well-being. There is also contextual information about other variables related to health which may affect an individual's well-being. The data used are from Understanding Society, the UK Household Longitudinal Study (UKHLS) 2010–11.","author":[{"dropping-particle":"","family":"Beaumont","given":"Jen.","non-dropping-particle":"","parse-names":false,"suffix":""},{"dropping-particle":"","family":"Lofts","given":"Helen.","non-dropping-particle":"","parse-names":false,"suffix":""}],"id":"ITEM-1","issue":"June","issued":{"date-parts":[["2013"]]},"number-of-pages":"1-14","title":"Measuring National Well-being - Health, 2013","type":"report"},"uris":["http://www.mendeley.com/documents/?uuid=a1b7a4bb-a60f-35e6-955e-24bd4a739182"]}],"mendeley":{"formattedCitation":"(Beaumont and Lofts, 2013)","plainTextFormattedCitation":"(Beaumont and Lofts, 2013)","previouslyFormattedCitation":"(Beaumont and Lofts, 2013)"},"properties":{"noteIndex":0},"schema":"https://github.com/citation-style-language/schema/raw/master/csl-citation.json"}</w:instrText>
      </w:r>
      <w:r>
        <w:fldChar w:fldCharType="separate"/>
      </w:r>
      <w:r w:rsidRPr="00150B80">
        <w:rPr>
          <w:noProof/>
        </w:rPr>
        <w:t>(Beaumont and Lofts, 2013)</w:t>
      </w:r>
      <w:r>
        <w:fldChar w:fldCharType="end"/>
      </w:r>
      <w:r>
        <w:t xml:space="preserve">.  </w:t>
      </w:r>
      <w:r w:rsidRPr="00026589">
        <w:rPr>
          <w:noProof/>
        </w:rPr>
        <w:t>It is clear from these figures that mental</w:t>
      </w:r>
      <w:r>
        <w:rPr>
          <w:noProof/>
        </w:rPr>
        <w:t xml:space="preserve"> ill-health</w:t>
      </w:r>
      <w:r w:rsidRPr="00026589">
        <w:rPr>
          <w:noProof/>
        </w:rPr>
        <w:t xml:space="preserve"> do</w:t>
      </w:r>
      <w:r>
        <w:rPr>
          <w:noProof/>
        </w:rPr>
        <w:t>es</w:t>
      </w:r>
      <w:r w:rsidRPr="00026589">
        <w:rPr>
          <w:noProof/>
        </w:rPr>
        <w:t xml:space="preserve"> not only affect the young and middle-aged</w:t>
      </w:r>
      <w:r>
        <w:rPr>
          <w:noProof/>
        </w:rPr>
        <w:t>,</w:t>
      </w:r>
      <w:r w:rsidRPr="00026589">
        <w:rPr>
          <w:noProof/>
        </w:rPr>
        <w:t xml:space="preserve"> </w:t>
      </w:r>
      <w:r w:rsidRPr="00C83332">
        <w:rPr>
          <w:noProof/>
        </w:rPr>
        <w:t>but</w:t>
      </w:r>
      <w:r w:rsidRPr="00026589">
        <w:rPr>
          <w:noProof/>
        </w:rPr>
        <w:t xml:space="preserve"> the old too</w:t>
      </w:r>
      <w:r>
        <w:rPr>
          <w:noProof/>
        </w:rPr>
        <w:t xml:space="preserve">.  Older adults are </w:t>
      </w:r>
      <w:r>
        <w:t xml:space="preserve">defined by the NHS as being someone over the age of 65, but note that the strict definition is not easily applied to everyone as people both psychologically and biologically age at different rates </w:t>
      </w:r>
      <w:r>
        <w:fldChar w:fldCharType="begin" w:fldLock="1"/>
      </w:r>
      <w:r>
        <w:instrText>ADDIN CSL_CITATION {"citationItems":[{"id":"ITEM-1","itemData":{"URL":"https://www.england.nhs.uk/ourwork/ltc-op-eolc/older-people/improving-care-for-older-people/%0Ahttps://www.england.nhs.uk/ourwork/ltc-op-eolc/older-people/","accessed":{"date-parts":[["2018","10","4"]]},"author":[{"dropping-particle":"","family":"NHS England","given":"","non-dropping-particle":"","parse-names":false,"suffix":""}],"container-title":"NHS England","id":"ITEM-1","issued":{"date-parts":[["2018"]]},"title":"Improving care for older people","type":"webpage"},"uris":["http://www.mendeley.com/documents/?uuid=5ad2da17-0b04-3862-9964-20d59a72c65a"]}],"mendeley":{"formattedCitation":"(NHS England, 2018)","plainTextFormattedCitation":"(NHS England, 2018)","previouslyFormattedCitation":"(NHS England, 2018)"},"properties":{"noteIndex":0},"schema":"https://github.com/citation-style-language/schema/raw/master/csl-citation.json"}</w:instrText>
      </w:r>
      <w:r>
        <w:fldChar w:fldCharType="separate"/>
      </w:r>
      <w:r w:rsidRPr="00B4156B">
        <w:rPr>
          <w:noProof/>
        </w:rPr>
        <w:t>(NHS England, 2018)</w:t>
      </w:r>
      <w:r>
        <w:fldChar w:fldCharType="end"/>
      </w:r>
      <w:r>
        <w:t xml:space="preserve">.  </w:t>
      </w:r>
      <w:r>
        <w:rPr>
          <w:noProof/>
        </w:rPr>
        <w:t>S</w:t>
      </w:r>
      <w:r w:rsidRPr="00026589">
        <w:rPr>
          <w:noProof/>
        </w:rPr>
        <w:t xml:space="preserve">tudies have shown that depression and anxiety are common psychological difficulties experienced by older adults </w:t>
      </w:r>
      <w:r w:rsidRPr="00026589">
        <w:rPr>
          <w:noProof/>
        </w:rPr>
        <w:fldChar w:fldCharType="begin" w:fldLock="1"/>
      </w:r>
      <w:r>
        <w:rPr>
          <w:noProof/>
        </w:rPr>
        <w:instrText>ADDIN CSL_CITATION {"citationItems":[{"id":"ITEM-1","itemData":{"DOI":"10.1111/j.1600-0447.2006.00770.x","ISBN":"0001-690X","ISSN":"0001690X","PMID":"16603029","abstract":"OBJECTIVE: To offer an update on prevalence and predictors of old age depression in populations of elderly Caucasians.\\n\\nMETHOD: The databases MEDLINE and Psychinfo were searched and relevant literature from 1993 onwards was reviewed.\\n\\nRESULTS: The prevalence of major depression ranges from 0.9% to 9.4% in private households, from 14% to 42% in institutional living, and from 1% to 16% among elderly living in private households or in institutions; and clinically relevant depressive symptom 'cases' in similar settings vary between 7.2% and 49%. The main predictors of depressive disorders and depressive symptom cases are: female gender, somatic illness, cognitive impairment, functional impairment, lack or loss of close social contacts, and a history of depression.\\n\\nCONCLUSION: Depression is frequent in populations of elderly. Methodological differences between the studies hinder consistent conclusions about geographical and cross-cultural variations in prevalence and predictors of depression. Improved comparability will provide a basis for consistent conclusions.","author":[{"dropping-particle":"","family":"Djernes","given":"J. K.","non-dropping-particle":"","parse-names":false,"suffix":""}],"container-title":"Acta Psychiatrica Scandinavica","id":"ITEM-1","issue":"5","issued":{"date-parts":[["2006"]]},"page":"372-387","title":"Prevalence and predictors of depression in populations of elderly: A review","type":"article-journal","volume":"113"},"uris":["http://www.mendeley.com/documents/?uuid=a8a28e28-ed99-4482-93dd-49eecfb71731"]},{"id":"ITEM-2","itemData":{"DOI":"10.1017/S1041610209990044","ISBN":"1041-6102 (Print)\\n1041-6102 (Linking)","ISSN":"1041-6102","PMID":"19519984","abstract":"Previous studies have attempted to provide estimates of depression prevalence in older adults. The Aging, Demographics and Memory Study (ADAMS) is a population-representative study that included a depression assessment, providing an opportunity to estimate the prevalence of depression in late life in the U.S.A.","author":[{"dropping-particle":"","family":"Steffens","given":"David C","non-dropping-particle":"","parse-names":false,"suffix":""},{"dropping-particle":"","family":"Fisher","given":"Gwenith G","non-dropping-particle":"","parse-names":false,"suffix":""},{"dropping-particle":"","family":"Langa","given":"Kenneth M","non-dropping-particle":"","parse-names":false,"suffix":""},{"dropping-particle":"","family":"Potter","given":"Guy G","non-dropping-particle":"","parse-names":false,"suffix":""},{"dropping-particle":"","family":"Plassman","given":"Brenda L","non-dropping-particle":"","parse-names":false,"suffix":""}],"container-title":"International psychogeriatrics / IPA","id":"ITEM-2","issue":"5","issued":{"date-parts":[["2009"]]},"page":"879-888","title":"Prevalence of depression among older Americans: the Aging, Demographics and Memory Study.","type":"article-journal","volume":"21"},"uris":["http://www.mendeley.com/documents/?uuid=b3a6d617-15c4-49c3-920c-0d0a74854465"]}],"mendeley":{"formattedCitation":"(Djernes, 2006; Steffens &lt;i&gt;et al.&lt;/i&gt;, 2009)","plainTextFormattedCitation":"(Djernes, 2006; Steffens et al., 2009)","previouslyFormattedCitation":"(Djernes, 2006; Steffens &lt;i&gt;et al.&lt;/i&gt;, 2009)"},"properties":{"noteIndex":0},"schema":"https://github.com/citation-style-language/schema/raw/master/csl-citation.json"}</w:instrText>
      </w:r>
      <w:r w:rsidRPr="00026589">
        <w:rPr>
          <w:noProof/>
        </w:rPr>
        <w:fldChar w:fldCharType="separate"/>
      </w:r>
      <w:r w:rsidRPr="00026589">
        <w:rPr>
          <w:noProof/>
        </w:rPr>
        <w:t xml:space="preserve">(Djernes, 2006; Steffens </w:t>
      </w:r>
      <w:r w:rsidRPr="00026589">
        <w:rPr>
          <w:i/>
          <w:noProof/>
        </w:rPr>
        <w:t>et al.</w:t>
      </w:r>
      <w:r w:rsidRPr="00026589">
        <w:rPr>
          <w:noProof/>
        </w:rPr>
        <w:t>, 2009)</w:t>
      </w:r>
      <w:r w:rsidRPr="00026589">
        <w:rPr>
          <w:noProof/>
        </w:rPr>
        <w:fldChar w:fldCharType="end"/>
      </w:r>
      <w:r w:rsidRPr="00026589">
        <w:rPr>
          <w:noProof/>
        </w:rPr>
        <w:t>.</w:t>
      </w:r>
      <w:r>
        <w:rPr>
          <w:noProof/>
        </w:rPr>
        <w:t xml:space="preserve">  S</w:t>
      </w:r>
      <w:r w:rsidRPr="00026589">
        <w:rPr>
          <w:noProof/>
        </w:rPr>
        <w:t>tatistics indicat</w:t>
      </w:r>
      <w:r>
        <w:rPr>
          <w:noProof/>
        </w:rPr>
        <w:t>e</w:t>
      </w:r>
      <w:r w:rsidRPr="00026589">
        <w:rPr>
          <w:noProof/>
        </w:rPr>
        <w:t xml:space="preserve"> that between 8% and 10% of those aged over 60 experienc</w:t>
      </w:r>
      <w:r>
        <w:rPr>
          <w:noProof/>
        </w:rPr>
        <w:t>e</w:t>
      </w:r>
      <w:r w:rsidRPr="00026589">
        <w:rPr>
          <w:noProof/>
        </w:rPr>
        <w:t xml:space="preserve"> clinically significant symptoms of depression </w:t>
      </w:r>
      <w:r w:rsidRPr="00026589">
        <w:rPr>
          <w:noProof/>
        </w:rPr>
        <w:fldChar w:fldCharType="begin" w:fldLock="1"/>
      </w:r>
      <w:r>
        <w:rPr>
          <w:noProof/>
        </w:rPr>
        <w:instrText>ADDIN CSL_CITATION {"citationItems":[{"id":"ITEM-1","itemData":{"DOI":"10.1016/j.jad.2008.08.014","ISBN":"0165-0327","ISSN":"01650327","PMID":"18817976","abstract":"Objective: To estimate the prevalence of depression among older adults in Australia. Method: All general practitioners in Australia's five most populous states who satisfied certain eligibility criteria (e.g., sufficient weekly working hours, sufficient numbers of elderly patients) were invited to participate. Those who consented were asked to identify all of their patients aged 60+ and invite them (either directly or via the study team) to complete a questionnaire. The questionnaire identified those who had experienced 'clinically significant depression' and those who had experienced a 'major depressive episode' in the past two weeks, via the Patient Health Questionnaire (PHQ-9). Consenting patients completed the questionnaire and returned it to the study team in a reply-paid envelope. Results: In total, 22,251 patients returned questionnaires. Overall, the age-adjusted rate of clinically significant depression was 8.2% (95%CI = 7.8%-8.6%), with the age-adjusted rates for males being 8.6% (95%CI = 7.9%-9.2%) and for females being 7.9% (95%CI = 7.4%-8.4%). The overall, male and female age-adjusted rates for a major depressive episode were 1.8% (95%CI = 1.6%-2.0%), 1.9% (95%CI = 1.6%-2.2%) and 1.7% (95%CI = 1.5%-2.0%), respectively. Discussion: Our study suggests that depression among older people is a major public health problem. The above estimates provide guidance for efficient planning of services, and establish a baseline against which preventive and treatment interventions can be assessed. Armed with this information, we can progress efforts at reducing this major health problem and its consequences. ?? 2008 Elsevier B.V. All rights reserved.","author":[{"dropping-particle":"","family":"Pirkis","given":"Jane","non-dropping-particle":"","parse-names":false,"suffix":""},{"dropping-particle":"","family":"Pfaff","given":"Jon","non-dropping-particle":"","parse-names":false,"suffix":""},{"dropping-particle":"","family":"Williamson","given":"Michelle","non-dropping-particle":"","parse-names":false,"suffix":""},{"dropping-particle":"","family":"Tyson","given":"Orla","non-dropping-particle":"","parse-names":false,"suffix":""},{"dropping-particle":"","family":"Stocks","given":"Nigel","non-dropping-particle":"","parse-names":false,"suffix":""},{"dropping-particle":"","family":"Goldney","given":"Robert","non-dropping-particle":"","parse-names":false,"suffix":""},{"dropping-particle":"","family":"Draper","given":"Brian","non-dropping-particle":"","parse-names":false,"suffix":""},{"dropping-particle":"","family":"Snowdon","given":"John","non-dropping-particle":"","parse-names":false,"suffix":""},{"dropping-particle":"","family":"Lautenschlager","given":"Nicola","non-dropping-particle":"","parse-names":false,"suffix":""},{"dropping-particle":"","family":"Almeida","given":"Osvaldo P.","non-dropping-particle":"","parse-names":false,"suffix":""}],"container-title":"Journal of Affective Disorders","id":"ITEM-1","issue":"1-2","issued":{"date-parts":[["2009"]]},"language":"English","page":"54-61","title":"The community prevalence of depression in older Australians","type":"article-journal","volume":"115"},"uris":["http://www.mendeley.com/documents/?uuid=b10446fe-17dc-4dba-8194-994b174e4fbe"]}],"mendeley":{"formattedCitation":"(Pirkis &lt;i&gt;et al.&lt;/i&gt;, 2009)","plainTextFormattedCitation":"(Pirkis et al., 2009)","previouslyFormattedCitation":"(Pirkis &lt;i&gt;et al.&lt;/i&gt;, 2009)"},"properties":{"noteIndex":0},"schema":"https://github.com/citation-style-language/schema/raw/master/csl-citation.json"}</w:instrText>
      </w:r>
      <w:r w:rsidRPr="00026589">
        <w:rPr>
          <w:noProof/>
        </w:rPr>
        <w:fldChar w:fldCharType="separate"/>
      </w:r>
      <w:r w:rsidRPr="00026589">
        <w:rPr>
          <w:noProof/>
        </w:rPr>
        <w:t xml:space="preserve">(Pirkis </w:t>
      </w:r>
      <w:r w:rsidRPr="00026589">
        <w:rPr>
          <w:i/>
          <w:noProof/>
        </w:rPr>
        <w:t>et al.</w:t>
      </w:r>
      <w:r w:rsidRPr="00026589">
        <w:rPr>
          <w:noProof/>
        </w:rPr>
        <w:t>, 2009)</w:t>
      </w:r>
      <w:r w:rsidRPr="00026589">
        <w:rPr>
          <w:noProof/>
        </w:rPr>
        <w:fldChar w:fldCharType="end"/>
      </w:r>
      <w:r w:rsidRPr="00026589">
        <w:rPr>
          <w:noProof/>
        </w:rPr>
        <w:t xml:space="preserve"> and around 8% of older adults meet the formal diagnostic criteria for an anxiety disorder </w:t>
      </w:r>
      <w:r w:rsidRPr="00026589">
        <w:rPr>
          <w:noProof/>
        </w:rPr>
        <w:fldChar w:fldCharType="begin" w:fldLock="1"/>
      </w:r>
      <w:r>
        <w:rPr>
          <w:noProof/>
        </w:rPr>
        <w:instrText>ADDIN CSL_CITATION {"citationItems":[{"id":"ITEM-1","itemData":{"DOI":"10.1001/archgenpsychiatry.2010.35","ISBN":"0003-990X, 0003-990X","ISSN":"0003-990X","PMID":"20439830","abstract":"&lt;h3&gt;Context&lt;/h3&gt;&lt;p&gt;Little is known about prevalence rates of&lt;i&gt;DSM-IV&lt;/i&gt;disorders across age strata of older adults, including common conditions such as individual and coexisting mood and anxiety disorders.&lt;/p&gt;&lt;h3&gt;Objective&lt;/h3&gt;&lt;p&gt;To determine nationally representative estimates of 12-month prevalence rates of mood, anxiety, and comorbid mood-anxiety disorders across young-old, mid-old, old-old, and oldest-old community-dwelling adults.&lt;/p&gt;&lt;h3&gt;Design&lt;/h3&gt;&lt;p&gt;The National Comorbidity Survey Replication (NCS-R) is a population-based probability sample of 9282 participants 18 years and older, conducted between February 2001 and April 2003. The NCS-R survey used the fully structured World Health Organization World Mental Health Survey version of the Composite International Diagnostic Interview.&lt;/p&gt;&lt;h3&gt;Setting&lt;/h3&gt;&lt;p&gt;Continental United States.&lt;/p&gt;&lt;h3&gt;Participants&lt;/h3&gt;&lt;p&gt;We studied the 2575 participants 55 years and older who were part of NCS-R (43%, 55-64 years; 32%, 65-74 years; 20%, 75-84 years; 5%, ≥85 years). This included only noninstitutionalized adults, as all NCS-R participants resided in households within the community.&lt;/p&gt;&lt;h3&gt;Main Outcome Measures&lt;/h3&gt;&lt;p&gt;Twelve-month prevalence of mood disorders (major depressive disorder, dysthymia, bipolar disorder), anxiety disorders (panic disorder, agoraphobia, specific phobia, social phobia, generalized anxiety disorder, posttraumatic stress disorder), and coexisting mood-anxiety disorder were assessed using&lt;i&gt;DSM-IV&lt;/i&gt;criteria. Prevalence rates were weighted to adjust for the complex design to infer generalizability to the US population.&lt;/p&gt;&lt;h3&gt;Results&lt;/h3&gt;&lt;p&gt;The likelihood of having a mood, anxiety, or combined mood-anxiety disorder generally showed a pattern of decline with age (&lt;i&gt;P&lt;/i&gt; &amp;lt; .05). Twelve-month disorders showed higher rates in women compared with men, a statistically significant trend with age. In addition, anxiety disorders were as high if not higher than mood disorders across age groups (overall 12-month rates: mood, 5% and anxiety, 12%). No differences were found between race/ethnicity groups.&lt;/p&gt;&lt;h3&gt;Conclusion&lt;/h3&gt;&lt;p&gt;Prevalence rates of&lt;i&gt;DSM-IV&lt;/i&gt;mood and anxiety disorders in late life tend to decline with age, but remain very common, especially in women. These results highlight the need for intervention and prevention strategies.&lt;/p&gt;","author":[{"dropping-particle":"","family":"Byers","given":"Amy L.","non-dropping-particle":"","parse-names":false,"suffix":""},{"dropping-particle":"","family":"Yaffe","given":"Kristine","non-dropping-particle":"","parse-names":false,"suffix":""},{"dropping-particle":"","family":"Covinsky","given":"Kenneth E.","non-dropping-particle":"","parse-names":false,"suffix":""},{"dropping-particle":"","family":"Friedman","given":"Michael B.","non-dropping-particle":"","parse-names":false,"suffix":""},{"dropping-particle":"","family":"Bruce","given":"Martha L.","non-dropping-particle":"","parse-names":false,"suffix":""},{"dropping-particle":"","family":"K","given":"Kim","non-dropping-particle":"","parse-names":false,"suffix":""},{"dropping-particle":"","family":"RL","given":"Hough","non-dropping-particle":"","parse-names":false,"suffix":""},{"dropping-particle":"","family":"P","given":"Garcia","non-dropping-particle":"","parse-names":false,"suffix":""},{"dropping-particle":"","family":"DV","given":"Jeste","non-dropping-particle":"","parse-names":false,"suffix":""},{"dropping-particle":"","family":"EE","given":"Walters","non-dropping-particle":"","parse-names":false,"suffix":""},{"dropping-particle":"","family":"P","given":"Wang","non-dropping-particle":"","parse-names":false,"suffix":""},{"dropping-particle":"","family":"A","given":"Zaslavsky","non-dropping-particle":"","parse-names":false,"suffix":""},{"dropping-particle":"","family":"H","given":"Zheng","non-dropping-particle":"","parse-names":false,"suffix":""}],"container-title":"Archives of General Psychiatry","id":"ITEM-1","issue":"5","issued":{"date-parts":[["2010","5"]]},"page":"489","title":"High Occurrence of Mood and Anxiety Disorders Among Older Adults","type":"article-journal","volume":"67"},"uris":["http://www.mendeley.com/documents/?uuid=2219c397-b4e0-4bdc-afb0-cd7ebc6c9033"]}],"mendeley":{"formattedCitation":"(Byers &lt;i&gt;et al.&lt;/i&gt;, 2010)","plainTextFormattedCitation":"(Byers et al., 2010)","previouslyFormattedCitation":"(Byers &lt;i&gt;et al.&lt;/i&gt;, 2010)"},"properties":{"noteIndex":0},"schema":"https://github.com/citation-style-language/schema/raw/master/csl-citation.json"}</w:instrText>
      </w:r>
      <w:r w:rsidRPr="00026589">
        <w:rPr>
          <w:noProof/>
        </w:rPr>
        <w:fldChar w:fldCharType="separate"/>
      </w:r>
      <w:r w:rsidRPr="00026589">
        <w:rPr>
          <w:noProof/>
        </w:rPr>
        <w:t xml:space="preserve">(Byers </w:t>
      </w:r>
      <w:r w:rsidRPr="00026589">
        <w:rPr>
          <w:i/>
          <w:noProof/>
        </w:rPr>
        <w:t>et al.</w:t>
      </w:r>
      <w:r w:rsidRPr="00026589">
        <w:rPr>
          <w:noProof/>
        </w:rPr>
        <w:t>, 2010)</w:t>
      </w:r>
      <w:r w:rsidRPr="00026589">
        <w:rPr>
          <w:noProof/>
        </w:rPr>
        <w:fldChar w:fldCharType="end"/>
      </w:r>
      <w:r w:rsidRPr="00026589">
        <w:rPr>
          <w:noProof/>
        </w:rPr>
        <w:t>.</w:t>
      </w:r>
      <w:r>
        <w:t xml:space="preserve">  In older adults these disorders have also been associated with poorer physical health </w:t>
      </w:r>
      <w:r>
        <w:fldChar w:fldCharType="begin" w:fldLock="1"/>
      </w:r>
      <w:r>
        <w:instrText>ADDIN CSL_CITATION {"citationItems":[{"id":"ITEM-1","itemData":{"DOI":"10.1080/13607860601124115","ISBN":"1360-7863","ISSN":"13607863","PMID":"18297491","abstract":"The authors examined the relationship between anxiety, depression and physical disability, after controlling for demographic and health variables, in a sample of 374 adults aged 18-94. Results indicate that anxiety, depression and comorbid anxiety and depression are associated with higher levels of disability, after controlling for factors such as age, gender, income, self-rated health, number of medical conditions and number of physician visits in the past year. Furthermore, anxiety, depression and comorbid anxiety and depression have a differential effect on disability according to age, with older adults with any of these symptoms reporting higher levels of disability than younger adults. These findings suggest that physicians working with older adults should assess for and treat anxiety as well as depressive symptoms.","author":[{"dropping-particle":"","family":"Brenes","given":"G. A.","non-dropping-particle":"","parse-names":false,"suffix":""},{"dropping-particle":"","family":"Penninx","given":"B. W J H","non-dropping-particle":"","parse-names":false,"suffix":""},{"dropping-particle":"","family":"Judd","given":"P. H.","non-dropping-particle":"","parse-names":false,"suffix":""},{"dropping-particle":"","family":"Rockwell","given":"E.","non-dropping-particle":"","parse-names":false,"suffix":""},{"dropping-particle":"","family":"Sewell","given":"D. D.","non-dropping-particle":"","parse-names":false,"suffix":""},{"dropping-particle":"","family":"Wetherell","given":"J. L.","non-dropping-particle":"","parse-names":false,"suffix":""}],"container-title":"Aging and Mental Health","id":"ITEM-1","issue":"1","issued":{"date-parts":[["2008"]]},"page":"158-163","title":"Anxiety, depression and disability across the lifespan","type":"article-journal","volume":"12"},"uris":["http://www.mendeley.com/documents/?uuid=42957fdb-a8b3-48e5-83f0-c33d4d9c7aa8"]}],"mendeley":{"formattedCitation":"(Brenes &lt;i&gt;et al.&lt;/i&gt;, 2008)","plainTextFormattedCitation":"(Brenes et al., 2008)","previouslyFormattedCitation":"(Brenes &lt;i&gt;et al.&lt;/i&gt;, 2008)"},"properties":{"noteIndex":0},"schema":"https://github.com/citation-style-language/schema/raw/master/csl-citation.json"}</w:instrText>
      </w:r>
      <w:r>
        <w:fldChar w:fldCharType="separate"/>
      </w:r>
      <w:r w:rsidRPr="00150B80">
        <w:rPr>
          <w:noProof/>
        </w:rPr>
        <w:t xml:space="preserve">(Brenes </w:t>
      </w:r>
      <w:r w:rsidRPr="00150B80">
        <w:rPr>
          <w:i/>
          <w:noProof/>
        </w:rPr>
        <w:t>et al.</w:t>
      </w:r>
      <w:r w:rsidRPr="00150B80">
        <w:rPr>
          <w:noProof/>
        </w:rPr>
        <w:t>, 2008)</w:t>
      </w:r>
      <w:r>
        <w:fldChar w:fldCharType="end"/>
      </w:r>
      <w:r>
        <w:t xml:space="preserve">, increased risk of suicide </w:t>
      </w:r>
      <w:r>
        <w:fldChar w:fldCharType="begin" w:fldLock="1"/>
      </w:r>
      <w:r>
        <w:instrText>ADDIN CSL_CITATION {"citationItems":[{"id":"ITEM-1","itemData":{"ISSN":"07067437","PMID":"17824352","abstract":"OBJECTIVE: To review the risk factors for suicide in the elderly and available interventions to avert this tragedy. METHOD: Systematic literature review, based on a PubMed search for studies in English. Included were randomized controlled trials (RCTs), controlled cohort studies, and case-control studies. Wherever possible, I reviewed papers dealing with suicide rather than suicide attempts or suicide ideation. RESULTS: The search for risk factors yielded 2 relevant cohort studies and 17 relevant case-control studies. Relevant to the matter of intervention were 2 RCTs and 5 cohort studies. CONCLUSIONS: Being male as well as having mental illness (particularly depression), physical illness, and interpersonal discord are all risk factors for suicide in the elderly. There is evidence to suggest that conscientious, systematic treatment of depression in elderly individuals reduces the rate of suicide in the elderly.","author":[{"dropping-particle":"","family":"Grek","given":"Adrian","non-dropping-particle":"","parse-names":false,"suffix":""}],"container-title":"Canadian journal of psychiatry. Revue canadienne de psychiatrie","id":"ITEM-1","issue":"6 Suppl 1","issued":{"date-parts":[["2007","6"]]},"page":"47S-57S","title":"Clinical management of suicidality in the elderly: an opportunity for involvement in the lives of older patients.","type":"article-journal","volume":"52"},"uris":["http://www.mendeley.com/documents/?uuid=a43cafa4-5f86-477f-97e4-931e9d37e10d"]}],"mendeley":{"formattedCitation":"(Grek, 2007)","plainTextFormattedCitation":"(Grek, 2007)","previouslyFormattedCitation":"(Grek, 2007)"},"properties":{"noteIndex":0},"schema":"https://github.com/citation-style-language/schema/raw/master/csl-citation.json"}</w:instrText>
      </w:r>
      <w:r>
        <w:fldChar w:fldCharType="separate"/>
      </w:r>
      <w:r w:rsidRPr="00150B80">
        <w:rPr>
          <w:noProof/>
        </w:rPr>
        <w:t>(Grek, 2007)</w:t>
      </w:r>
      <w:r>
        <w:fldChar w:fldCharType="end"/>
      </w:r>
      <w:r>
        <w:t xml:space="preserve"> and </w:t>
      </w:r>
      <w:r w:rsidRPr="00CE2C65">
        <w:rPr>
          <w:noProof/>
        </w:rPr>
        <w:t>reduced</w:t>
      </w:r>
      <w:r>
        <w:t xml:space="preserve"> quality of life </w:t>
      </w:r>
      <w:r>
        <w:fldChar w:fldCharType="begin" w:fldLock="1"/>
      </w:r>
      <w:r>
        <w:instrText>ADDIN CSL_CITATION {"citationItems":[{"id":"ITEM-1","itemData":{"DOI":"10.1192/bjp.bp.106.027169","ISBN":"0007-1250","ISSN":"00071250","PMID":"17401042","abstract":"BACKGROUND: Comorbid anxiety is common in depressive disorders in both middle and late life, and it affects response to antidepressant treatment. AIMS: To examine whether anxiety symptoms predict acute and maintenance (2 years) treatment response in late-life depression. METHOD: Data were drawn from a randomised double-blind study of pharmacotherapy and interpersonal psychotherapy for patients age 70 years and over with major depression. Anxiety symptoms were measured using the Brief Symptom Inventory. Survival analysis tested the effect of pre-treatment anxiety on response and recurrence. RESULTS: Patients with greater pretreatment anxiety took longer to respond to treatment and had higher rates of recurrence. Actuarial recurrence rates were 29% (pharmacotherapy, lower anxiety), 58% (pharmacotherapy, higher anxiety), 54% (placebo, lower anxiety) and 81% (placebo, higher anxiety). CONCLUSIONS: Improved identification and management of anxiety in late-life depression are needed to achieve response and stabilise recovery.","author":[{"dropping-particle":"","family":"Andreescu","given":"Carmen","non-dropping-particle":"","parse-names":false,"suffix":""},{"dropping-particle":"","family":"Lenze","given":"Eric J.","non-dropping-particle":"","parse-names":false,"suffix":""},{"dropping-particle":"","family":"Dew","given":"Mary Amanda","non-dropping-particle":"","parse-names":false,"suffix":""},{"dropping-particle":"","family":"Begley","given":"Amy E.","non-dropping-particle":"","parse-names":false,"suffix":""},{"dropping-particle":"","family":"Mulsant","given":"Benoit H.","non-dropping-particle":"","parse-names":false,"suffix":""},{"dropping-particle":"","family":"Dombrovski","given":"Alexandre Y.","non-dropping-particle":"","parse-names":false,"suffix":""},{"dropping-particle":"","family":"Pollock","given":"Bruce G.","non-dropping-particle":"","parse-names":false,"suffix":""},{"dropping-particle":"","family":"Stack","given":"Jacqueline","non-dropping-particle":"","parse-names":false,"suffix":""},{"dropping-particle":"","family":"Miller","given":"Mark D.","non-dropping-particle":"","parse-names":false,"suffix":""},{"dropping-particle":"","family":"Reynolds","given":"Charles F.","non-dropping-particle":"","parse-names":false,"suffix":""}],"container-title":"British Journal of Psychiatry","id":"ITEM-1","issue":"APR.","issued":{"date-parts":[["2007"]]},"page":"344-349","title":"Effect of comorbid anxiety on treatment response and relapse risk in late-life depression: Controlled study","type":"article-journal","volume":"190"},"uris":["http://www.mendeley.com/documents/?uuid=9081dc4b-e764-4164-8f22-a55b37b29a00"]}],"mendeley":{"formattedCitation":"(Andreescu &lt;i&gt;et al.&lt;/i&gt;, 2007)","plainTextFormattedCitation":"(Andreescu et al., 2007)","previouslyFormattedCitation":"(Andreescu &lt;i&gt;et al.&lt;/i&gt;, 2007)"},"properties":{"noteIndex":0},"schema":"https://github.com/citation-style-language/schema/raw/master/csl-citation.json"}</w:instrText>
      </w:r>
      <w:r>
        <w:fldChar w:fldCharType="separate"/>
      </w:r>
      <w:r w:rsidRPr="00150B80">
        <w:rPr>
          <w:noProof/>
        </w:rPr>
        <w:t xml:space="preserve">(Andreescu </w:t>
      </w:r>
      <w:r w:rsidRPr="00150B80">
        <w:rPr>
          <w:i/>
          <w:noProof/>
        </w:rPr>
        <w:t>et al.</w:t>
      </w:r>
      <w:r w:rsidRPr="00150B80">
        <w:rPr>
          <w:noProof/>
        </w:rPr>
        <w:t>, 2007)</w:t>
      </w:r>
      <w:r>
        <w:fldChar w:fldCharType="end"/>
      </w:r>
      <w:r>
        <w:t xml:space="preserve">.  Unfortunately for those older adults who do </w:t>
      </w:r>
      <w:r w:rsidRPr="00CE2C65">
        <w:rPr>
          <w:noProof/>
        </w:rPr>
        <w:t>experience</w:t>
      </w:r>
      <w:r>
        <w:rPr>
          <w:noProof/>
        </w:rPr>
        <w:t xml:space="preserve"> </w:t>
      </w:r>
      <w:r>
        <w:rPr>
          <w:rFonts w:ascii="Calibri" w:hAnsi="Calibri" w:cs="Times New Roman"/>
          <w:color w:val="000000"/>
        </w:rPr>
        <w:t>them</w:t>
      </w:r>
      <w:r>
        <w:rPr>
          <w:noProof/>
        </w:rPr>
        <w:t>,</w:t>
      </w:r>
      <w:r>
        <w:t xml:space="preserve"> mental health issues commonly go undiagnosed </w:t>
      </w:r>
      <w:r>
        <w:fldChar w:fldCharType="begin" w:fldLock="1"/>
      </w:r>
      <w:r>
        <w:instrText>ADDIN CSL_CITATION {"citationItems":[{"id":"ITEM-1","itemData":{"DOI":"10.1001/archgenpsychiatry.2010.35","ISBN":"0003-990X, 0003-990X","ISSN":"0003-990X","PMID":"20439830","abstract":"&lt;h3&gt;Context&lt;/h3&gt;&lt;p&gt;Little is known about prevalence rates of&lt;i&gt;DSM-IV&lt;/i&gt;disorders across age strata of older adults, including common conditions such as individual and coexisting mood and anxiety disorders.&lt;/p&gt;&lt;h3&gt;Objective&lt;/h3&gt;&lt;p&gt;To determine nationally representative estimates of 12-month prevalence rates of mood, anxiety, and comorbid mood-anxiety disorders across young-old, mid-old, old-old, and oldest-old community-dwelling adults.&lt;/p&gt;&lt;h3&gt;Design&lt;/h3&gt;&lt;p&gt;The National Comorbidity Survey Replication (NCS-R) is a population-based probability sample of 9282 participants 18 years and older, conducted between February 2001 and April 2003. The NCS-R survey used the fully structured World Health Organization World Mental Health Survey version of the Composite International Diagnostic Interview.&lt;/p&gt;&lt;h3&gt;Setting&lt;/h3&gt;&lt;p&gt;Continental United States.&lt;/p&gt;&lt;h3&gt;Participants&lt;/h3&gt;&lt;p&gt;We studied the 2575 participants 55 years and older who were part of NCS-R (43%, 55-64 years; 32%, 65-74 years; 20%, 75-84 years; 5%, ≥85 years). This included only noninstitutionalized adults, as all NCS-R participants resided in households within the community.&lt;/p&gt;&lt;h3&gt;Main Outcome Measures&lt;/h3&gt;&lt;p&gt;Twelve-month prevalence of mood disorders (major depressive disorder, dysthymia, bipolar disorder), anxiety disorders (panic disorder, agoraphobia, specific phobia, social phobia, generalized anxiety disorder, posttraumatic stress disorder), and coexisting mood-anxiety disorder were assessed using&lt;i&gt;DSM-IV&lt;/i&gt;criteria. Prevalence rates were weighted to adjust for the complex design to infer generalizability to the US population.&lt;/p&gt;&lt;h3&gt;Results&lt;/h3&gt;&lt;p&gt;The likelihood of having a mood, anxiety, or combined mood-anxiety disorder generally showed a pattern of decline with age (&lt;i&gt;P&lt;/i&gt; &amp;lt; .05). Twelve-month disorders showed higher rates in women compared with men, a statistically significant trend with age. In addition, anxiety disorders were as high if not higher than mood disorders across age groups (overall 12-month rates: mood, 5% and anxiety, 12%). No differences were found between race/ethnicity groups.&lt;/p&gt;&lt;h3&gt;Conclusion&lt;/h3&gt;&lt;p&gt;Prevalence rates of&lt;i&gt;DSM-IV&lt;/i&gt;mood and anxiety disorders in late life tend to decline with age, but remain very common, especially in women. These results highlight the need for intervention and prevention strategies.&lt;/p&gt;","author":[{"dropping-particle":"","family":"Byers","given":"Amy L.","non-dropping-particle":"","parse-names":false,"suffix":""},{"dropping-particle":"","family":"Yaffe","given":"Kristine","non-dropping-particle":"","parse-names":false,"suffix":""},{"dropping-particle":"","family":"Covinsky","given":"Kenneth E.","non-dropping-particle":"","parse-names":false,"suffix":""},{"dropping-particle":"","family":"Friedman","given":"Michael B.","non-dropping-particle":"","parse-names":false,"suffix":""},{"dropping-particle":"","family":"Bruce","given":"Martha L.","non-dropping-particle":"","parse-names":false,"suffix":""},{"dropping-particle":"","family":"K","given":"Kim","non-dropping-particle":"","parse-names":false,"suffix":""},{"dropping-particle":"","family":"RL","given":"Hough","non-dropping-particle":"","parse-names":false,"suffix":""},{"dropping-particle":"","family":"P","given":"Garcia","non-dropping-particle":"","parse-names":false,"suffix":""},{"dropping-particle":"","family":"DV","given":"Jeste","non-dropping-particle":"","parse-names":false,"suffix":""},{"dropping-particle":"","family":"EE","given":"Walters","non-dropping-particle":"","parse-names":false,"suffix":""},{"dropping-particle":"","family":"P","given":"Wang","non-dropping-particle":"","parse-names":false,"suffix":""},{"dropping-particle":"","family":"A","given":"Zaslavsky","non-dropping-particle":"","parse-names":false,"suffix":""},{"dropping-particle":"","family":"H","given":"Zheng","non-dropping-particle":"","parse-names":false,"suffix":""}],"container-title":"Archives of General Psychiatry","id":"ITEM-1","issue":"5","issued":{"date-parts":[["2010","5"]]},"page":"489","title":"High Occurrence of Mood and Anxiety Disorders Among Older Adults","type":"article-journal","volume":"67"},"uris":["http://www.mendeley.com/documents/?uuid=2219c397-b4e0-4bdc-afb0-cd7ebc6c9033"]},{"id":"ITEM-2","itemData":{"DOI":"10.1097/JGP.0b013e3181ad4f5a","ISBN":"1545-7214 (Electronic)\\r1064-7481 (Linking)","ISSN":"10647481","PMID":"19700949","abstract":"Objectives: Current information on the prevalence of psychiatric disorders among older adults in the United States is lacking. Prevalence of anxiety, mood, and substance disorders was examined by age (18 – 44, 45– 64, 65–74, and 75 years and older) and sex. Covariates of disorders for older adults (65 years and older) were explored. Design: Cross-sectional epidemiologic study, using data from the National Comorbidity Survey-Replication. Setting: Community-based epidemiologic survey. Participants: Representative national sample of community-dwelling adults in the United States. Measurements: The World Health Organization Composite Interna-tional Diagnostic Interview was used to assess Diagnostic and Statistical Manual of Mental Disorders, Fourth Edition psychiatric disorders. Results: Prevalence of 12-month and lifetime mood, anxiety, and substance-use disorders was lower for older adults (65 years and older) than younger age groups: 2.6% for mood disorder, 7.0% for anxiety disorder, 0 for any substance-use disorder, and 8.5% for any of these disorders (for any disorder, 18 – 44 years ϭ 27.6%, 45– 64 years ϭ 22.4%). Among older adults, presence of a 12-month anxiety disorder was associated with female sex, lower education, being unmarried, and three or more chronic conditions. Presence of a 12-month mood disorder was associated with disability. Similar patterns were noted for lifetime disorders (any disorder: 18 – 44 years ϭ 46.4%, 45– 64 years ϭ 43.7%, and 65 years and older ϭ 20.9%). Conclusions: This study documents the continued pattern of lower rates of formal diagnoses for elders. These rates likely underestimate the burden of late-life psychiatric disorders, given the potential for underdiagnosis, clinical significance of subthreshold symptoms, and lack of repre-sentation from high-risk older adults (e.g., medically ill, long-term care residents). (Am J Geriatr Psychiatry 2009; 17:769 –781)","author":[{"dropping-particle":"","family":"Gum","given":"Amber M.","non-dropping-particle":"","parse-names":false,"suffix":""},{"dropping-particle":"","family":"King-Kallimanis","given":"Bellinda","non-dropping-particle":"","parse-names":false,"suffix":""},{"dropping-particle":"","family":"Kohn","given":"Robert","non-dropping-particle":"","parse-names":false,"suffix":""}],"container-title":"The American Journal of Geriatric Psychiatry","id":"ITEM-2","issue":"9","issued":{"date-parts":[["2009"]]},"language":"English","page":"769-781","title":"Prevalence of Mood, Anxiety, and Substance-Abuse Disorders for Older Americans in the National Comorbidity Survey-Replication","type":"article-journal","volume":"17"},"uris":["http://www.mendeley.com/documents/?uuid=35b8a384-dc79-4297-a205-626f8c642d8b"]}],"mendeley":{"formattedCitation":"(Gum, King-Kallimanis and Kohn, 2009; Byers &lt;i&gt;et al.&lt;/i&gt;, 2010)","plainTextFormattedCitation":"(Gum, King-Kallimanis and Kohn, 2009; Byers et al., 2010)","previouslyFormattedCitation":"(Gum, King-Kallimanis and Kohn, 2009; Byers &lt;i&gt;et al.&lt;/i&gt;, 2010)"},"properties":{"noteIndex":0},"schema":"https://github.com/citation-style-language/schema/raw/master/csl-citation.json"}</w:instrText>
      </w:r>
      <w:r>
        <w:fldChar w:fldCharType="separate"/>
      </w:r>
      <w:r w:rsidRPr="00150B80">
        <w:rPr>
          <w:noProof/>
        </w:rPr>
        <w:t xml:space="preserve">(Gum, King-Kallimanis and Kohn, 2009; Byers </w:t>
      </w:r>
      <w:r w:rsidRPr="00150B80">
        <w:rPr>
          <w:i/>
          <w:noProof/>
        </w:rPr>
        <w:t>et al.</w:t>
      </w:r>
      <w:r w:rsidRPr="00150B80">
        <w:rPr>
          <w:noProof/>
        </w:rPr>
        <w:t>, 2010)</w:t>
      </w:r>
      <w:r>
        <w:fldChar w:fldCharType="end"/>
      </w:r>
      <w:r>
        <w:t xml:space="preserve"> and less than 30% of those with a mental health problem go in search of treatment </w:t>
      </w:r>
      <w:r>
        <w:fldChar w:fldCharType="begin" w:fldLock="1"/>
      </w:r>
      <w:r>
        <w:instrText>ADDIN CSL_CITATION {"citationItems":[{"id":"ITEM-1","itemData":{"DOI":"10.1097/JGP.0b013e3180590ba9","ISBN":"1064-7481","ISSN":"10647481","PMID":"17545446","abstract":"OBJECTIVE: To describe the 1- and 12-month prevalence of mental disorders, their demographic correlates, and their impact on service utilization and disability in individuals 65 years of age and over in a comprehensive epidemiological survey of mental health in Australia. METHODS: A noninstitutionalized national probability sample of elderly Australian residents was interviewed as part of the Australian National Mental Health and Well-being Survey (NMHWS). The prevalence of International Classification of Diseases, Tenth Revision and Diagnostic and Statistical Manual of Mental Disorders, Fourth Edition mental disorders was estimated from the Composite International Diagnostic Interview and other screening instruments. RESULTS: Of 1,792 elderly NMHWS respondents, 13% reported symptoms consistent with a mental disorder in the past 1 month, and 16% reported symptoms consistent with a mental disorder in the past 12 months. Women experienced higher rates of affective disorders and generalized anxiety disorder and had lower rates of substance abuse compared with men. After excluding cognitive disorder, increasing age was associated with less likelihood of having symptoms of any mental disorder. Older age and never having been married were associated with less likelihood of having symptoms of an affective disorder. Those with cognitive impairment were more likely to have had symptoms consistent with an affective disorder. Comorbidity was predictive of increasing disability on the 12-item Short Form but rates of mental health consultation were low, even for those with multiple disorders. CONCLUSION: Community-dwelling elderly Australians experience substantial rates of mental disorders. Demographic correlates of mental disorder in this elderly population appear to differ from those established in younger populations. Mental disorder in elderly Australians is associated with significant disability, but rates of specialist mental health consultation is low, even for those with multiple comorbidities. The reasons for this must be examined.","author":[{"dropping-particle":"","family":"Trollor","given":"Julian N.","non-dropping-particle":"","parse-names":false,"suffix":""},{"dropping-particle":"","family":"Anderson","given":"Tracy M.","non-dropping-particle":"","parse-names":false,"suffix":""},{"dropping-particle":"","family":"Sachdev","given":"Perminder S.","non-dropping-particle":"","parse-names":false,"suffix":""},{"dropping-particle":"","family":"Brodaty","given":"Henry","non-dropping-particle":"","parse-names":false,"suffix":""},{"dropping-particle":"","family":"Andrews","given":"Gavin","non-dropping-particle":"","parse-names":false,"suffix":""}],"container-title":"The American Journal of Geriatric Psychiatry","id":"ITEM-1","issue":"6","issued":{"date-parts":[["2007","6"]]},"page":"455-466","title":"Prevalence of Mental Disorders in the Elderly: The Australian National Mental Health and Well-Being Survey","type":"article-journal","volume":"15"},"uris":["http://www.mendeley.com/documents/?uuid=3181eb41-61be-40f8-86f6-b35e61aed000"]}],"mendeley":{"formattedCitation":"(Trollor &lt;i&gt;et al.&lt;/i&gt;, 2007)","plainTextFormattedCitation":"(Trollor et al., 2007)","previouslyFormattedCitation":"(Trollor &lt;i&gt;et al.&lt;/i&gt;, 2007)"},"properties":{"noteIndex":0},"schema":"https://github.com/citation-style-language/schema/raw/master/csl-citation.json"}</w:instrText>
      </w:r>
      <w:r>
        <w:fldChar w:fldCharType="separate"/>
      </w:r>
      <w:r w:rsidRPr="00150B80">
        <w:rPr>
          <w:noProof/>
        </w:rPr>
        <w:t xml:space="preserve">(Trollor </w:t>
      </w:r>
      <w:r w:rsidRPr="00150B80">
        <w:rPr>
          <w:i/>
          <w:noProof/>
        </w:rPr>
        <w:t>et al.</w:t>
      </w:r>
      <w:r w:rsidRPr="00150B80">
        <w:rPr>
          <w:noProof/>
        </w:rPr>
        <w:t>, 2007)</w:t>
      </w:r>
      <w:r>
        <w:fldChar w:fldCharType="end"/>
      </w:r>
      <w:r>
        <w:t xml:space="preserve">.  </w:t>
      </w:r>
      <w:r w:rsidRPr="00CE2C65">
        <w:rPr>
          <w:noProof/>
        </w:rPr>
        <w:t xml:space="preserve">The </w:t>
      </w:r>
      <w:r>
        <w:rPr>
          <w:noProof/>
        </w:rPr>
        <w:t>reasons</w:t>
      </w:r>
      <w:r w:rsidRPr="00CE2C65">
        <w:rPr>
          <w:noProof/>
        </w:rPr>
        <w:t xml:space="preserve"> as to why this is the case are still not fully understood.  One investigation that looked at the barriers to treatment for older adults found that the most significant barrier to seeking therapy was that older adults did not </w:t>
      </w:r>
      <w:r w:rsidRPr="00026589">
        <w:rPr>
          <w:noProof/>
        </w:rPr>
        <w:t>recognise</w:t>
      </w:r>
      <w:r w:rsidRPr="00CE2C65">
        <w:rPr>
          <w:noProof/>
        </w:rPr>
        <w:t xml:space="preserve"> their problems as being sufficient to warrant help, nor did they consider their symptoms to be abnormal for their age and health conditions </w:t>
      </w:r>
      <w:r w:rsidRPr="00CE2C65">
        <w:rPr>
          <w:noProof/>
        </w:rPr>
        <w:fldChar w:fldCharType="begin" w:fldLock="1"/>
      </w:r>
      <w:r>
        <w:rPr>
          <w:noProof/>
        </w:rPr>
        <w:instrText>ADDIN CSL_CITATION {"citationItems":[{"id":"ITEM-1","itemData":{"DOI":"10.1017/S1041610215000241","ISBN":"1041-6102","ISSN":"1041-6102","PMID":"25739459","abstract":"&lt;p&gt; &lt;bold&gt;Background:&lt;/bold&gt; Older adults with mental health disorders underutilize mental health services more than other adults. While there are well known general barriers to help seeking across the population, specific barriers for older adults include difficulties with transportation, beliefs that it is normal to be anxious and depressed in old age, and beliefs by referrers that psychological therapy is less likely to be effective. This study examined barriers related to identifying the need for help, seeking help and participating in therapy in a clinical population of older adults. &lt;/p&gt;","author":[{"dropping-particle":"","family":"Wuthrich","given":"Viviana M.","non-dropping-particle":"","parse-names":false,"suffix":""},{"dropping-particle":"","family":"Frei","given":"Jacqueline","non-dropping-particle":"","parse-names":false,"suffix":""}],"container-title":"International Psychogeriatrics","id":"ITEM-1","issue":"07","issued":{"date-parts":[["2015"]]},"page":"1227-1236","title":"Barriers to treatment for older adults seeking psychological therapy","type":"article-journal","volume":"27"},"uris":["http://www.mendeley.com/documents/?uuid=a8effe2c-dea2-40d9-a96f-b5ac4dc294e1"]}],"mendeley":{"formattedCitation":"(Wuthrich and Frei, 2015)","plainTextFormattedCitation":"(Wuthrich and Frei, 2015)","previouslyFormattedCitation":"(Wuthrich and Frei, 2015)"},"properties":{"noteIndex":0},"schema":"https://github.com/citation-style-language/schema/raw/master/csl-citation.json"}</w:instrText>
      </w:r>
      <w:r w:rsidRPr="00CE2C65">
        <w:rPr>
          <w:noProof/>
        </w:rPr>
        <w:fldChar w:fldCharType="separate"/>
      </w:r>
      <w:r w:rsidRPr="00CE2C65">
        <w:rPr>
          <w:noProof/>
        </w:rPr>
        <w:t>(Wuthrich and Frei, 2015)</w:t>
      </w:r>
      <w:r w:rsidRPr="00CE2C65">
        <w:rPr>
          <w:noProof/>
        </w:rPr>
        <w:fldChar w:fldCharType="end"/>
      </w:r>
      <w:r w:rsidRPr="00CE2C65">
        <w:rPr>
          <w:noProof/>
        </w:rPr>
        <w:t>.</w:t>
      </w:r>
      <w:r>
        <w:t xml:space="preserve">  Increasing awareness and the provision of diagnostic tools may enable older adults to seek help.  </w:t>
      </w:r>
      <w:r w:rsidRPr="005C029A">
        <w:rPr>
          <w:noProof/>
        </w:rPr>
        <w:t>However</w:t>
      </w:r>
      <w:r>
        <w:rPr>
          <w:noProof/>
        </w:rPr>
        <w:t>,</w:t>
      </w:r>
      <w:r>
        <w:t xml:space="preserve"> </w:t>
      </w:r>
      <w:r>
        <w:lastRenderedPageBreak/>
        <w:t xml:space="preserve">even if this were the case, </w:t>
      </w:r>
      <w:proofErr w:type="gramStart"/>
      <w:r>
        <w:t>are</w:t>
      </w:r>
      <w:proofErr w:type="gramEnd"/>
      <w:r>
        <w:t xml:space="preserve"> present NHS England mental health services adequately provisioned to deal with older adult mental health issues?</w:t>
      </w:r>
    </w:p>
    <w:p w14:paraId="61180E60" w14:textId="77777777" w:rsidR="002B4CFD" w:rsidRDefault="002B4CFD" w:rsidP="002B4CFD">
      <w:pPr>
        <w:pStyle w:val="Heading3"/>
        <w:numPr>
          <w:ilvl w:val="2"/>
          <w:numId w:val="29"/>
        </w:numPr>
      </w:pPr>
      <w:bookmarkStart w:id="21" w:name="_Toc3538046"/>
      <w:r>
        <w:t>NHS Treatments for Mental Health Issues in Older Adults</w:t>
      </w:r>
      <w:bookmarkEnd w:id="21"/>
    </w:p>
    <w:p w14:paraId="72EC6A63" w14:textId="73BC0DD6" w:rsidR="002B4CFD" w:rsidRDefault="002B4CFD" w:rsidP="002B4CFD">
      <w:r>
        <w:t>A great deal of face-to-face therapy in NHS mental health services is done using cognitive behaviour</w:t>
      </w:r>
      <w:r w:rsidR="00035ABE">
        <w:t>al</w:t>
      </w:r>
      <w:r>
        <w:t xml:space="preserve"> therapy (CBT) which has a considerable evidence base supporting its effectiveness </w:t>
      </w:r>
      <w:r>
        <w:fldChar w:fldCharType="begin" w:fldLock="1"/>
      </w:r>
      <w:r>
        <w:instrText>ADDIN CSL_CITATION {"citationItems":[{"id":"ITEM-1","itemData":{"DOI":"10.1016/j.cpr.2005.07.003","ISBN":"0272-7358","ISSN":"02727358","PMID":"16199119","abstract":"This review summarizes the current meta-analysis literature on treatment outcomes of CBT for a wide range of psychiatric disorders. A search of the literature resulted in a total of 16 methodologically rigorous meta-analyses. Our review focuses on effect sizes that contrast outcomes for CBT with outcomes for various control groups for each disorder, which provides an overview of the effectiveness of cognitive therapy as quantified by meta-analysis. Large effect sizes were found for CBT for unipolar depression, generalized anxiety disorder, panic disorder with or without agoraphobia, social phobia, posttraumatic stress disorder, and childhood depressive and anxiety disorders. Effect sizes for CBT of marital distress, anger, childhood somatic disorders, and chronic pain were in the moderate range. CBT was somewhat superior to antidepressants in the treatment of adult depression. CBT was equally effective as behavior therapy in the treatment of adult depression and obsessive-compulsive disorder. Large uncontrolled effect sizes were found for bulimia nervosa and schizophrenia. The 16 meta-analyses we reviewed support the efficacy of CBT for many disorders. While limitations of the meta-analytic approach need to be considered in interpreting the results of this review, our findings are consistent with other review methodologies that also provide support for the efficacy CBT. ?? 2005 Elsevier Ltd. All rights reserved.","author":[{"dropping-particle":"","family":"Butler","given":"Andrew C.","non-dropping-particle":"","parse-names":false,"suffix":""},{"dropping-particle":"","family":"Chapman","given":"Jason E.","non-dropping-particle":"","parse-names":false,"suffix":""},{"dropping-particle":"","family":"Forman","given":"Evan M.","non-dropping-particle":"","parse-names":false,"suffix":""},{"dropping-particle":"","family":"Beck","given":"Aaron T.","non-dropping-particle":"","parse-names":false,"suffix":""}],"container-title":"Clinical Psychology Review","id":"ITEM-1","issue":"1","issued":{"date-parts":[["2006"]]},"page":"17-31","title":"The empirical status of cognitive-behavioral therapy: A review of meta-analyses","type":"article-journal","volume":"26"},"uris":["http://www.mendeley.com/documents/?uuid=cedd8582-c114-41ae-bf27-0728f3d9b6d3"]}],"mendeley":{"formattedCitation":"(Butler &lt;i&gt;et al.&lt;/i&gt;, 2006)","plainTextFormattedCitation":"(Butler et al., 2006)","previouslyFormattedCitation":"(Butler &lt;i&gt;et al.&lt;/i&gt;, 2006)"},"properties":{"noteIndex":0},"schema":"https://github.com/citation-style-language/schema/raw/master/csl-citation.json"}</w:instrText>
      </w:r>
      <w:r>
        <w:fldChar w:fldCharType="separate"/>
      </w:r>
      <w:r w:rsidRPr="00150B80">
        <w:rPr>
          <w:noProof/>
        </w:rPr>
        <w:t xml:space="preserve">(Butler </w:t>
      </w:r>
      <w:r w:rsidRPr="00150B80">
        <w:rPr>
          <w:i/>
          <w:noProof/>
        </w:rPr>
        <w:t>et al.</w:t>
      </w:r>
      <w:r w:rsidRPr="00150B80">
        <w:rPr>
          <w:noProof/>
        </w:rPr>
        <w:t>, 2006)</w:t>
      </w:r>
      <w:r>
        <w:fldChar w:fldCharType="end"/>
      </w:r>
      <w:r>
        <w:t xml:space="preserve"> and has been shown to be effective with older adults </w:t>
      </w:r>
      <w:r>
        <w:fldChar w:fldCharType="begin" w:fldLock="1"/>
      </w:r>
      <w:r>
        <w:instrText>ADDIN CSL_CITATION {"citationItems":[{"id":"ITEM-1","itemData":{"DOI":"10.1037/0882-7974.22.1.8","ISBN":"0882-7974 (Print)\\r0882-7974 (Linking)","ISSN":"1939-1498","PMID":"17385978","abstract":"This project identified evidence-based psychotherapy treatments for anxiety disorders in older adults. The authors conducted a review of the geriatric anxiety treatment outcome literature by using specific coding criteria and identified 17 studies that met criteria for evidence-based treatments (EBTs). These studies reflected samples of adults with generalized anxiety disorder (GAD) or samples with mixed anxiety disorders or symptoms. Evidence was found for efficacy for 4 types of EBTs. Relaxation training, cognitive-behavioral therapy (CBT), and, to a lesser extent, supportive therapy and cognitive therapy have support for treating subjective anxiety symptoms and disorders. CBT for late-life GAD has garnered the most consistent support, and relaxation training represents an efficacious, relatively low-cost intervention. The authors provide a review of the strengths and limitations of this research literature, including a discussion of common assessment instruments. Continued investigation of EBTs is needed in clinical geriatric anxiety samples, given the small number of available studies. Future research should examine other therapy models and investigate the effects of psychotherapy on other anxiety disorders, such as phobias and posttraumatic stress disorder in older adults.","author":[{"dropping-particle":"","family":"Ayers","given":"Catherine R.","non-dropping-particle":"","parse-names":false,"suffix":""},{"dropping-particle":"","family":"Sorrell","given":"John T.","non-dropping-particle":"","parse-names":false,"suffix":""},{"dropping-particle":"","family":"Thorp","given":"Steven R.","non-dropping-particle":"","parse-names":false,"suffix":""},{"dropping-particle":"","family":"Wetherell","given":"Julie Loebach","non-dropping-particle":"","parse-names":false,"suffix":""}],"container-title":"Psychology and Aging","id":"ITEM-1","issue":"1","issued":{"date-parts":[["2007"]]},"page":"8-17","title":"Evidence-based psychological treatments for late-life anxiety.","type":"article-journal","volume":"22"},"uris":["http://www.mendeley.com/documents/?uuid=a6172b38-0f4e-4417-b13c-71ec266f6a86"]},{"id":"ITEM-2","itemData":{"DOI":"10.1017/S1352465804001584","ISBN":"1469-1833","ISSN":"1352-4658","abstract":"Cognitive behaviour therapy (CBT) has proven efficacy as a treatment for depression in older people. An important debate amongst therapists working with older people is whether CBT needs to be adapted to ensure optimal treatment outcome and, if so, what adaptations are necessary. It is accepted that psychotherapy with older people can differ from psychotherapy with younger people in a number of important respects because of the higher likelihood of chronic conditions, changes in cognitive capacity, potential loss experiences and different cohort belief systems. As psychotherapists are often much less comfortable dealing with physical problems, they may become negatively biased in terms of outcome when patients present with co-morbid health issues. The impact of loss experiences in older people can also be overemphasized in their importance by inexperienced therapists and can result in lowered expectations for therapy outcome. Consequently, there is a need to develop a model that addresses age related issues within a coherent cognitive therapy framework suitable for older people. This paper describes a CBT model that is augmented with applied gerontological knowledge, taking account of cohort beliefs, intergenerational linkages, sociocultural context, health status/beliefs and role investments/transitions. Clinical examples are used throughout to illustrate clinical implications of the model. [PUBLICATION ABSTRACT]","author":[{"dropping-particle":"","family":"Laidlaw","given":"Ken","non-dropping-particle":"","parse-names":false,"suffix":""},{"dropping-particle":"","family":"Thompson","given":"Larry W.","non-dropping-particle":"","parse-names":false,"suffix":""},{"dropping-particle":"","family":"Gallagher-Thompson","given":"Dolores","non-dropping-particle":"","parse-names":false,"suffix":""}],"container-title":"Behavioural and Cognitive Psychotherapy","id":"ITEM-2","issue":"4","issued":{"date-parts":[["2004"]]},"page":"389-399","title":"Comprehensive Conceptualization of Cognitive Behaviour Therapy for Late Life Depression","type":"article-journal","volume":"32"},"uris":["http://www.mendeley.com/documents/?uuid=4a2dc0ef-b723-4d87-a671-4015924672df"]}],"mendeley":{"formattedCitation":"(Laidlaw, Thompson and Gallagher-Thompson, 2004; Ayers &lt;i&gt;et al.&lt;/i&gt;, 2007)","plainTextFormattedCitation":"(Laidlaw, Thompson and Gallagher-Thompson, 2004; Ayers et al., 2007)","previouslyFormattedCitation":"(Laidlaw, Thompson and Gallagher-Thompson, 2004; Ayers &lt;i&gt;et al.&lt;/i&gt;, 2007)"},"properties":{"noteIndex":0},"schema":"https://github.com/citation-style-language/schema/raw/master/csl-citation.json"}</w:instrText>
      </w:r>
      <w:r>
        <w:fldChar w:fldCharType="separate"/>
      </w:r>
      <w:r w:rsidRPr="00150B80">
        <w:rPr>
          <w:noProof/>
        </w:rPr>
        <w:t xml:space="preserve">(Laidlaw, Thompson and Gallagher-Thompson, 2004; Ayers </w:t>
      </w:r>
      <w:r w:rsidRPr="00150B80">
        <w:rPr>
          <w:i/>
          <w:noProof/>
        </w:rPr>
        <w:t>et al.</w:t>
      </w:r>
      <w:r w:rsidRPr="00150B80">
        <w:rPr>
          <w:noProof/>
        </w:rPr>
        <w:t>, 2007)</w:t>
      </w:r>
      <w:r>
        <w:fldChar w:fldCharType="end"/>
      </w:r>
      <w:r>
        <w:t xml:space="preserve">.  </w:t>
      </w:r>
      <w:r w:rsidRPr="005C029A">
        <w:rPr>
          <w:noProof/>
        </w:rPr>
        <w:t>However</w:t>
      </w:r>
      <w:r>
        <w:rPr>
          <w:noProof/>
        </w:rPr>
        <w:t>,</w:t>
      </w:r>
      <w:r>
        <w:t xml:space="preserve"> CBT is not without its limitations when being used with older adults.  The cognitive aspects of CBT are less effective and behaviour techniques, particularly relaxation therapy, are seen as being the more effective components of CBT in later life </w:t>
      </w:r>
      <w:r>
        <w:fldChar w:fldCharType="begin" w:fldLock="1"/>
      </w:r>
      <w:r>
        <w:instrText>ADDIN CSL_CITATION {"citationItems":[{"id":"ITEM-1","itemData":{"DOI":"10.1192/bjp.bp.113.127639","ISBN":"1472-1465","ISSN":"00071250","PMID":"23818533","abstract":"Although anxiety disorders are common in later life, only a minority of patients receive appropriate treatment. The scarcity of clinical trials and decreasing effectiveness of current treatment modalities with advancing age, as shown by Wetherell and colleagues in this issue, argue for more clinical trials and development of age-specific psychotherapeutic techniques.","author":[{"dropping-particle":"","family":"Oude Voshaar","given":"Richard C.","non-dropping-particle":"","parse-names":false,"suffix":""}],"container-title":"British Journal of Psychiatry","id":"ITEM-1","issue":"1","issued":{"date-parts":[["2013"]]},"page":"8-9","title":"Lack of interventions for anxiety in older people","type":"article-journal","volume":"203"},"uris":["http://www.mendeley.com/documents/?uuid=1bb7b424-500f-49ce-ae28-14a30a6375e2"]}],"mendeley":{"formattedCitation":"(Oude Voshaar, 2013)","plainTextFormattedCitation":"(Oude Voshaar, 2013)","previouslyFormattedCitation":"(Oude Voshaar, 2013)"},"properties":{"noteIndex":0},"schema":"https://github.com/citation-style-language/schema/raw/master/csl-citation.json"}</w:instrText>
      </w:r>
      <w:r>
        <w:fldChar w:fldCharType="separate"/>
      </w:r>
      <w:r w:rsidRPr="00150B80">
        <w:rPr>
          <w:noProof/>
        </w:rPr>
        <w:t>(Oude Voshaar, 2013)</w:t>
      </w:r>
      <w:r>
        <w:fldChar w:fldCharType="end"/>
      </w:r>
      <w:r>
        <w:t>.</w:t>
      </w:r>
    </w:p>
    <w:p w14:paraId="72BA5F48" w14:textId="7CD06EAF" w:rsidR="002B4CFD" w:rsidRDefault="002B4CFD" w:rsidP="002B4CFD">
      <w:r w:rsidRPr="00155B34">
        <w:rPr>
          <w:bCs/>
          <w:lang w:eastAsia="en-GB"/>
        </w:rPr>
        <w:t>Improving Access to Psychological Therapies</w:t>
      </w:r>
      <w:r w:rsidRPr="00155B34">
        <w:rPr>
          <w:lang w:eastAsia="en-GB"/>
        </w:rPr>
        <w:t> </w:t>
      </w:r>
      <w:r>
        <w:rPr>
          <w:lang w:eastAsia="en-GB"/>
        </w:rPr>
        <w:t>(</w:t>
      </w:r>
      <w:r w:rsidRPr="00155B34">
        <w:rPr>
          <w:lang w:eastAsia="en-GB"/>
        </w:rPr>
        <w:t>IAPT</w:t>
      </w:r>
      <w:r>
        <w:rPr>
          <w:lang w:eastAsia="en-GB"/>
        </w:rPr>
        <w:t>)</w:t>
      </w:r>
      <w:r w:rsidRPr="00155B34">
        <w:rPr>
          <w:lang w:eastAsia="en-GB"/>
        </w:rPr>
        <w:t> is a programme which began in 2008 with the objective to</w:t>
      </w:r>
      <w:r>
        <w:rPr>
          <w:lang w:eastAsia="en-GB"/>
        </w:rPr>
        <w:t xml:space="preserve"> </w:t>
      </w:r>
      <w:r w:rsidRPr="00155B34">
        <w:rPr>
          <w:lang w:eastAsia="en-GB"/>
        </w:rPr>
        <w:t xml:space="preserve">improve access to </w:t>
      </w:r>
      <w:r w:rsidRPr="005C029A">
        <w:rPr>
          <w:noProof/>
          <w:lang w:eastAsia="en-GB"/>
        </w:rPr>
        <w:t>evidence</w:t>
      </w:r>
      <w:r>
        <w:rPr>
          <w:noProof/>
          <w:lang w:eastAsia="en-GB"/>
        </w:rPr>
        <w:t>-</w:t>
      </w:r>
      <w:r w:rsidRPr="005C029A">
        <w:rPr>
          <w:noProof/>
          <w:lang w:eastAsia="en-GB"/>
        </w:rPr>
        <w:t>based</w:t>
      </w:r>
      <w:r w:rsidRPr="00155B34">
        <w:rPr>
          <w:lang w:eastAsia="en-GB"/>
        </w:rPr>
        <w:t xml:space="preserve"> psychological therapies for people with </w:t>
      </w:r>
      <w:r>
        <w:rPr>
          <w:lang w:eastAsia="en-GB"/>
        </w:rPr>
        <w:t>mental health problems</w:t>
      </w:r>
      <w:r w:rsidRPr="00155B34">
        <w:rPr>
          <w:lang w:eastAsia="en-GB"/>
        </w:rPr>
        <w:t xml:space="preserve"> </w:t>
      </w:r>
      <w:r>
        <w:rPr>
          <w:lang w:eastAsia="en-GB"/>
        </w:rPr>
        <w:fldChar w:fldCharType="begin" w:fldLock="1"/>
      </w:r>
      <w:r>
        <w:rPr>
          <w:lang w:eastAsia="en-GB"/>
        </w:rPr>
        <w:instrText>ADDIN CSL_CITATION {"citationItems":[{"id":"ITEM-1","itemData":{"DOI":"10.1016/j.brat.2009.07.010","ISSN":"1873-622X","PMID":"19647230","abstract":"Recently the UK Government announced an unprecedented, large-scale initiative for Improving Access to Psychological Therapies (IAPT) for depression and anxiety disorders. Prior to this development, the Department of Health established two pilot projects that aimed to collect valuable information to inform the national roll-out. Doncaster and Newham received additional funds to rapidly increase the availability of CBT-related interventions and to deploy them in new clinical services, operating on stepped-care principles, when appropriate. This article reports an evaluation of the new services (termed 'demonstration sites') during their first thirteen months of operation. A session-by-session outcome monitoring system achieved unusually high levels of pre to post-treatment data completeness. Large numbers of patients were treated, with low-intensity interventions (such as guided self-help) being particularly helpful for achieving high throughput. Clinical outcomes were broadly in line with expectation. 55-56% of patients who had attended at least twice (including the assessment interview) were classified as recovered when they left the services and 5% had improved their employment status. Treatment gains were largely maintained at 10 month follow-up. Opening the services to self-referral appeared to facilitate access for some groups that tend to be underrepresented in general practice referrals. Outcomes were comparable for the different ethnic groups who access the services. Issues for the further development of IAPT are discussed.","author":[{"dropping-particle":"","family":"Clark","given":"David M","non-dropping-particle":"","parse-names":false,"suffix":""},{"dropping-particle":"","family":"Layard","given":"Richard","non-dropping-particle":"","parse-names":false,"suffix":""},{"dropping-particle":"","family":"Smithies","given":"Rachel","non-dropping-particle":"","parse-names":false,"suffix":""},{"dropping-particle":"","family":"Richards","given":"David A","non-dropping-particle":"","parse-names":false,"suffix":""},{"dropping-particle":"","family":"Suckling","given":"Rupert","non-dropping-particle":"","parse-names":false,"suffix":""},{"dropping-particle":"","family":"Wright","given":"Benjamin","non-dropping-particle":"","parse-names":false,"suffix":""}],"container-title":"Behaviour research and therapy","id":"ITEM-1","issue":"11","issued":{"date-parts":[["2009","11"]]},"page":"910-20","publisher":"Elsevier","title":"Improving access to psychological therapy: Initial evaluation of two UK demonstration sites.","type":"article-journal","volume":"47"},"uris":["http://www.mendeley.com/documents/?uuid=065bc9eb-6a85-3e80-9ed3-1e516bc14626"]}],"mendeley":{"formattedCitation":"(Clark &lt;i&gt;et al.&lt;/i&gt;, 2009)","plainTextFormattedCitation":"(Clark et al., 2009)","previouslyFormattedCitation":"(Clark &lt;i&gt;et al.&lt;/i&gt;, 2009)"},"properties":{"noteIndex":0},"schema":"https://github.com/citation-style-language/schema/raw/master/csl-citation.json"}</w:instrText>
      </w:r>
      <w:r>
        <w:rPr>
          <w:lang w:eastAsia="en-GB"/>
        </w:rPr>
        <w:fldChar w:fldCharType="separate"/>
      </w:r>
      <w:r w:rsidRPr="00820454">
        <w:rPr>
          <w:noProof/>
          <w:lang w:eastAsia="en-GB"/>
        </w:rPr>
        <w:t xml:space="preserve">(Clark </w:t>
      </w:r>
      <w:r w:rsidRPr="00820454">
        <w:rPr>
          <w:i/>
          <w:noProof/>
          <w:lang w:eastAsia="en-GB"/>
        </w:rPr>
        <w:t>et al.</w:t>
      </w:r>
      <w:r w:rsidRPr="00820454">
        <w:rPr>
          <w:noProof/>
          <w:lang w:eastAsia="en-GB"/>
        </w:rPr>
        <w:t>, 2009)</w:t>
      </w:r>
      <w:r>
        <w:rPr>
          <w:lang w:eastAsia="en-GB"/>
        </w:rPr>
        <w:fldChar w:fldCharType="end"/>
      </w:r>
      <w:r>
        <w:rPr>
          <w:lang w:eastAsia="en-GB"/>
        </w:rPr>
        <w:t xml:space="preserve">.  </w:t>
      </w:r>
      <w:r w:rsidRPr="005C029A">
        <w:rPr>
          <w:noProof/>
        </w:rPr>
        <w:t xml:space="preserve">IAPT saw 953,522 enter treatment in 2015/2016 </w:t>
      </w:r>
      <w:r w:rsidRPr="005C029A">
        <w:rPr>
          <w:noProof/>
        </w:rPr>
        <w:fldChar w:fldCharType="begin" w:fldLock="1"/>
      </w:r>
      <w:r>
        <w:rPr>
          <w:noProof/>
        </w:rPr>
        <w:instrText>ADDIN CSL_CITATION {"citationItems":[{"id":"ITEM-1","itemData":{"ISBN":"978-1-78386-841-4","abstract":"Improving Access to Psychological Therapies (IAPT) is an NHS programme in England that offers interventions approved by the National Institute for Health and Care Excellence (NICE)1 for treating people with depression or anxiety. The IAPT programme is supported by a regular return of data generated by providers of IAPT services in the course of delivering those services to patients. These data are received by NHS Digital and published in monthly and annual reports2 . This report summarises activity in the IAPT programme for the annual period 1st April 2015 to 31st March 2016, and is the fourth such report published3 . It shows key information about activity, patient outcomes and waiting times.","author":[{"dropping-particle":"","family":"HSCIC","given":"","non-dropping-particle":"","parse-names":false,"suffix":""}],"id":"ITEM-1","issue":"October","issued":{"date-parts":[["2016"]]},"title":"Psychological Therapies: Annual report on the use of IAPT services","type":"report"},"uris":["http://www.mendeley.com/documents/?uuid=6b4ac1f9-92b0-38cf-8d6b-86d9c8fba0f8"]}],"mendeley":{"formattedCitation":"(HSCIC, 2016)","plainTextFormattedCitation":"(HSCIC, 2016)","previouslyFormattedCitation":"(HSCIC, 2016)"},"properties":{"noteIndex":0},"schema":"https://github.com/citation-style-language/schema/raw/master/csl-citation.json"}</w:instrText>
      </w:r>
      <w:r w:rsidRPr="005C029A">
        <w:rPr>
          <w:noProof/>
        </w:rPr>
        <w:fldChar w:fldCharType="separate"/>
      </w:r>
      <w:r w:rsidRPr="005C029A">
        <w:rPr>
          <w:noProof/>
        </w:rPr>
        <w:t>(HSCIC, 2016)</w:t>
      </w:r>
      <w:r w:rsidRPr="005C029A">
        <w:rPr>
          <w:noProof/>
        </w:rPr>
        <w:fldChar w:fldCharType="end"/>
      </w:r>
      <w:r w:rsidRPr="005C029A">
        <w:rPr>
          <w:noProof/>
        </w:rPr>
        <w:t xml:space="preserve"> but despite the service </w:t>
      </w:r>
      <w:r w:rsidRPr="00B65967">
        <w:rPr>
          <w:noProof/>
        </w:rPr>
        <w:t>being</w:t>
      </w:r>
      <w:r w:rsidRPr="005C029A">
        <w:rPr>
          <w:noProof/>
        </w:rPr>
        <w:t xml:space="preserve"> open to all adults</w:t>
      </w:r>
      <w:r>
        <w:rPr>
          <w:noProof/>
        </w:rPr>
        <w:t xml:space="preserve">, the </w:t>
      </w:r>
      <w:r w:rsidRPr="005C029A">
        <w:rPr>
          <w:noProof/>
        </w:rPr>
        <w:t>older adult</w:t>
      </w:r>
      <w:r>
        <w:rPr>
          <w:noProof/>
        </w:rPr>
        <w:t xml:space="preserve"> population is underrepresented</w:t>
      </w:r>
      <w:r w:rsidRPr="005C029A">
        <w:rPr>
          <w:noProof/>
        </w:rPr>
        <w:t xml:space="preserve"> with a national group average of </w:t>
      </w:r>
      <w:r>
        <w:rPr>
          <w:noProof/>
        </w:rPr>
        <w:t xml:space="preserve">only </w:t>
      </w:r>
      <w:r w:rsidRPr="005C029A">
        <w:rPr>
          <w:noProof/>
        </w:rPr>
        <w:t xml:space="preserve">7% in </w:t>
      </w:r>
      <w:r w:rsidRPr="00FB7B6D">
        <w:t>2015/16</w:t>
      </w:r>
      <w:r>
        <w:t xml:space="preserve">.  </w:t>
      </w:r>
      <w:proofErr w:type="gramStart"/>
      <w:r>
        <w:t>A</w:t>
      </w:r>
      <w:r w:rsidRPr="00FB7B6D">
        <w:t xml:space="preserve"> study by Chaplin et al</w:t>
      </w:r>
      <w:r w:rsidR="00554CB4">
        <w:t>.</w:t>
      </w:r>
      <w:proofErr w:type="gramEnd"/>
      <w:r w:rsidR="00554CB4">
        <w:t xml:space="preserve">  </w:t>
      </w:r>
      <w:r w:rsidRPr="00FB7B6D">
        <w:fldChar w:fldCharType="begin" w:fldLock="1"/>
      </w:r>
      <w:r>
        <w:instrText>ADDIN CSL_CITATION {"citationItems":[{"id":"ITEM-1","itemData":{"DOI":"10.1002/gps.4122","ISSN":"08856230","author":[{"dropping-particle":"","family":"Chaplin","given":"Robert","non-dropping-particle":"","parse-names":false,"suffix":""},{"dropping-particle":"","family":"Farquharson","given":"Lorna","non-dropping-particle":"","parse-names":false,"suffix":""},{"dropping-particle":"","family":"Clapp","given":"Melissa","non-dropping-particle":"","parse-names":false,"suffix":""},{"dropping-particle":"","family":"Crawford","given":"Mike","non-dropping-particle":"","parse-names":false,"suffix":""}],"container-title":"International Journal of Geriatric Psychiatry","id":"ITEM-1","issue":"2","issued":{"date-parts":[["2015","2","1"]]},"page":"178-184","publisher":"Wiley-Blackwell","title":"Comparison of access, outcomes and experiences of older adults and working age adults in psychological therapy","type":"article-journal","volume":"30"},"uris":["http://www.mendeley.com/documents/?uuid=c71d5cc9-6da4-3fd7-a00a-0b57b619a802"]}],"mendeley":{"formattedCitation":"(Chaplin &lt;i&gt;et al.&lt;/i&gt;, 2015)","manualFormatting":"(2015)","plainTextFormattedCitation":"(Chaplin et al., 2015)","previouslyFormattedCitation":"(Chaplin &lt;i&gt;et al.&lt;/i&gt;, 2015)"},"properties":{"noteIndex":0},"schema":"https://github.com/citation-style-language/schema/raw/master/csl-citation.json"}</w:instrText>
      </w:r>
      <w:r w:rsidRPr="00FB7B6D">
        <w:fldChar w:fldCharType="separate"/>
      </w:r>
      <w:r w:rsidRPr="00FB7B6D">
        <w:rPr>
          <w:noProof/>
        </w:rPr>
        <w:t>(2015)</w:t>
      </w:r>
      <w:r w:rsidRPr="00FB7B6D">
        <w:fldChar w:fldCharType="end"/>
      </w:r>
      <w:r w:rsidRPr="00FB7B6D">
        <w:t xml:space="preserve"> </w:t>
      </w:r>
      <w:r>
        <w:t xml:space="preserve">distributed a service user questionnaire to </w:t>
      </w:r>
      <w:r w:rsidRPr="00FB7B6D">
        <w:t xml:space="preserve">220 </w:t>
      </w:r>
      <w:r>
        <w:t xml:space="preserve">IAPT </w:t>
      </w:r>
      <w:r w:rsidRPr="00FB7B6D">
        <w:t>services across 97 organisations and found similar results</w:t>
      </w:r>
      <w:r>
        <w:t xml:space="preserve"> to the national dataset</w:t>
      </w:r>
      <w:r w:rsidRPr="00FB7B6D">
        <w:t xml:space="preserve"> with</w:t>
      </w:r>
      <w:r>
        <w:t xml:space="preserve"> older adults representing</w:t>
      </w:r>
      <w:r w:rsidRPr="00FB7B6D">
        <w:t xml:space="preserve"> 6.4% of </w:t>
      </w:r>
      <w:r>
        <w:t>those treated</w:t>
      </w:r>
      <w:r w:rsidRPr="00FB7B6D">
        <w:t xml:space="preserve">.  </w:t>
      </w:r>
      <w:r>
        <w:rPr>
          <w:noProof/>
        </w:rPr>
        <w:t>This percentage is</w:t>
      </w:r>
      <w:r w:rsidRPr="005C029A">
        <w:rPr>
          <w:noProof/>
        </w:rPr>
        <w:t xml:space="preserve"> 5</w:t>
      </w:r>
      <w:r>
        <w:rPr>
          <w:noProof/>
        </w:rPr>
        <w:t>.6</w:t>
      </w:r>
      <w:r w:rsidRPr="005C029A">
        <w:rPr>
          <w:noProof/>
        </w:rPr>
        <w:t xml:space="preserve">% less than the target </w:t>
      </w:r>
      <w:r>
        <w:rPr>
          <w:noProof/>
        </w:rPr>
        <w:t xml:space="preserve">for older adults set </w:t>
      </w:r>
      <w:r w:rsidRPr="005C029A">
        <w:rPr>
          <w:noProof/>
        </w:rPr>
        <w:t xml:space="preserve">by the Department of Health in 2011 </w:t>
      </w:r>
      <w:r w:rsidRPr="005C029A">
        <w:rPr>
          <w:noProof/>
        </w:rPr>
        <w:fldChar w:fldCharType="begin" w:fldLock="1"/>
      </w:r>
      <w:r>
        <w:rPr>
          <w:noProof/>
        </w:rPr>
        <w:instrText>ADDIN CSL_CITATION {"citationItems":[{"id":"ITEM-1","itemData":{"abstract":"This plan outlines how the Government’s commitment to expanding access to psychological therapies will be delivered in the four years from April 2011, with business continuity during structural reform of the NHS.","author":[{"dropping-particle":"","family":"Department of Health","given":"","non-dropping-particle":"","parse-names":false,"suffix":""}],"id":"ITEM-1","issued":{"date-parts":[["2011"]]},"page":"1-28","title":"Talking therapies: A four-year plan of action. A supporting document to No health without mental health: A cross- government mental health outcomes strategy for people of all ages","type":"article-journal"},"uris":["http://www.mendeley.com/documents/?uuid=06d73db6-9791-36e3-b3b9-dad7a95fb9dc"]}],"mendeley":{"formattedCitation":"(Department of Health, 2011)","plainTextFormattedCitation":"(Department of Health, 2011)","previouslyFormattedCitation":"(Department of Health, 2011)"},"properties":{"noteIndex":0},"schema":"https://github.com/citation-style-language/schema/raw/master/csl-citation.json"}</w:instrText>
      </w:r>
      <w:r w:rsidRPr="005C029A">
        <w:rPr>
          <w:noProof/>
        </w:rPr>
        <w:fldChar w:fldCharType="separate"/>
      </w:r>
      <w:r w:rsidRPr="005C029A">
        <w:rPr>
          <w:noProof/>
        </w:rPr>
        <w:t>(Department of Health, 2011)</w:t>
      </w:r>
      <w:r w:rsidRPr="005C029A">
        <w:rPr>
          <w:noProof/>
        </w:rPr>
        <w:fldChar w:fldCharType="end"/>
      </w:r>
      <w:r w:rsidRPr="005C029A">
        <w:rPr>
          <w:noProof/>
        </w:rPr>
        <w:t>.</w:t>
      </w:r>
      <w:r>
        <w:rPr>
          <w:noProof/>
        </w:rPr>
        <w:t xml:space="preserve">  </w:t>
      </w:r>
      <w:r w:rsidRPr="005C029A">
        <w:rPr>
          <w:noProof/>
        </w:rPr>
        <w:t xml:space="preserve">HSCIC </w:t>
      </w:r>
      <w:r w:rsidRPr="005C029A">
        <w:rPr>
          <w:noProof/>
        </w:rPr>
        <w:fldChar w:fldCharType="begin" w:fldLock="1"/>
      </w:r>
      <w:r>
        <w:rPr>
          <w:noProof/>
        </w:rPr>
        <w:instrText>ADDIN CSL_CITATION {"citationItems":[{"id":"ITEM-1","itemData":{"ISBN":"978-1-78386-841-4","abstract":"Improving Access to Psychological Therapies (IAPT) is an NHS programme in England that offers interventions approved by the National Institute for Health and Care Excellence (NICE)1 for treating people with depression or anxiety. The IAPT programme is supported by a regular return of data generated by providers of IAPT services in the course of delivering those services to patients. These data are received by NHS Digital and published in monthly and annual reports2 . This report summarises activity in the IAPT programme for the annual period 1st April 2015 to 31st March 2016, and is the fourth such report published3 . It shows key information about activity, patient outcomes and waiting times.","author":[{"dropping-particle":"","family":"HSCIC","given":"","non-dropping-particle":"","parse-names":false,"suffix":""}],"id":"ITEM-1","issue":"October","issued":{"date-parts":[["2016"]]},"title":"Psychological Therapies: Annual report on the use of IAPT services","type":"report"},"uris":["http://www.mendeley.com/documents/?uuid=6b4ac1f9-92b0-38cf-8d6b-86d9c8fba0f8"]}],"mendeley":{"formattedCitation":"(HSCIC, 2016)","manualFormatting":"(2016)","plainTextFormattedCitation":"(HSCIC, 2016)","previouslyFormattedCitation":"(HSCIC, 2016)"},"properties":{"noteIndex":0},"schema":"https://github.com/citation-style-language/schema/raw/master/csl-citation.json"}</w:instrText>
      </w:r>
      <w:r w:rsidRPr="005C029A">
        <w:rPr>
          <w:noProof/>
        </w:rPr>
        <w:fldChar w:fldCharType="separate"/>
      </w:r>
      <w:r w:rsidRPr="005C029A">
        <w:rPr>
          <w:noProof/>
        </w:rPr>
        <w:t>(2016)</w:t>
      </w:r>
      <w:r w:rsidRPr="005C029A">
        <w:rPr>
          <w:noProof/>
        </w:rPr>
        <w:fldChar w:fldCharType="end"/>
      </w:r>
      <w:r>
        <w:rPr>
          <w:noProof/>
        </w:rPr>
        <w:t xml:space="preserve"> report the recovery rate for those </w:t>
      </w:r>
      <w:r w:rsidRPr="005C029A">
        <w:rPr>
          <w:noProof/>
        </w:rPr>
        <w:t xml:space="preserve">aged 65 </w:t>
      </w:r>
      <w:r>
        <w:rPr>
          <w:noProof/>
        </w:rPr>
        <w:t>or</w:t>
      </w:r>
      <w:r w:rsidRPr="005C029A">
        <w:rPr>
          <w:noProof/>
        </w:rPr>
        <w:t xml:space="preserve"> over </w:t>
      </w:r>
      <w:r>
        <w:rPr>
          <w:noProof/>
        </w:rPr>
        <w:t xml:space="preserve">as being </w:t>
      </w:r>
      <w:r w:rsidRPr="005C029A">
        <w:rPr>
          <w:noProof/>
        </w:rPr>
        <w:t>60.4%</w:t>
      </w:r>
      <w:r>
        <w:rPr>
          <w:noProof/>
        </w:rPr>
        <w:t>,</w:t>
      </w:r>
      <w:r w:rsidRPr="005C029A">
        <w:rPr>
          <w:noProof/>
        </w:rPr>
        <w:t xml:space="preserve"> noticeably higher than the 45.4% </w:t>
      </w:r>
      <w:r>
        <w:rPr>
          <w:noProof/>
        </w:rPr>
        <w:t>recover</w:t>
      </w:r>
      <w:r w:rsidRPr="005C029A">
        <w:rPr>
          <w:noProof/>
        </w:rPr>
        <w:t xml:space="preserve"> </w:t>
      </w:r>
      <w:r>
        <w:rPr>
          <w:noProof/>
        </w:rPr>
        <w:t xml:space="preserve">rate </w:t>
      </w:r>
      <w:r w:rsidRPr="005C029A">
        <w:rPr>
          <w:noProof/>
        </w:rPr>
        <w:t xml:space="preserve">of </w:t>
      </w:r>
      <w:r>
        <w:rPr>
          <w:noProof/>
        </w:rPr>
        <w:t xml:space="preserve">those of </w:t>
      </w:r>
      <w:r w:rsidRPr="005C029A">
        <w:rPr>
          <w:noProof/>
        </w:rPr>
        <w:t xml:space="preserve">working age (18 to 64) </w:t>
      </w:r>
      <w:r w:rsidRPr="005C029A">
        <w:rPr>
          <w:noProof/>
        </w:rPr>
        <w:fldChar w:fldCharType="begin" w:fldLock="1"/>
      </w:r>
      <w:r>
        <w:rPr>
          <w:noProof/>
        </w:rPr>
        <w:instrText>ADDIN CSL_CITATION {"citationItems":[{"id":"ITEM-1","itemData":{"ISBN":"978-1-78386-841-4","abstract":"Improving Access to Psychological Therapies (IAPT) is an NHS programme in England that offers interventions approved by the National Institute for Health and Care Excellence (NICE)1 for treating people with depression or anxiety. The IAPT programme is supported by a regular return of data generated by providers of IAPT services in the course of delivering those services to patients. These data are received by NHS Digital and published in monthly and annual reports2 . This report summarises activity in the IAPT programme for the annual period 1st April 2015 to 31st March 2016, and is the fourth such report published3 . It shows key information about activity, patient outcomes and waiting times.","author":[{"dropping-particle":"","family":"HSCIC","given":"","non-dropping-particle":"","parse-names":false,"suffix":""}],"id":"ITEM-1","issue":"October","issued":{"date-parts":[["2016"]]},"title":"Psychological Therapies: Annual report on the use of IAPT services","type":"report"},"uris":["http://www.mendeley.com/documents/?uuid=6b4ac1f9-92b0-38cf-8d6b-86d9c8fba0f8"]}],"mendeley":{"formattedCitation":"(HSCIC, 2016)","plainTextFormattedCitation":"(HSCIC, 2016)","previouslyFormattedCitation":"(HSCIC, 2016)"},"properties":{"noteIndex":0},"schema":"https://github.com/citation-style-language/schema/raw/master/csl-citation.json"}</w:instrText>
      </w:r>
      <w:r w:rsidRPr="005C029A">
        <w:rPr>
          <w:noProof/>
        </w:rPr>
        <w:fldChar w:fldCharType="separate"/>
      </w:r>
      <w:r w:rsidRPr="005C029A">
        <w:rPr>
          <w:noProof/>
        </w:rPr>
        <w:t>(HSCIC, 2016)</w:t>
      </w:r>
      <w:r w:rsidRPr="005C029A">
        <w:rPr>
          <w:noProof/>
        </w:rPr>
        <w:fldChar w:fldCharType="end"/>
      </w:r>
      <w:r w:rsidRPr="005C029A">
        <w:rPr>
          <w:noProof/>
        </w:rPr>
        <w:t>.</w:t>
      </w:r>
    </w:p>
    <w:p w14:paraId="72E64F27" w14:textId="77777777" w:rsidR="002B4CFD" w:rsidRDefault="002B4CFD" w:rsidP="002B4CFD">
      <w:pPr>
        <w:pStyle w:val="Heading3"/>
        <w:numPr>
          <w:ilvl w:val="2"/>
          <w:numId w:val="29"/>
        </w:numPr>
      </w:pPr>
      <w:bookmarkStart w:id="22" w:name="_Toc3538047"/>
      <w:r>
        <w:t>Barriers to NHS Treatments for Mental Health Issues in Older Adults</w:t>
      </w:r>
      <w:bookmarkEnd w:id="22"/>
    </w:p>
    <w:p w14:paraId="08779112" w14:textId="3E5AD001" w:rsidR="002B4CFD" w:rsidRDefault="002B4CFD" w:rsidP="002B4CFD">
      <w:r>
        <w:t xml:space="preserve">With such a high recovery rate, older adults are a potentially ‘low-hanging fruit’ for services to improve recovery rates.  </w:t>
      </w:r>
      <w:r w:rsidRPr="005C029A">
        <w:rPr>
          <w:noProof/>
        </w:rPr>
        <w:t>However</w:t>
      </w:r>
      <w:r>
        <w:rPr>
          <w:noProof/>
        </w:rPr>
        <w:t>,</w:t>
      </w:r>
      <w:r>
        <w:t xml:space="preserve"> </w:t>
      </w:r>
      <w:r>
        <w:rPr>
          <w:noProof/>
        </w:rPr>
        <w:t>four main barriers</w:t>
      </w:r>
      <w:r w:rsidRPr="005C029A">
        <w:rPr>
          <w:noProof/>
        </w:rPr>
        <w:t xml:space="preserve"> potentially stop</w:t>
      </w:r>
      <w:r>
        <w:t xml:space="preserve"> </w:t>
      </w:r>
      <w:r>
        <w:rPr>
          <w:noProof/>
        </w:rPr>
        <w:t>more significant</w:t>
      </w:r>
      <w:r>
        <w:t xml:space="preserve"> numbers of older adults from accessing IAPT services </w:t>
      </w:r>
      <w:r>
        <w:fldChar w:fldCharType="begin" w:fldLock="1"/>
      </w:r>
      <w:r>
        <w:instrText>ADDIN CSL_CITATION {"citationItems":[{"id":"ITEM-1","itemData":{"author":[{"dropping-particle":"","family":"Department of Health","given":"","non-dropping-particle":"","parse-names":false,"suffix":""}],"id":"ITEM-1","issue":"March","issued":{"date-parts":[["2013"]]},"title":"How to make IAPT more accessible to Older People","type":"article-journal"},"uris":["http://www.mendeley.com/documents/?uuid=68a0a078-e015-4f78-b7f1-83c1a5de21f1"]}],"mendeley":{"formattedCitation":"(Department of Health, 2013)","plainTextFormattedCitation":"(Department of Health, 2013)","previouslyFormattedCitation":"(Department of Health, 2013)"},"properties":{"noteIndex":0},"schema":"https://github.com/citation-style-language/schema/raw/master/csl-citation.json"}</w:instrText>
      </w:r>
      <w:r>
        <w:fldChar w:fldCharType="separate"/>
      </w:r>
      <w:r w:rsidRPr="00747CF9">
        <w:rPr>
          <w:noProof/>
        </w:rPr>
        <w:t>(Department of Health, 2013)</w:t>
      </w:r>
      <w:r>
        <w:fldChar w:fldCharType="end"/>
      </w:r>
      <w:r>
        <w:t>.  Firstly, due to IAPT being</w:t>
      </w:r>
      <w:r w:rsidRPr="00471295">
        <w:rPr>
          <w:noProof/>
        </w:rPr>
        <w:t xml:space="preserve"> initially established</w:t>
      </w:r>
      <w:r>
        <w:rPr>
          <w:noProof/>
        </w:rPr>
        <w:t xml:space="preserve"> with a</w:t>
      </w:r>
      <w:r>
        <w:t xml:space="preserve"> </w:t>
      </w:r>
      <w:r w:rsidRPr="00F17052">
        <w:t xml:space="preserve">focus on </w:t>
      </w:r>
      <w:r w:rsidRPr="00BE3FD1">
        <w:rPr>
          <w:noProof/>
        </w:rPr>
        <w:t>working</w:t>
      </w:r>
      <w:r>
        <w:rPr>
          <w:noProof/>
        </w:rPr>
        <w:t>-</w:t>
      </w:r>
      <w:r w:rsidRPr="00BE3FD1">
        <w:rPr>
          <w:noProof/>
        </w:rPr>
        <w:t>age</w:t>
      </w:r>
      <w:r w:rsidRPr="00F17052">
        <w:t xml:space="preserve"> adults</w:t>
      </w:r>
      <w:r>
        <w:t xml:space="preserve">, </w:t>
      </w:r>
      <w:r w:rsidRPr="00F17052">
        <w:t xml:space="preserve">the needs of older people are not actively considered, </w:t>
      </w:r>
      <w:r>
        <w:t>n</w:t>
      </w:r>
      <w:r w:rsidRPr="00F17052">
        <w:t xml:space="preserve">or </w:t>
      </w:r>
      <w:r>
        <w:t xml:space="preserve">are </w:t>
      </w:r>
      <w:r w:rsidRPr="00F17052">
        <w:t>sufficient efforts made to encourage increased access</w:t>
      </w:r>
      <w:r>
        <w:t xml:space="preserve">.  GPs are particularly resistant in referring their older patients to IAPT due to their concerns that the assessment process may be particularly </w:t>
      </w:r>
      <w:r>
        <w:rPr>
          <w:color w:val="000000"/>
          <w:shd w:val="clear" w:color="auto" w:fill="FFFFFF"/>
        </w:rPr>
        <w:t xml:space="preserve">distressing for this demographic </w:t>
      </w:r>
      <w:r>
        <w:rPr>
          <w:color w:val="000000"/>
          <w:shd w:val="clear" w:color="auto" w:fill="FFFFFF"/>
        </w:rPr>
        <w:fldChar w:fldCharType="begin" w:fldLock="1"/>
      </w:r>
      <w:r>
        <w:rPr>
          <w:color w:val="000000"/>
          <w:shd w:val="clear" w:color="auto" w:fill="FFFFFF"/>
        </w:rPr>
        <w:instrText>ADDIN CSL_CITATION {"citationItems":[{"id":"ITEM-1","itemData":{"DOI":"10.1192/BJB.2018.10","PMID":"29704904","author":[{"dropping-particle":"","family":"Collins","given":"Noel","non-dropping-particle":"","parse-names":false,"suffix":""},{"dropping-particle":"","family":"Corna","given":"Laurie","non-dropping-particle":"","parse-names":false,"suffix":""}],"container-title":"BJPsych Bulletin","id":"ITEM-1","issue":"3","issued":{"date-parts":[["2018"]]},"page":"115","publisher":"Royal College of Psychiatrists","title":"General practitioner referral of older patients to Improving Access to Psychological Therapies (IAPT): an exploratory qualitative study","type":"article-journal","volume":"42"},"uris":["http://www.mendeley.com/documents/?uuid=7e316098-3969-3cf4-8bb8-5ae6e7999db2"]}],"mendeley":{"formattedCitation":"(Collins and Corna, 2018)","plainTextFormattedCitation":"(Collins and Corna, 2018)","previouslyFormattedCitation":"(Collins and Corna, 2018)"},"properties":{"noteIndex":0},"schema":"https://github.com/citation-style-language/schema/raw/master/csl-citation.json"}</w:instrText>
      </w:r>
      <w:r>
        <w:rPr>
          <w:color w:val="000000"/>
          <w:shd w:val="clear" w:color="auto" w:fill="FFFFFF"/>
        </w:rPr>
        <w:fldChar w:fldCharType="separate"/>
      </w:r>
      <w:r w:rsidRPr="00F667D2">
        <w:rPr>
          <w:noProof/>
          <w:color w:val="000000"/>
          <w:shd w:val="clear" w:color="auto" w:fill="FFFFFF"/>
        </w:rPr>
        <w:t>(Collins and Corna, 2018)</w:t>
      </w:r>
      <w:r>
        <w:rPr>
          <w:color w:val="000000"/>
          <w:shd w:val="clear" w:color="auto" w:fill="FFFFFF"/>
        </w:rPr>
        <w:fldChar w:fldCharType="end"/>
      </w:r>
      <w:r w:rsidRPr="00F17052">
        <w:t>.</w:t>
      </w:r>
      <w:r>
        <w:t xml:space="preserve">  Secondly, many </w:t>
      </w:r>
      <w:r w:rsidRPr="00F17052">
        <w:t xml:space="preserve">older </w:t>
      </w:r>
      <w:r>
        <w:t xml:space="preserve">adults do not believe that they require psychological therapies and consider them to be not relevant or helpful in addressing their problems.  This view may also </w:t>
      </w:r>
      <w:r w:rsidRPr="00471295">
        <w:rPr>
          <w:noProof/>
        </w:rPr>
        <w:t>be supported</w:t>
      </w:r>
      <w:r>
        <w:t xml:space="preserve"> by </w:t>
      </w:r>
      <w:r w:rsidRPr="00F17052">
        <w:t>health and social care professionals who work alongside them</w:t>
      </w:r>
      <w:r w:rsidR="00554CB4">
        <w:t xml:space="preserve">.  </w:t>
      </w:r>
      <w:r w:rsidRPr="007C1C18">
        <w:rPr>
          <w:noProof/>
        </w:rPr>
        <w:t xml:space="preserve">Wuthrich and Frei </w:t>
      </w:r>
      <w:r w:rsidRPr="007C1C18">
        <w:fldChar w:fldCharType="begin" w:fldLock="1"/>
      </w:r>
      <w:r w:rsidRPr="007C1C18">
        <w:instrText>ADDIN CSL_CITATION {"citationItems":[{"id":"ITEM-1","itemData":{"DOI":"10.1017/S1041610215000241","ISBN":"1041-6102","ISSN":"1041-6102","PMID":"25739459","abstract":"&lt;p&gt; &lt;bold&gt;Background:&lt;/bold&gt; Older adults with mental health disorders underutilize mental health services more than other adults. While there are well known general barriers to help seeking across the population, specific barriers for older adults include difficulties with transportation, beliefs that it is normal to be anxious and depressed in old age, and beliefs by referrers that psychological therapy is less likely to be effective. This study examined barriers related to identifying the need for help, seeking help and participating in therapy in a clinical population of older adults. &lt;/p&gt;","author":[{"dropping-particle":"","family":"Wuthrich","given":"Viviana M.","non-dropping-particle":"","parse-names":false,"suffix":""},{"dropping-particle":"","family":"Frei","given":"Jacqueline","non-dropping-particle":"","parse-names":false,"suffix":""}],"container-title":"International Psychogeriatrics","id":"ITEM-1","issue":"07","issued":{"date-parts":[["2015"]]},"page":"1227-1236","title":"Barriers to treatment for older adults seeking psychological therapy","type":"article-journal","volume":"27"},"uris":["http://www.mendeley.com/documents/?uuid=a8effe2c-dea2-40d9-a96f-b5ac4dc294e1"]}],"mendeley":{"formattedCitation":"(Wuthrich and Frei, 2015)","manualFormatting":"(2015)","plainTextFormattedCitation":"(Wuthrich and Frei, 2015)","previouslyFormattedCitation":"(Wuthrich and Frei, 2015)"},"properties":{"noteIndex":0},"schema":"https://github.com/citation-style-language/schema/raw/master/csl-citation.json"}</w:instrText>
      </w:r>
      <w:r w:rsidRPr="007C1C18">
        <w:fldChar w:fldCharType="separate"/>
      </w:r>
      <w:r w:rsidRPr="007C1C18">
        <w:rPr>
          <w:noProof/>
        </w:rPr>
        <w:t>(2015)</w:t>
      </w:r>
      <w:r w:rsidRPr="007C1C18">
        <w:fldChar w:fldCharType="end"/>
      </w:r>
      <w:r w:rsidRPr="007C1C18">
        <w:t xml:space="preserve"> found</w:t>
      </w:r>
      <w:r>
        <w:t xml:space="preserve"> that the </w:t>
      </w:r>
      <w:r>
        <w:rPr>
          <w:noProof/>
        </w:rPr>
        <w:t>most significan</w:t>
      </w:r>
      <w:r w:rsidRPr="005C029A">
        <w:rPr>
          <w:noProof/>
        </w:rPr>
        <w:t>t</w:t>
      </w:r>
      <w:r>
        <w:t xml:space="preserve"> barrier to seeking therapy was that older adults did not recognise their problems as being sufficient to warrant help, nor did they consider their symptoms to be abnormal for their age and health conditions.  Thirdly, m</w:t>
      </w:r>
      <w:r w:rsidRPr="00F17052">
        <w:t xml:space="preserve">obility and sensory problems </w:t>
      </w:r>
      <w:r>
        <w:t xml:space="preserve">are </w:t>
      </w:r>
      <w:r w:rsidRPr="00F17052">
        <w:t xml:space="preserve">more common in older </w:t>
      </w:r>
      <w:r>
        <w:t>adults</w:t>
      </w:r>
      <w:r w:rsidRPr="00F17052">
        <w:t xml:space="preserve"> </w:t>
      </w:r>
      <w:r>
        <w:t xml:space="preserve">and </w:t>
      </w:r>
      <w:r w:rsidRPr="00F17052">
        <w:t xml:space="preserve">may require special consideration by IAPT services </w:t>
      </w:r>
      <w:r>
        <w:t>in relation to</w:t>
      </w:r>
      <w:r w:rsidRPr="00F17052">
        <w:t xml:space="preserve"> the venue, timing and format of service delivery</w:t>
      </w:r>
      <w:r>
        <w:t xml:space="preserve"> </w:t>
      </w:r>
      <w:r>
        <w:fldChar w:fldCharType="begin" w:fldLock="1"/>
      </w:r>
      <w:r>
        <w:instrText>ADDIN CSL_CITATION {"citationItems":[{"id":"ITEM-1","itemData":{"author":[{"dropping-particle":"","family":"Department of Health","given":"","non-dropping-particle":"","parse-names":false,"suffix":""}],"id":"ITEM-1","issue":"March","issued":{"date-parts":[["2013"]]},"title":"How to make IAPT more accessible to Older People","type":"article-journal"},"uris":["http://www.mendeley.com/documents/?uuid=68a0a078-e015-4f78-b7f1-83c1a5de21f1"]}],"mendeley":{"formattedCitation":"(Department of Health, 2013)","plainTextFormattedCitation":"(Department of Health, 2013)","previouslyFormattedCitation":"(Department of Health, 2013)"},"properties":{"noteIndex":0},"schema":"https://github.com/citation-style-language/schema/raw/master/csl-citation.json"}</w:instrText>
      </w:r>
      <w:r>
        <w:fldChar w:fldCharType="separate"/>
      </w:r>
      <w:r w:rsidRPr="00747CF9">
        <w:rPr>
          <w:noProof/>
        </w:rPr>
        <w:t>(Department of Health, 2013)</w:t>
      </w:r>
      <w:r>
        <w:fldChar w:fldCharType="end"/>
      </w:r>
      <w:r w:rsidRPr="00F17052">
        <w:t>.</w:t>
      </w:r>
      <w:r>
        <w:t xml:space="preserve">  Fourthly, IAPT staff are sometimes</w:t>
      </w:r>
      <w:r w:rsidRPr="00F17052">
        <w:t xml:space="preserve"> less sure </w:t>
      </w:r>
      <w:r>
        <w:t>about</w:t>
      </w:r>
      <w:r w:rsidRPr="00F17052">
        <w:t xml:space="preserve"> working with older people</w:t>
      </w:r>
      <w:r>
        <w:t xml:space="preserve"> and feel they are not adequately trained to help older demographics </w:t>
      </w:r>
      <w:r>
        <w:fldChar w:fldCharType="begin" w:fldLock="1"/>
      </w:r>
      <w:r>
        <w:instrText>ADDIN CSL_CITATION {"citationItems":[{"id":"ITEM-1","itemData":{"author":[{"dropping-particle":"","family":"Department of Health","given":"","non-dropping-particle":"","parse-names":false,"suffix":""}],"id":"ITEM-1","issue":"March","issued":{"date-parts":[["2013"]]},"title":"How to make IAPT more accessible to Older People","type":"article-journal"},"uris":["http://www.mendeley.com/documents/?uuid=68a0a078-e015-4f78-b7f1-83c1a5de21f1"]}],"mendeley":{"formattedCitation":"(Department of Health, 2013)","plainTextFormattedCitation":"(Department of Health, 2013)","previouslyFormattedCitation":"(Department of Health, 2013)"},"properties":{"noteIndex":0},"schema":"https://github.com/citation-style-language/schema/raw/master/csl-citation.json"}</w:instrText>
      </w:r>
      <w:r>
        <w:fldChar w:fldCharType="separate"/>
      </w:r>
      <w:r w:rsidRPr="00747CF9">
        <w:rPr>
          <w:noProof/>
        </w:rPr>
        <w:t>(Department of Health, 2013)</w:t>
      </w:r>
      <w:r>
        <w:fldChar w:fldCharType="end"/>
      </w:r>
      <w:r w:rsidRPr="00F17052">
        <w:t>.</w:t>
      </w:r>
    </w:p>
    <w:p w14:paraId="6E05036D" w14:textId="0A5DA421" w:rsidR="002B4CFD" w:rsidRPr="00B104BB" w:rsidRDefault="002B4CFD" w:rsidP="002B4CFD">
      <w:r w:rsidRPr="0035564E">
        <w:t xml:space="preserve">The general consensus from IAPT services in England is that older adults are not accessing IAPT in </w:t>
      </w:r>
      <w:r>
        <w:t>the</w:t>
      </w:r>
      <w:r w:rsidRPr="0035564E">
        <w:t xml:space="preserve"> numbers </w:t>
      </w:r>
      <w:r>
        <w:t xml:space="preserve">that would be expected </w:t>
      </w:r>
      <w:r w:rsidRPr="0035564E">
        <w:t xml:space="preserve">and that this must improve in the future </w:t>
      </w:r>
      <w:r>
        <w:fldChar w:fldCharType="begin" w:fldLock="1"/>
      </w:r>
      <w:r>
        <w:instrText>ADDIN CSL_CITATION {"citationItems":[{"id":"ITEM-1","itemData":{"abstract":"Introduction: The indicative curriculum for working with older people has been revised with the main focus of the revisions on making the curriculum more flexible to implement and deliver; giving guidance on how to increase detection and access rates for older people and also answering key questions as to how CBT may be different with older people. Primary support materials take the form of two new practical clinician's guidelines (High and Low Intensity) that provide clinicians with a set of guidance, tools and worksheets to use when working with older patients. These materials more fully address how clinicians can understand normal ageing (high subjective life satisfaction and low rates of depression and anxiety) and differentiate this from abnormal ageing (depression, anxiety, dementias etc.). This information is designed to be helpful to all clinicians in using the recommended augmentations and techniques. Existing IAPT staff trained prior to the revised curricula release should access the new clinical guidelines as essential continuing professional development (CPD) training and are expected to set aside dedicated CPD time to update themselves with the new materials. A commissioning brief is being sent to all BABCP and BPS accredited training providers, to the accrediting bodies and to service and education commissioners. The briefing is to ensure appropriate training is available in each area consistent with this curriculum and guidelines. In updating these materials, reference is paid to the previous IAPT Older Peoples Committee members, in particular Professor Tony Roth who guided the development of the older people competency framework. The two-day indicative curriculum structure is recommended as follows: Day 1: Fundamentals of working with Older People Day 2a: Low Intensity Age Appropriate CBT with Older People, Day 2b: High Intensity Age Appropriate CBT with Older People The delivery should comprise of at least 50% practical skills training of the competencies and interventions within the curriculum. Day one, 'Fundamentals of working with older people' is suitable for both high and low intensity practitioners and both may be present at the same training day should providers wish to do. The content of day 1 is also suitable for practitioners from other modalities who may wish to attend to learn more about the context of working with older people in psychological therapies services. Separate day 2 content for both Low Intensity CBT 'Day 2a' an…","author":[{"dropping-particle":"","family":"Chellingsworth","given":"M.","non-dropping-particle":"","parse-names":false,"suffix":""},{"dropping-particle":"","family":"Davies","given":"S.","non-dropping-particle":"","parse-names":false,"suffix":""},{"dropping-particle":"","family":"Laidlaw","given":"K.","non-dropping-particle":"","parse-names":false,"suffix":""}],"container-title":"National Curriculum for CBT with Older People. 2nd Edition.","id":"ITEM-1","issued":{"date-parts":[["2016"]]},"title":"Improving Access to Psychological Therapies National Curriculum for CBT with Older People","type":"report"},"uris":["http://www.mendeley.com/documents/?uuid=9f547253-0559-3068-b7e8-df4244f5403a"]}],"mendeley":{"formattedCitation":"(Chellingsworth, Davies and Laidlaw, 2016)","plainTextFormattedCitation":"(Chellingsworth, Davies and Laidlaw, 2016)","previouslyFormattedCitation":"(Chellingsworth, Davies and Laidlaw, 2016)"},"properties":{"noteIndex":0},"schema":"https://github.com/citation-style-language/schema/raw/master/csl-citation.json"}</w:instrText>
      </w:r>
      <w:r>
        <w:fldChar w:fldCharType="separate"/>
      </w:r>
      <w:r w:rsidRPr="0035564E">
        <w:rPr>
          <w:noProof/>
        </w:rPr>
        <w:t>(Chellingsworth, Davies and Laidlaw, 2016)</w:t>
      </w:r>
      <w:r>
        <w:fldChar w:fldCharType="end"/>
      </w:r>
      <w:r>
        <w:t xml:space="preserve">.  </w:t>
      </w:r>
      <w:r>
        <w:lastRenderedPageBreak/>
        <w:t xml:space="preserve">Steps are being taken to try and deal with these issues at multiple levels.  </w:t>
      </w:r>
      <w:r w:rsidRPr="004D47C3">
        <w:t xml:space="preserve">NHS England and </w:t>
      </w:r>
      <w:r w:rsidRPr="00EE2F7C">
        <w:t xml:space="preserve">NHS Improvement </w:t>
      </w:r>
      <w:r>
        <w:t xml:space="preserve">have published a </w:t>
      </w:r>
      <w:r w:rsidRPr="00EE2F7C">
        <w:t>practice primer</w:t>
      </w:r>
      <w:r>
        <w:t xml:space="preserve"> </w:t>
      </w:r>
      <w:r w:rsidRPr="00EE2F7C">
        <w:t>to help</w:t>
      </w:r>
      <w:r>
        <w:t xml:space="preserve"> GPs</w:t>
      </w:r>
      <w:r w:rsidRPr="00EE2F7C">
        <w:t xml:space="preserve"> to identify when a mental health diagnosis and follow-up are appropriate for older adult</w:t>
      </w:r>
      <w:r>
        <w:t>s</w:t>
      </w:r>
      <w:r w:rsidRPr="00EE2F7C">
        <w:t xml:space="preserve"> </w:t>
      </w:r>
      <w:r w:rsidRPr="00E9485B">
        <w:fldChar w:fldCharType="begin" w:fldLock="1"/>
      </w:r>
      <w:r w:rsidRPr="00E9485B">
        <w:instrText>ADDIN CSL_CITATION {"citationItems":[{"id":"ITEM-1","itemData":{"URL":"https://www.england.nhs.uk/publication/a-practice-primer-on-mental-health-in-older-people/","accessed":{"date-parts":[["2018","10","5"]]},"author":[{"dropping-particle":"","family":"Mueller","given":"Christoph","non-dropping-particle":"","parse-names":false,"suffix":""},{"dropping-particle":"","family":"Thompsell","given":"Amanda","non-dropping-particle":"","parse-names":false,"suffix":""},{"dropping-particle":"","family":"Harwood","given":"Daniel","non-dropping-particle":"","parse-names":false,"suffix":""},{"dropping-particle":"","family":"Bagshaw","given":"Peter","non-dropping-particle":"","parse-names":false,"suffix":""},{"dropping-particle":"","family":"Burns","given":"Alistair","non-dropping-particle":"","parse-names":false,"suffix":""}],"container-title":"NHS England and NHS Improvement","id":"ITEM-1","issued":{"date-parts":[["2017"]]},"title":"A Practice Primer on Mental Health in Older People","type":"webpage"},"uris":["http://www.mendeley.com/documents/?uuid=d1c1851a-26d9-3f24-a7ae-991c22c0c1c9"]}],"mendeley":{"formattedCitation":"(Mueller &lt;i&gt;et al.&lt;/i&gt;, 2017)","plainTextFormattedCitation":"(Mueller et al., 2017)","previouslyFormattedCitation":"(Mueller &lt;i&gt;et al.&lt;/i&gt;, 2017)"},"properties":{"noteIndex":0},"schema":"https://github.com/citation-style-language/schema/raw/master/csl-citation.json"}</w:instrText>
      </w:r>
      <w:r w:rsidRPr="00E9485B">
        <w:fldChar w:fldCharType="separate"/>
      </w:r>
      <w:r w:rsidRPr="00E9485B">
        <w:rPr>
          <w:noProof/>
        </w:rPr>
        <w:t>(Mueller et al., 2017)</w:t>
      </w:r>
      <w:r w:rsidRPr="00E9485B">
        <w:fldChar w:fldCharType="end"/>
      </w:r>
      <w:r w:rsidRPr="00E9485B">
        <w:t xml:space="preserve">. </w:t>
      </w:r>
      <w:r w:rsidR="001F5564">
        <w:t xml:space="preserve"> </w:t>
      </w:r>
      <w:r w:rsidRPr="00E9485B">
        <w:t>This should enable GPs to make more knowledgeable decisions when referring older adults to IAPT.</w:t>
      </w:r>
      <w:r w:rsidR="001F5564">
        <w:t xml:space="preserve">  </w:t>
      </w:r>
      <w:r>
        <w:rPr>
          <w:noProof/>
        </w:rPr>
        <w:t xml:space="preserve">In addition to this the </w:t>
      </w:r>
      <w:r w:rsidRPr="00747CF9">
        <w:rPr>
          <w:noProof/>
        </w:rPr>
        <w:t>Department of Health</w:t>
      </w:r>
      <w:r>
        <w:t xml:space="preserve"> </w:t>
      </w:r>
      <w:r>
        <w:fldChar w:fldCharType="begin" w:fldLock="1"/>
      </w:r>
      <w:r>
        <w:instrText>ADDIN CSL_CITATION {"citationItems":[{"id":"ITEM-1","itemData":{"author":[{"dropping-particle":"","family":"Department of Health","given":"","non-dropping-particle":"","parse-names":false,"suffix":""}],"id":"ITEM-1","issue":"March","issued":{"date-parts":[["2013"]]},"title":"How to make IAPT more accessible to Older People","type":"article-journal"},"uris":["http://www.mendeley.com/documents/?uuid=68a0a078-e015-4f78-b7f1-83c1a5de21f1"]}],"mendeley":{"formattedCitation":"(Department of Health, 2013)","manualFormatting":"(2013)","plainTextFormattedCitation":"(Department of Health, 2013)","previouslyFormattedCitation":"(Department of Health, 2013)"},"properties":{"noteIndex":0},"schema":"https://github.com/citation-style-language/schema/raw/master/csl-citation.json"}</w:instrText>
      </w:r>
      <w:r>
        <w:fldChar w:fldCharType="separate"/>
      </w:r>
      <w:r w:rsidRPr="00747CF9">
        <w:rPr>
          <w:noProof/>
        </w:rPr>
        <w:t>(2013)</w:t>
      </w:r>
      <w:r>
        <w:fldChar w:fldCharType="end"/>
      </w:r>
      <w:r>
        <w:t xml:space="preserve"> has listed a number of recommendations to help  IAPT services remove the barriers to access encountered by older adults, such as the tailored promotion of services through the distribution of leaflets and posters detailing common symptoms of mental health problems specific to older adults, along with ways older adults can access local services for help.  </w:t>
      </w:r>
      <w:r>
        <w:rPr>
          <w:noProof/>
        </w:rPr>
        <w:t xml:space="preserve">The </w:t>
      </w:r>
      <w:r w:rsidRPr="00747CF9">
        <w:rPr>
          <w:noProof/>
        </w:rPr>
        <w:t>Department of Health</w:t>
      </w:r>
      <w:r>
        <w:t xml:space="preserve"> </w:t>
      </w:r>
      <w:r>
        <w:fldChar w:fldCharType="begin" w:fldLock="1"/>
      </w:r>
      <w:r>
        <w:instrText>ADDIN CSL_CITATION {"citationItems":[{"id":"ITEM-1","itemData":{"author":[{"dropping-particle":"","family":"Department of Health","given":"","non-dropping-particle":"","parse-names":false,"suffix":""}],"id":"ITEM-1","issue":"March","issued":{"date-parts":[["2013"]]},"title":"How to make IAPT more accessible to Older People","type":"article-journal"},"uris":["http://www.mendeley.com/documents/?uuid=68a0a078-e015-4f78-b7f1-83c1a5de21f1"]}],"mendeley":{"formattedCitation":"(Department of Health, 2013)","manualFormatting":"(2013)","plainTextFormattedCitation":"(Department of Health, 2013)","previouslyFormattedCitation":"(Department of Health, 2013)"},"properties":{"noteIndex":0},"schema":"https://github.com/citation-style-language/schema/raw/master/csl-citation.json"}</w:instrText>
      </w:r>
      <w:r>
        <w:fldChar w:fldCharType="separate"/>
      </w:r>
      <w:r w:rsidRPr="00747CF9">
        <w:rPr>
          <w:noProof/>
        </w:rPr>
        <w:t>(2013)</w:t>
      </w:r>
      <w:r>
        <w:fldChar w:fldCharType="end"/>
      </w:r>
      <w:r>
        <w:t xml:space="preserve"> has also recommended the adaptation of existing </w:t>
      </w:r>
      <w:r w:rsidRPr="00366123">
        <w:t xml:space="preserve">self-help materials to make them more </w:t>
      </w:r>
      <w:r w:rsidRPr="00CE2C65">
        <w:rPr>
          <w:noProof/>
        </w:rPr>
        <w:t>user</w:t>
      </w:r>
      <w:r>
        <w:rPr>
          <w:noProof/>
        </w:rPr>
        <w:t>-</w:t>
      </w:r>
      <w:r w:rsidRPr="00CE2C65">
        <w:rPr>
          <w:noProof/>
        </w:rPr>
        <w:t>friendly</w:t>
      </w:r>
      <w:r w:rsidRPr="00366123">
        <w:t xml:space="preserve"> and relevant to older people</w:t>
      </w:r>
      <w:r>
        <w:t xml:space="preserve">.  Psychological wellbeing practitioners (PWPs) report that these materials can be useful in their work with older people </w:t>
      </w:r>
      <w:r>
        <w:fldChar w:fldCharType="begin" w:fldLock="1"/>
      </w:r>
      <w:r>
        <w:instrText>ADDIN CSL_CITATION {"citationItems":[{"id":"ITEM-1","itemData":{"author":[{"dropping-particle":"","family":"Department of Health","given":"","non-dropping-particle":"","parse-names":false,"suffix":""}],"id":"ITEM-1","issue":"March","issued":{"date-parts":[["2013"]]},"title":"How to make IAPT more accessible to Older People","type":"article-journal"},"uris":["http://www.mendeley.com/documents/?uuid=68a0a078-e015-4f78-b7f1-83c1a5de21f1"]}],"mendeley":{"formattedCitation":"(Department of Health, 2013)","plainTextFormattedCitation":"(Department of Health, 2013)","previouslyFormattedCitation":"(Department of Health, 2013)"},"properties":{"noteIndex":0},"schema":"https://github.com/citation-style-language/schema/raw/master/csl-citation.json"}</w:instrText>
      </w:r>
      <w:r>
        <w:fldChar w:fldCharType="separate"/>
      </w:r>
      <w:r w:rsidRPr="00747CF9">
        <w:rPr>
          <w:noProof/>
        </w:rPr>
        <w:t>(Department of Health, 2013)</w:t>
      </w:r>
      <w:r>
        <w:fldChar w:fldCharType="end"/>
      </w:r>
      <w:r>
        <w:t>.  One self-help material that may benefit from improved accessibility for this age group is e-therapy.</w:t>
      </w:r>
    </w:p>
    <w:p w14:paraId="51616D06" w14:textId="77777777" w:rsidR="002B4CFD" w:rsidRDefault="002B4CFD" w:rsidP="002B4CFD">
      <w:pPr>
        <w:pStyle w:val="Heading3"/>
        <w:numPr>
          <w:ilvl w:val="2"/>
          <w:numId w:val="29"/>
        </w:numPr>
      </w:pPr>
      <w:bookmarkStart w:id="23" w:name="_Toc3538048"/>
      <w:r>
        <w:t>E-therapy</w:t>
      </w:r>
      <w:bookmarkEnd w:id="23"/>
    </w:p>
    <w:p w14:paraId="21A065E9" w14:textId="488821E9" w:rsidR="002B4CFD" w:rsidRDefault="002B4CFD" w:rsidP="002B4CFD">
      <w:r>
        <w:t xml:space="preserve">E-therapy is an umbrella term used to describe information and communication technology (ICT) used to support and improve mental health </w:t>
      </w:r>
      <w:r>
        <w:fldChar w:fldCharType="begin" w:fldLock="1"/>
      </w:r>
      <w:r w:rsidR="00056473">
        <w:instrText>ADDIN CSL_CITATION {"citationItems":[{"id":"ITEM-1","itemData":{"DOI":"10.1016/j.cpr.2010.10.002","ISBN":"1873-7811 (Electronic)\\n0272-7358 (Linking)","ISSN":"02727358","PMID":"21130939","abstract":"Technology-based self-help and minimal contact therapies have been proposed as effective and low-cost interventions for addictive disorders, such as nicotine, alcohol, and drug abuse and addiction. The present article reviews the literature published before 2010 on computerized treatments for drug and alcohol abuse and dependence and smoking addiction. Treatment studies are examined by disorder as well as amount of therapist contact, ranging from self-administered therapy and predominantly self-help interventions to minimal contact therapy where the therapist is actively involved in treatment but to a lesser degree than traditional therapy and predominantly therapist-administered treatments involving regular contact with a therapist for a typical number of sessions. In the treatment of substance use and abuse it is concluded that self-administered and predominantly self-help computer-based cognitive and behavioral interventions are efficacious, but some therapist contact is important for greater and more sustained reductions in addictive behavior. ?? 2010 Elsevier Ltd.","author":[{"dropping-particle":"","family":"Newman","given":"Michelle G.","non-dropping-particle":"","parse-names":false,"suffix":""},{"dropping-particle":"","family":"Szkodny","given":"Lauren E.","non-dropping-particle":"","parse-names":false,"suffix":""},{"dropping-particle":"","family":"Llera","given":"Sandra J.","non-dropping-particle":"","parse-names":false,"suffix":""},{"dropping-particle":"","family":"Przeworski","given":"Amy","non-dropping-particle":"","parse-names":false,"suffix":""}],"container-title":"Clinical Psychology Review","id":"ITEM-1","issued":{"date-parts":[["2011"]]},"page":"178–186","publisher":"Elsevier Ltd","title":"A review of technology-assisted self-help and minimal contact therapies for drug and alcohol abuse and smoking addiction: Is human contact necessary for therapeutic efficacy?","type":"article-journal","volume":"31"},"uris":["http://www.mendeley.com/documents/?uuid=93b56f77-8b91-49e8-b56c-70334c46e276"]}],"mendeley":{"formattedCitation":"(Newman &lt;i&gt;et al.&lt;/i&gt;, 2011b)","plainTextFormattedCitation":"(Newman et al., 2011b)","previouslyFormattedCitation":"(Newman &lt;i&gt;et al.&lt;/i&gt;, 2011b)"},"properties":{"noteIndex":0},"schema":"https://github.com/citation-style-language/schema/raw/master/csl-citation.json"}</w:instrText>
      </w:r>
      <w:r>
        <w:fldChar w:fldCharType="separate"/>
      </w:r>
      <w:r w:rsidR="006C6716" w:rsidRPr="006C6716">
        <w:rPr>
          <w:noProof/>
        </w:rPr>
        <w:t xml:space="preserve">(Newman </w:t>
      </w:r>
      <w:r w:rsidR="006C6716" w:rsidRPr="006C6716">
        <w:rPr>
          <w:i/>
          <w:noProof/>
        </w:rPr>
        <w:t>et al.</w:t>
      </w:r>
      <w:r w:rsidR="006C6716" w:rsidRPr="006C6716">
        <w:rPr>
          <w:noProof/>
        </w:rPr>
        <w:t>, 2011b)</w:t>
      </w:r>
      <w:r>
        <w:fldChar w:fldCharType="end"/>
      </w:r>
      <w:r>
        <w:t xml:space="preserve">.  As such, the term covers information and psychoeducation websites, </w:t>
      </w:r>
      <w:r>
        <w:rPr>
          <w:noProof/>
        </w:rPr>
        <w:t>I</w:t>
      </w:r>
      <w:r w:rsidRPr="00CE2C65">
        <w:rPr>
          <w:noProof/>
        </w:rPr>
        <w:t>nternet-based</w:t>
      </w:r>
      <w:r>
        <w:t xml:space="preserve"> interventions and smartphone applications</w:t>
      </w:r>
      <w:r w:rsidR="00554CB4">
        <w:t xml:space="preserve">.  </w:t>
      </w:r>
      <w:r>
        <w:t xml:space="preserve">It is one of the most rapidly expanding areas of mental health research </w:t>
      </w:r>
      <w:r>
        <w:fldChar w:fldCharType="begin" w:fldLock="1"/>
      </w:r>
      <w:r>
        <w:instrText>ADDIN CSL_CITATION {"citationItems":[{"id":"ITEM-1","itemData":{"DOI":"10.3109/09638237.2012.705930","ISBN":"0963-8237\\n1360-0567","ISSN":"0963-8237","PMID":"22823092","author":[{"dropping-particle":"","family":"Schmidt","given":"Ulrike","non-dropping-particle":"","parse-names":false,"suffix":""},{"dropping-particle":"","family":"Wykes","given":"Til","non-dropping-particle":"","parse-names":false,"suffix":""}],"container-title":"Journal of Mental Health","id":"ITEM-1","issue":"4","issued":{"date-parts":[["2012","8"]]},"page":"327-331","title":"E-mental health – a land of unlimited possibilities","type":"article-journal","volume":"21"},"uris":["http://www.mendeley.com/documents/?uuid=11df5ccf-37ba-458c-a4b3-c2d0f08be3a7"]}],"mendeley":{"formattedCitation":"(Schmidt and Wykes, 2012)","plainTextFormattedCitation":"(Schmidt and Wykes, 2012)","previouslyFormattedCitation":"(Schmidt and Wykes, 2012)"},"properties":{"noteIndex":0},"schema":"https://github.com/citation-style-language/schema/raw/master/csl-citation.json"}</w:instrText>
      </w:r>
      <w:r>
        <w:fldChar w:fldCharType="separate"/>
      </w:r>
      <w:r w:rsidRPr="00150B80">
        <w:rPr>
          <w:noProof/>
        </w:rPr>
        <w:t>(Schmidt and Wykes, 2012)</w:t>
      </w:r>
      <w:r>
        <w:fldChar w:fldCharType="end"/>
      </w:r>
      <w:r>
        <w:t xml:space="preserve"> and research has suggested that it could be one way of reducing the barrier to therapy by providing help through a non-stigmatising method of treatment </w:t>
      </w:r>
      <w:r>
        <w:fldChar w:fldCharType="begin" w:fldLock="1"/>
      </w:r>
      <w:r>
        <w:instrText>ADDIN CSL_CITATION {"citationItems":[{"id":"ITEM-1","itemData":{"DOI":"10.1016/j.neubiorev.2004.03.008","ISBN":"0149-7634","ISSN":"01497634","PMID":"15225977","abstract":"The rise of consumerism, escalating levels of technological change and increasing demand for better dissemination of psychological treatments signal a transformation in the treatment of mental health problems. Soon health care consumers will have a choice as to whether they wish to consult a clinician in his/her rooms in order to receive a diagnosis, treatment and support, or instead to receive these services electronically, or a combination of both. Some of the online services currently available include structured therapy programs, psychological treatment by email, real-time online counselling, professionally assisted chat rooms, self-help groups, health information and educational modules. This paper reviews the use of computer programs in mental health care and, in particular, for the treatment of anxiety and depression. Issues of feasibility, ethics, and effectiveness are discussed and the future of computer-based treatment programs in mental health is considered. © 2004 Elsevier Ltd. All rights reserved.","author":[{"dropping-particle":"","family":"Proudfoot","given":"Judith G.","non-dropping-particle":"","parse-names":false,"suffix":""}],"container-title":"Neuroscience and Biobehavioral Reviews","id":"ITEM-1","issue":"3","issued":{"date-parts":[["2004"]]},"page":"353-363","title":"Computer-based treatment for anxiety and depression: Is it feasible? Is it effective?","type":"article-journal","volume":"28"},"uris":["http://www.mendeley.com/documents/?uuid=e7e7fcdd-6c76-4b4f-8839-627a5883c452"]},{"id":"ITEM-2","itemData":{"DOI":"10.1002/erv.516","ISBN":"1099-0968","ISSN":"10724133","abstract":"Many ethical and practical questions have been asked in relation to the delivery of therapy via e-mail including: is therapy delivered via e-mail acceptable to clients? Are people recruited into treatment via an e-mailed advertisement similar to a clinical sample? Is such therapy effective? Is there a therapeutic relationship which involves expression of emotion, therapist empathy, and other features of the face-to-face therapeutic interaction? Is such therapy safe? This paper attempts to answer these questions based on findings from ongoing studies on the use of cognitive behavioural treatment (CBT) delivered via e-mail to individuals with bulimic disorders. Copyright (C) 2003 John Wiley &amp; Sons, Ltd and Eating Disorders Association","author":[{"dropping-particle":"","family":"Robinson","given":"Paul","non-dropping-particle":"","parse-names":false,"suffix":""},{"dropping-particle":"","family":"Serfaty","given":"Marc","non-dropping-particle":"","parse-names":false,"suffix":""}],"container-title":"European Eating Disorders Review","id":"ITEM-2","issue":"3","issued":{"date-parts":[["2003"]]},"page":"210-221","title":"Computers, e-mail and therapy in eating disorders","type":"article-journal","volume":"11"},"uris":["http://www.mendeley.com/documents/?uuid=a2a042fb-92c3-4544-ad0b-9035fec6d17e"]},{"id":"ITEM-3","itemData":{"DOI":"10.1007/s11920-010-0152-4","ISBN":"1192001001","ISSN":"15233812","PMID":"20872100","abstract":"There has been a recent acceleration in the development and testing of programs for computer-assisted cognitive-behavioral therapy (CCBT). Programs are now available for treatment of depression, anxiety disorders, and other psychiatric conditions. Technology for delivery of CCBT includes multimedia programs, virtual reality, and handheld devices. Research on CCBT generally has supported the efficacy of computer-assisted therapy and has shown patient acceptance of computer tools for psychotherapy. Completion rates and treatment efficacy typically have been higher when clinicians prescribe and support the use of psychotherapeutic computer programs than when programs are delivered in a self-help format without clinician involvement. CCBT seems to have the potential to improve access to evidence-based therapies while reducing the demand for clinician time.","author":[{"dropping-particle":"","family":"Spurgeon","given":"Joyce A.","non-dropping-particle":"","parse-names":false,"suffix":""},{"dropping-particle":"","family":"Wright","given":"Jesse H.","non-dropping-particle":"","parse-names":false,"suffix":""}],"container-title":"Current Psychiatry Reports","id":"ITEM-3","issue":"6","issued":{"date-parts":[["2010"]]},"page":"547-552","title":"Computer-assisted cognitive-behavioral therapy","type":"article-journal","volume":"12"},"uris":["http://www.mendeley.com/documents/?uuid=f3b3944d-ff1c-4caf-a4ac-9244c571465b"]},{"id":"ITEM-4","itemData":{"DOI":"10.1080/00048670601109873","ISBN":"0004-8674","ISSN":"00048674","PMID":"17464688","abstract":"A growing body of evidence supports the efficacy of computerized cognitive behavioural therapy (CCBT). This technology has the potential to increase the capacity of mental health services, and to overcome some of the barriers to accessing mental health services, including stigma, traveling time for rural patients, treatment delays, and the low availability of skilled clinicians. This review discusses key issues around the implementation of CCBT in current mental health services, and summarizes recent evidence for the efficacy of CCBT in anxiety and depression. Many CCBT systems exist, and the evidence for each varies in quality and quantity. It is concluded that CCBT, particularly guided by a therapist, represents a promising resource. However, considerable work needs to be done to develop CCBT techniques that are appropriate to Australasian populations, acceptable to patients and clinicians, easy to use, and are clinically and cost effective. Suggestions are made for further research and useful website addresses are provided to assist clinicians in familiarizing themselves with CCBT","author":[{"dropping-particle":"","family":"Titov","given":"Nickolai","non-dropping-particle":"","parse-names":false,"suffix":""}],"container-title":"Australian and New Zealand Journal of Psychiatry","id":"ITEM-4","issue":"2","issued":{"date-parts":[["2007","2"]]},"page":"95-114","title":"Status of computerized cognitive behavioural therapy for adults","type":"article-journal","volume":"41"},"uris":["http://www.mendeley.com/documents/?uuid=e2791a05-74d3-4d3d-91be-e5777e9030df"]}],"mendeley":{"formattedCitation":"(Robinson and Serfaty, 2003; Proudfoot, 2004; Titov, 2007; Spurgeon and Wright, 2010)","plainTextFormattedCitation":"(Robinson and Serfaty, 2003; Proudfoot, 2004; Titov, 2007; Spurgeon and Wright, 2010)","previouslyFormattedCitation":"(Robinson and Serfaty, 2003; Proudfoot, 2004; Titov, 2007; Spurgeon and Wright, 2010)"},"properties":{"noteIndex":0},"schema":"https://github.com/citation-style-language/schema/raw/master/csl-citation.json"}</w:instrText>
      </w:r>
      <w:r>
        <w:fldChar w:fldCharType="separate"/>
      </w:r>
      <w:r w:rsidRPr="00150B80">
        <w:rPr>
          <w:noProof/>
        </w:rPr>
        <w:t>(Robinson and Serfaty, 2003; Proudfoot, 2004; Titov, 2007; Spurgeon and Wright, 2010)</w:t>
      </w:r>
      <w:r>
        <w:fldChar w:fldCharType="end"/>
      </w:r>
      <w:r>
        <w:t xml:space="preserve">.  Recent systematic reviews and meta-analyses have suggested that e-therapy can be acceptable and effective in the treatment of anxiety and depression </w:t>
      </w:r>
      <w:r>
        <w:fldChar w:fldCharType="begin" w:fldLock="1"/>
      </w:r>
      <w:r>
        <w:instrText>ADDIN CSL_CITATION {"citationItems":[{"id":"ITEM-1","itemData":{"DOI":"10.1371/journal.pone.0013196","ISSN":"1932-6203","abstract":"BACKGROUND Depression and anxiety disorders are common and treatable with cognitive behavior therapy (CBT), but access to this therapy is limited. OBJECTIVE Review evidence that computerized CBT for the anxiety and depressive disorders is acceptable to patients and effective in the short and longer term. METHOD Systematic reviews and data bases were searched for randomized controlled trials of computerized cognitive behavior therapy versus a treatment or control condition in people who met diagnostic criteria for major depression, panic disorder, social phobia or generalized anxiety disorder. Number randomized, superiority of treatment versus control (Hedges g) on primary outcome measure, risk of bias, length of follow up, patient adherence and satisfaction were extracted. PRINCIPAL FINDINGS 22 studies of comparisons with a control group were identified. The mean effect size superiority was 0.88 (NNT 2.13), and the benefit was evident across all four disorders. Improvement from computerized CBT was maintained for a median of 26 weeks follow-up. Acceptability, as indicated by adherence and satisfaction, was good. Research probity was good and bias risk low. Effect sizes were non-significantly higher in comparisons with waitlist than with active treatment control conditions. Five studies comparing computerized CBT with traditional face-to-face CBT were identified, and both modes of treatment appeared equally beneficial. CONCLUSIONS Computerized CBT for anxiety and depressive disorders, especially via the internet, has the capacity to provide effective acceptable and practical health care for those who might otherwise remain untreated. TRIAL REGISTRATION Australian New Zealand Clinical Trials Registry ACTRN12610000030077.","author":[{"dropping-particle":"","family":"Andrews","given":"Gavin","non-dropping-particle":"","parse-names":false,"suffix":""},{"dropping-particle":"","family":"Cuijpers","given":"Pim","non-dropping-particle":"","parse-names":false,"suffix":""},{"dropping-particle":"","family":"Craske","given":"Michelle G","non-dropping-particle":"","parse-names":false,"suffix":""},{"dropping-particle":"","family":"McEvoy","given":"Peter","non-dropping-particle":"","parse-names":false,"suffix":""},{"dropping-particle":"","family":"Titov","given":"Nickolai","non-dropping-particle":"","parse-names":false,"suffix":""}],"container-title":"PLoS ONE","editor":[{"dropping-particle":"","family":"Baune","given":"Bernhard T.","non-dropping-particle":"","parse-names":false,"suffix":""}],"id":"ITEM-1","issue":"10","issued":{"date-parts":[["2010","10","13"]]},"page":"e13196","publisher":"Public Library of Science","title":"Computer Therapy for the Anxiety and Depressive Disorders Is Effective, Acceptable and Practical Health Care: A Meta-Analysis","type":"article-journal","volume":"5"},"uris":["http://www.mendeley.com/documents/?uuid=312f19f1-e21d-3693-836c-df9e122e73e4"]},{"id":"ITEM-2","itemData":{"DOI":"10.1080/16506070802694776","ISBN":"1650-6073","ISSN":"16506073","PMID":"20183688","abstract":"Abstract. Computer-aided psychotherapy (CP) is said to (1) be as effective as face-to-face psychotherapy, while requiring less therapist time, for anxiety disorder sufferers, (2) speed access to care, and (3) save traveling time. CP may be delivered on stand-alone or Internet-linked computers, palmtop computers, phone-interactive voice response, DVDs, and cell phones. The authors performed a meta-analysis of 23 randomised controlled studies (RCTs) that compared CP with non- CP in anxiety disorders: phobias, n510; panic disorder/agoraphobia, n59; PTSD, n53; obsessive– compulsive disorder, n51. Overall mean effect size of CP compared with non-CP was 1.08 (95% confidence interval: 0.84–1.32). CP and face-to-face psychotherapy did not differ significantly from each other (13 comparisons, d520.06). Much caution is needed when interpreting the findings indicating that outcome was unrelated to type of disorder, type of comparison group, mode of CP delivery (Internet, stand-alone PC, palmtop), and recency of the CP system and that effect size decreased when more therapist time was replaced by the computer. Because CP as a whole was as effective as face-to-face psychotherapy, certain forms of CP deserve to be integrated into routine practice.","author":[{"dropping-particle":"","family":"Cuijpers","given":"Pim","non-dropping-particle":"","parse-names":false,"suffix":""},{"dropping-particle":"","family":"Marks","given":"Isaac M.","non-dropping-particle":"","parse-names":false,"suffix":""},{"dropping-particle":"","family":"Straten","given":"Annemieke","non-dropping-particle":"van","parse-names":false,"suffix":""},{"dropping-particle":"","family":"Cavanagh","given":"Kate","non-dropping-particle":"","parse-names":false,"suffix":""},{"dropping-particle":"","family":"Gega","given":"Lina","non-dropping-particle":"","parse-names":false,"suffix":""},{"dropping-particle":"","family":"Andersson","given":"Gerhard","non-dropping-particle":"","parse-names":false,"suffix":""}],"container-title":"Cognitive Behaviour Therapy","id":"ITEM-2","issue":"2","issued":{"date-parts":[["2009","1"]]},"page":"66-82","title":"Computer-aided psychotherapy for anxiety disorders: A meta-analytic review","type":"article-journal","volume":"38"},"uris":["http://www.mendeley.com/documents/?uuid=70e6de36-df9f-436a-8d95-d39320640c2d"]},{"id":"ITEM-3","itemData":{"DOI":"10.2196/jmir.1270","ISBN":"1438-8871","ISSN":"14388871","PMID":"19793719","abstract":"BACKGROUND: Internet support groups (ISGs) enable individuals with specific health problems to readily communicate online. Peer support has been postulated to improve mental health, including depression, through the provision of social support. Given the growing role of ISGs for both users with depression and those with a physical disorder, there is a need to evaluate the evidence concerning the efficacy of ISGs in reducing depressive symptoms.\\nOBJECTIVE: The objective was to systematically review the available evidence concerning the effect of ISGs on depressive symptoms.\\nMETHOD: Three databases (PubMed, PsycINFO, Cochrane) were searched using over 150 search terms extracted from relevant papers, abstracts, and a thesaurus. Papers were included if they (1) employed an online peer-to-peer support group, (2) incorporated a depression outcome, and (3) reported quantitative data. Studies included both stand-alone ISGs and those used in the context of a complex multi-component intervention. All trials were coded for quality.\\nRESULTS: Thirty-one papers (involving 28 trials) satisfied the inclusion criteria from an initial pool of 12,692 abstracts. Sixteen trials used either a single-component intervention, a design in which non-ISG components were controlled, or a cross-sectional analysis, of which 10 (62.5%) reported a positive effect of the ISG on depressive symptoms. However, only two (20%) of these studies employed a control group. Only two studies investigated the efficacy of a depression ISG and neither employed a control group. Studies with lower design quality tended to be associated with more positive outcomes (P = .07). Overall, studies of breast cancer ISGs were more likely to report a reduction in depressive symptoms than studies of other ISG types (Fisher P = .02), but it is possible that this finding was due to confounding design factors rather than the nature of the ISG.\\nCONCLUSIONS: There is a paucity of high-quality evidence concerning the efficacy or effectiveness of ISGs for depression. There is an urgent need to conduct high-quality randomized controlled trials of the efficacy of depression ISGs to inform the practice of consumers, practitioners, policy makers, and other relevant users and providers of online support groups.","author":[{"dropping-particle":"","family":"Griffiths","given":"Kathleen M.","non-dropping-particle":"","parse-names":false,"suffix":""},{"dropping-particle":"","family":"Calear","given":"Alison L.","non-dropping-particle":"","parse-names":false,"suffix":""},{"dropping-particle":"","family":"Banfield","given":"Michelle","non-dropping-particle":"","parse-names":false,"suffix":""}],"container-title":"Journal of medical Internet research","id":"ITEM-3","issue":"3","issued":{"date-parts":[["2009","1"]]},"page":"e40","title":"Systematic review on Internet Support Groups (ISGs) and depression (1): Do ISGs reduce depressive symptoms?","type":"article-journal","volume":"11"},"uris":["http://www.mendeley.com/documents/?uuid=139514e2-af7c-4811-a5fe-8bf2dc667e6e"]}],"mendeley":{"formattedCitation":"(Cuijpers &lt;i&gt;et al.&lt;/i&gt;, 2009; Griffiths, Calear and Banfield, 2009; Andrews &lt;i&gt;et al.&lt;/i&gt;, 2010)","plainTextFormattedCitation":"(Cuijpers et al., 2009; Griffiths, Calear and Banfield, 2009; Andrews et al., 2010)","previouslyFormattedCitation":"(Cuijpers &lt;i&gt;et al.&lt;/i&gt;, 2009; Griffiths, Calear and Banfield, 2009; Andrews &lt;i&gt;et al.&lt;/i&gt;, 2010)"},"properties":{"noteIndex":0},"schema":"https://github.com/citation-style-language/schema/raw/master/csl-citation.json"}</w:instrText>
      </w:r>
      <w:r>
        <w:fldChar w:fldCharType="separate"/>
      </w:r>
      <w:r w:rsidRPr="00150B80">
        <w:rPr>
          <w:noProof/>
        </w:rPr>
        <w:t xml:space="preserve">(Cuijpers </w:t>
      </w:r>
      <w:r w:rsidRPr="00150B80">
        <w:rPr>
          <w:i/>
          <w:noProof/>
        </w:rPr>
        <w:t>et al.</w:t>
      </w:r>
      <w:r w:rsidRPr="00150B80">
        <w:rPr>
          <w:noProof/>
        </w:rPr>
        <w:t xml:space="preserve">, 2009; Griffiths, Calear and Banfield, 2009; Andrews </w:t>
      </w:r>
      <w:r w:rsidRPr="00150B80">
        <w:rPr>
          <w:i/>
          <w:noProof/>
        </w:rPr>
        <w:t>et al.</w:t>
      </w:r>
      <w:r w:rsidRPr="00150B80">
        <w:rPr>
          <w:noProof/>
        </w:rPr>
        <w:t>, 2010)</w:t>
      </w:r>
      <w:r>
        <w:fldChar w:fldCharType="end"/>
      </w:r>
      <w:r>
        <w:t xml:space="preserve"> and it has also been proven effective when prescribed in primary care environments </w:t>
      </w:r>
      <w:r>
        <w:fldChar w:fldCharType="begin" w:fldLock="1"/>
      </w:r>
      <w:r>
        <w:instrText>ADDIN CSL_CITATION {"citationItems":[{"id":"ITEM-1","itemData":{"DOI":"10.1371/journal.pone.0057447","ISBN":"EN :1932-6203","ISSN":"19326203","PMID":"23451231","abstract":"BACKGROUND: Depression is a common, recurrent, and debilitating problem and Internet delivered cognitive behaviour therapy (iCBT) could offer one solution. There are at least 25 controlled trials that demonstrate the efficacy of iCBT. The aim of the current paper was to evaluate the effectiveness of an iCBT Program in primary care that had been demonstrated to be efficacious in two randomized controlled trials (RCTs).\\n\\nMETHOD: Quality assurance data from 359 patients prescribed the Sadness Program in Australia from October 2010 to November 2011 were included.\\n\\nRESULTS: Intent-to-treat marginal model analyses demonstrated significant reductions in depressive symptoms (PHQ9), distress (K10), and impairment (WHODAS-II) with medium-large effect sizes (Cohen's d = .51-1.13.), even in severe and/or suicidal patients (Cohen's d = .50-1.49.) Secondary analyses on patients who completed all 6 lessons showed levels of clinically significant change as indexed by established criteria for remission, recovery, and reliable change.\\n\\nCONCLUSIONS: The Sadness Program is effective when prescribed by primary care practitioners and is consistent with a cost-effective stepped-care framework.","author":[{"dropping-particle":"","family":"Williams","given":"Alishia D.","non-dropping-particle":"","parse-names":false,"suffix":""},{"dropping-particle":"","family":"Andrews","given":"Gavin","non-dropping-particle":"","parse-names":false,"suffix":""}],"container-title":"PLoS ONE","id":"ITEM-1","issue":"2","issued":{"date-parts":[["2013"]]},"title":"The Effectiveness of Internet Cognitive Behavioural Therapy (iCBT) for Depression in Primary Care: A Quality Assurance Study","type":"article-journal","volume":"8"},"uris":["http://www.mendeley.com/documents/?uuid=c334e76d-b3d3-40ed-952d-a30ec0169f7f"]},{"id":"ITEM-2","itemData":{"DOI":"10.1016/j.invent.2014.11.001","ISBN":"2214-7829","ISSN":"22147829","abstract":"Social anxiety disorder (SAD) is a common, chronic and disabling mental disorder. Cognitive Behaviour Therapy (CBT) is a highly effective treatment of SAD and internet CBT (iCBT) offers a cost-effective and convenient alternative to face to face approaches, with high fidelity and demonstrated efficacy. The aim of the current paper was to evaluate the effectiveness of an iCBT programme for SAD (The This Way Up Clinic Shyness Programme) when delivered in routine practice through two different pathways. Patients in the prescription pathway (Study 1, N. =. 368, 50% female, mean age. =. 34) were 'prescribed' the Shyness Programme by a registered practitioner of the This Way Up Clinic who supervised their progress throughout the programme. Patients in the referral pathway (Study 2, N. =. 192, 50% female, mean age. =. 36) were referred to the This Way Up Clinic and supervised by a specialist CBT clinician at the clinic. Intention-to-treat marginal model analyses demonstrated significant reductions in primary outcomes of social anxiety symptoms (Mini-SPIN) and psychological distress (K10), corresponding to large effect sizes (Cohen's d=. .82-1.09, 95% CIs .59-1.31) and secondary outcomes of impairment (WHODAS-II) and depressive symptoms (PHQ9), corresponding to small effect sizes (Cohen's d=. .36-.46, 95% CIs .19-.68) for patients in both pathways. Results provide evidence of the effectiveness of iCBT for social anxiety disorder when delivered in routine practice.","author":[{"dropping-particle":"","family":"Williams","given":"Alishia D.","non-dropping-particle":"","parse-names":false,"suffix":""},{"dropping-particle":"","family":"O'Moore","given":"Kathleen","non-dropping-particle":"","parse-names":false,"suffix":""},{"dropping-particle":"","family":"Mason","given":"Elizabeth","non-dropping-particle":"","parse-names":false,"suffix":""},{"dropping-particle":"","family":"Andrews","given":"Gavin","non-dropping-particle":"","parse-names":false,"suffix":""}],"container-title":"Internet Interventions","id":"ITEM-2","issue":"4","issued":{"date-parts":[["2014"]]},"page":"225-229","publisher":"Elsevier B.V.","title":"The effectiveness of internet cognitive behaviour therapy (iCBT) for social anxiety disorder across two routine practice pathways","type":"article-journal","volume":"1"},"uris":["http://www.mendeley.com/documents/?uuid=73d75995-7562-411d-9632-0059c61027d7"]}],"mendeley":{"formattedCitation":"(Williams and Andrews, 2013; Williams &lt;i&gt;et al.&lt;/i&gt;, 2014)","plainTextFormattedCitation":"(Williams and Andrews, 2013; Williams et al., 2014)","previouslyFormattedCitation":"(Williams and Andrews, 2013; Williams &lt;i&gt;et al.&lt;/i&gt;, 2014)"},"properties":{"noteIndex":0},"schema":"https://github.com/citation-style-language/schema/raw/master/csl-citation.json"}</w:instrText>
      </w:r>
      <w:r>
        <w:fldChar w:fldCharType="separate"/>
      </w:r>
      <w:r w:rsidRPr="00150B80">
        <w:rPr>
          <w:noProof/>
        </w:rPr>
        <w:t xml:space="preserve">(Williams and Andrews, 2013; Williams </w:t>
      </w:r>
      <w:r w:rsidRPr="00150B80">
        <w:rPr>
          <w:i/>
          <w:noProof/>
        </w:rPr>
        <w:t>et al.</w:t>
      </w:r>
      <w:r w:rsidRPr="00150B80">
        <w:rPr>
          <w:noProof/>
        </w:rPr>
        <w:t>, 2014)</w:t>
      </w:r>
      <w:r>
        <w:fldChar w:fldCharType="end"/>
      </w:r>
      <w:r>
        <w:t xml:space="preserve">.  Other research has suggested that e-therapy could potentially reduce waiting lists, make treatment more </w:t>
      </w:r>
      <w:r w:rsidRPr="00CE2C65">
        <w:rPr>
          <w:noProof/>
        </w:rPr>
        <w:t>cost</w:t>
      </w:r>
      <w:r>
        <w:rPr>
          <w:noProof/>
        </w:rPr>
        <w:t>-</w:t>
      </w:r>
      <w:r w:rsidRPr="00CE2C65">
        <w:rPr>
          <w:noProof/>
        </w:rPr>
        <w:t>effective</w:t>
      </w:r>
      <w:r>
        <w:t xml:space="preserve">, reduce the time and expense of travel, stimulate self-management </w:t>
      </w:r>
      <w:r>
        <w:fldChar w:fldCharType="begin" w:fldLock="1"/>
      </w:r>
      <w:r w:rsidR="00056473">
        <w:instrText>ADDIN CSL_CITATION {"citationItems":[{"id":"ITEM-1","itemData":{"DOI":"10.1192/bjp.183.1.57","ISBN":"0007-1250 (Print)","ISSN":"00071250","PMID":"12835245","abstract":"BACKGROUND: Most anxiety/depression is not effectively treated. Aims Open evaluation of a free clinic giving immediate computer-aided cognitive-behavioural therapy (CBT) self-help plus brief advice from a therapist. METHOD: Test of outcome of self-referrals who used one of four computer-aided CBT systems for depression, phobia/panic, general anxiety or obsessive-compulsive disorder. RESULTS: The equivalent of one full-time clinician managed 355 referrals over a year. Of the 266 who had a screening interview 79% were suitable. Completers and non-completers of computer-aided CBT had similar pre-treatment features, with very chronic, moderately severe problems. Completers of the computer-aided self-help had a mean total of an hour's live therapist support over 12 weeks. They improved significantly and clinically meaningfully with three of the four systems and felt 'fairly satisfied'. Improvement resembled that in controlled and other trials of computer-aided CBT. CONCLUSIONS: Computer-aided self-help is a 'clinician extender'that greatly cuts per-patient therapist time without impairing improvement. It could reduce the per-patient cost of CBT.","author":[{"dropping-particle":"","family":"Marks","given":"Isaac M.","non-dropping-particle":"","parse-names":false,"suffix":""},{"dropping-particle":"","family":"Mataix-Cols","given":"David","non-dropping-particle":"","parse-names":false,"suffix":""},{"dropping-particle":"","family":"Kenwright","given":"Mark","non-dropping-particle":"","parse-names":false,"suffix":""},{"dropping-particle":"","family":"Cameron","given":"Rachel","non-dropping-particle":"","parse-names":false,"suffix":""},{"dropping-particle":"","family":"Hirsch","given":"Steven","non-dropping-particle":"","parse-names":false,"suffix":""},{"dropping-particle":"","family":"Gega","given":"Lina","non-dropping-particle":"","parse-names":false,"suffix":""}],"container-title":"British Journal of Psychiatry","id":"ITEM-1","issue":"JULY","issued":{"date-parts":[["2003"]]},"page":"57-65","title":"Pragmatic evaluation of computer-aided self-help for anxiety and depression","type":"article-journal","volume":"183"},"uris":["http://www.mendeley.com/documents/?uuid=7bd9bb40-fd64-46cc-ba1c-c34a6a71eb15"]},{"id":"ITEM-2","itemData":{"DOI":"http://dx.doi.org/10.5944/rppc","author":[{"dropping-particle":"","family":"Cuijpers","given":"Pim","non-dropping-particle":"","parse-names":false,"suffix":""},{"dropping-particle":"","family":"Riper","given":"Helen","non-dropping-particle":"","parse-names":false,"suffix":""}],"container-title":"Revista de psicopatología y psicología clínica","id":"ITEM-2","issue":"3","issued":{"date-parts":[["2014"]]},"page":"209-216","title":"Internet intervantions for depressive disorders: an overview","type":"article-journal","volume":"19"},"uris":["http://www.mendeley.com/documents/?uuid=471e5041-b37e-4a37-845c-2256828bcba9"]}],"mendeley":{"formattedCitation":"(Marks &lt;i&gt;et al.&lt;/i&gt;, 2003; Pim Cuijpers and Riper, 2014)","plainTextFormattedCitation":"(Marks et al., 2003; Pim Cuijpers and Riper, 2014)","previouslyFormattedCitation":"(Marks &lt;i&gt;et al.&lt;/i&gt;, 2003; Pim Cuijpers and Riper, 2014)"},"properties":{"noteIndex":0},"schema":"https://github.com/citation-style-language/schema/raw/master/csl-citation.json"}</w:instrText>
      </w:r>
      <w:r>
        <w:fldChar w:fldCharType="separate"/>
      </w:r>
      <w:r w:rsidR="006C6716" w:rsidRPr="006C6716">
        <w:rPr>
          <w:noProof/>
        </w:rPr>
        <w:t xml:space="preserve">(Marks </w:t>
      </w:r>
      <w:r w:rsidR="006C6716" w:rsidRPr="006C6716">
        <w:rPr>
          <w:i/>
          <w:noProof/>
        </w:rPr>
        <w:t>et al.</w:t>
      </w:r>
      <w:r w:rsidR="006C6716" w:rsidRPr="006C6716">
        <w:rPr>
          <w:noProof/>
        </w:rPr>
        <w:t>, 2003; Pim Cuijpers and Riper, 2014)</w:t>
      </w:r>
      <w:r>
        <w:fldChar w:fldCharType="end"/>
      </w:r>
      <w:r>
        <w:t xml:space="preserve"> and also decrease the workload of mental health professionals </w:t>
      </w:r>
      <w:r>
        <w:fldChar w:fldCharType="begin" w:fldLock="1"/>
      </w:r>
      <w:r>
        <w:instrText>ADDIN CSL_CITATION {"citationItems":[{"id":"ITEM-1","itemData":{"DOI":"10.1080/00048670601109873","ISBN":"0004-8674","ISSN":"00048674","PMID":"17464688","abstract":"A growing body of evidence supports the efficacy of computerized cognitive behavioural therapy (CCBT). This technology has the potential to increase the capacity of mental health services, and to overcome some of the barriers to accessing mental health services, including stigma, traveling time for rural patients, treatment delays, and the low availability of skilled clinicians. This review discusses key issues around the implementation of CCBT in current mental health services, and summarizes recent evidence for the efficacy of CCBT in anxiety and depression. Many CCBT systems exist, and the evidence for each varies in quality and quantity. It is concluded that CCBT, particularly guided by a therapist, represents a promising resource. However, considerable work needs to be done to develop CCBT techniques that are appropriate to Australasian populations, acceptable to patients and clinicians, easy to use, and are clinically and cost effective. Suggestions are made for further research and useful website addresses are provided to assist clinicians in familiarizing themselves with CCBT","author":[{"dropping-particle":"","family":"Titov","given":"Nickolai","non-dropping-particle":"","parse-names":false,"suffix":""}],"container-title":"Australian and New Zealand Journal of Psychiatry","id":"ITEM-1","issue":"2","issued":{"date-parts":[["2007","2"]]},"page":"95-114","title":"Status of computerized cognitive behavioural therapy for adults","type":"article-journal","volume":"41"},"uris":["http://www.mendeley.com/documents/?uuid=e2791a05-74d3-4d3d-91be-e5777e9030df"]},{"id":"ITEM-2","itemData":{"DOI":"10.1007/s11920-010-0152-4","ISBN":"1192001001","ISSN":"15233812","PMID":"20872100","abstract":"There has been a recent acceleration in the development and testing of programs for computer-assisted cognitive-behavioral therapy (CCBT). Programs are now available for treatment of depression, anxiety disorders, and other psychiatric conditions. Technology for delivery of CCBT includes multimedia programs, virtual reality, and handheld devices. Research on CCBT generally has supported the efficacy of computer-assisted therapy and has shown patient acceptance of computer tools for psychotherapy. Completion rates and treatment efficacy typically have been higher when clinicians prescribe and support the use of psychotherapeutic computer programs than when programs are delivered in a self-help format without clinician involvement. CCBT seems to have the potential to improve access to evidence-based therapies while reducing the demand for clinician time.","author":[{"dropping-particle":"","family":"Spurgeon","given":"Joyce A.","non-dropping-particle":"","parse-names":false,"suffix":""},{"dropping-particle":"","family":"Wright","given":"Jesse H.","non-dropping-particle":"","parse-names":false,"suffix":""}],"container-title":"Current Psychiatry Reports","id":"ITEM-2","issue":"6","issued":{"date-parts":[["2010"]]},"page":"547-552","title":"Computer-assisted cognitive-behavioral therapy","type":"article-journal","volume":"12"},"uris":["http://www.mendeley.com/documents/?uuid=f3b3944d-ff1c-4caf-a4ac-9244c571465b"]}],"mendeley":{"formattedCitation":"(Titov, 2007; Spurgeon and Wright, 2010)","plainTextFormattedCitation":"(Titov, 2007; Spurgeon and Wright, 2010)","previouslyFormattedCitation":"(Titov, 2007; Spurgeon and Wright, 2010)"},"properties":{"noteIndex":0},"schema":"https://github.com/citation-style-language/schema/raw/master/csl-citation.json"}</w:instrText>
      </w:r>
      <w:r>
        <w:fldChar w:fldCharType="separate"/>
      </w:r>
      <w:r w:rsidRPr="00150B80">
        <w:rPr>
          <w:noProof/>
        </w:rPr>
        <w:t>(Titov, 2007; Spurgeon and Wright, 2010)</w:t>
      </w:r>
      <w:r>
        <w:fldChar w:fldCharType="end"/>
      </w:r>
      <w:r>
        <w:t>.</w:t>
      </w:r>
    </w:p>
    <w:p w14:paraId="2172503F" w14:textId="2030E262" w:rsidR="002B4CFD" w:rsidRDefault="002B4CFD" w:rsidP="002B4CFD">
      <w:pPr>
        <w:pStyle w:val="Heading3"/>
        <w:numPr>
          <w:ilvl w:val="2"/>
          <w:numId w:val="29"/>
        </w:numPr>
      </w:pPr>
      <w:bookmarkStart w:id="24" w:name="_Toc424313166"/>
      <w:bookmarkStart w:id="25" w:name="_Toc424468086"/>
      <w:bookmarkStart w:id="26" w:name="_Toc424500416"/>
      <w:bookmarkStart w:id="27" w:name="_Toc424500439"/>
      <w:bookmarkStart w:id="28" w:name="_Toc424500462"/>
      <w:bookmarkStart w:id="29" w:name="_Toc424500512"/>
      <w:bookmarkStart w:id="30" w:name="_Toc424500535"/>
      <w:bookmarkStart w:id="31" w:name="_Toc424500558"/>
      <w:bookmarkStart w:id="32" w:name="_Toc481675503"/>
      <w:bookmarkStart w:id="33" w:name="_Toc3538049"/>
      <w:bookmarkEnd w:id="24"/>
      <w:bookmarkEnd w:id="25"/>
      <w:bookmarkEnd w:id="26"/>
      <w:bookmarkEnd w:id="27"/>
      <w:bookmarkEnd w:id="28"/>
      <w:bookmarkEnd w:id="29"/>
      <w:bookmarkEnd w:id="30"/>
      <w:bookmarkEnd w:id="31"/>
      <w:r>
        <w:t>Studies of E-therapy with Older Adults</w:t>
      </w:r>
      <w:bookmarkEnd w:id="32"/>
      <w:bookmarkEnd w:id="33"/>
    </w:p>
    <w:p w14:paraId="397D47FF" w14:textId="5505CE71" w:rsidR="002B4CFD" w:rsidRDefault="002B4CFD" w:rsidP="002B4CFD">
      <w:r>
        <w:t xml:space="preserve">A large number of clinical trials involving e-therapy have only focused on those aged between 20 and 60 years old </w:t>
      </w:r>
      <w:r>
        <w:fldChar w:fldCharType="begin" w:fldLock="1"/>
      </w:r>
      <w:r>
        <w:instrText>ADDIN CSL_CITATION {"citationItems":[{"id":"ITEM-1","itemData":{"DOI":"10.1111/j.2044-8260.2012.02038.x","ISBN":"0144-6657","ISSN":"01446657","PMID":"23078214","abstract":"OBJECTIVE: Computerized cognitive-behavioural therapy (CCBT) may enhance older adults' access to evidence-based depression treatment. Our objective was to determine the extent to which adults aged 65 years and older are represented in existing studies of CCBT for depression and describe available data on recruitment, retention, and outcomes. METHODS: We retrieved all controlled and uncontrolled trials of CCBT for depression published between 2000 and 2010. We obtained data on older adults via the article text or correspondence with authors. RESULTS: Older adults comprised approximately 3% of study participants in reviewed studies. Authors reported that older participants may be less likely than younger adults to drop out, but more likely to experience technical challenges. CONCLUSIONS: Older adults are under-represented in studies of CCBT for depression.","author":[{"dropping-particle":"","family":"Crabb","given":"Rebecca M.","non-dropping-particle":"","parse-names":false,"suffix":""},{"dropping-particle":"","family":"Cavanagh","given":"Kate","non-dropping-particle":"","parse-names":false,"suffix":""},{"dropping-particle":"","family":"Proudfoot","given":"Judy","non-dropping-particle":"","parse-names":false,"suffix":""},{"dropping-particle":"","family":"Learmonth","given":"Despina","non-dropping-particle":"","parse-names":false,"suffix":""},{"dropping-particle":"","family":"Rafie","given":"Samantha","non-dropping-particle":"","parse-names":false,"suffix":""},{"dropping-particle":"","family":"Weingardt","given":"Kenneth R.","non-dropping-particle":"","parse-names":false,"suffix":""}],"container-title":"British Journal of Clinical Psychology","id":"ITEM-1","issue":"4","issued":{"date-parts":[["2012","11"]]},"page":"459-464","title":"Is computerized cognitive-behavioural therapy a treatment option for depression in late-life? A systematic review","type":"article-journal","volume":"51"},"uris":["http://www.mendeley.com/documents/?uuid=ab531bbc-4a54-448f-99e7-f9f53cac7c48"]}],"mendeley":{"formattedCitation":"(Crabb &lt;i&gt;et al.&lt;/i&gt;, 2012)","plainTextFormattedCitation":"(Crabb et al., 2012)","previouslyFormattedCitation":"(Crabb &lt;i&gt;et al.&lt;/i&gt;, 2012)"},"properties":{"noteIndex":0},"schema":"https://github.com/citation-style-language/schema/raw/master/csl-citation.json"}</w:instrText>
      </w:r>
      <w:r>
        <w:fldChar w:fldCharType="separate"/>
      </w:r>
      <w:r w:rsidRPr="00150B80">
        <w:rPr>
          <w:noProof/>
        </w:rPr>
        <w:t xml:space="preserve">(Crabb </w:t>
      </w:r>
      <w:r w:rsidRPr="00150B80">
        <w:rPr>
          <w:i/>
          <w:noProof/>
        </w:rPr>
        <w:t>et al.</w:t>
      </w:r>
      <w:r w:rsidRPr="00150B80">
        <w:rPr>
          <w:noProof/>
        </w:rPr>
        <w:t>, 2012)</w:t>
      </w:r>
      <w:r>
        <w:fldChar w:fldCharType="end"/>
      </w:r>
      <w:r>
        <w:t>.</w:t>
      </w:r>
      <w:r w:rsidR="00FE37B5">
        <w:t xml:space="preserve"> </w:t>
      </w:r>
      <w:r>
        <w:t xml:space="preserve"> A systematic review carried out by </w:t>
      </w:r>
      <w:r w:rsidRPr="00792424">
        <w:rPr>
          <w:noProof/>
        </w:rPr>
        <w:t xml:space="preserve">Crabb et al. </w:t>
      </w:r>
      <w:r>
        <w:fldChar w:fldCharType="begin" w:fldLock="1"/>
      </w:r>
      <w:r w:rsidR="006C6716">
        <w:instrText>ADDIN CSL_CITATION {"citationItems":[{"id":"ITEM-1","itemData":{"DOI":"10.1111/j.2044-8260.2012.02038.x","ISBN":"0144-6657","ISSN":"01446657","PMID":"23078214","abstract":"OBJECTIVE: Computerized cognitive-behavioural therapy (CCBT) may enhance older adults' access to evidence-based depression treatment. Our objective was to determine the extent to which adults aged 65 years and older are represented in existing studies of CCBT for depression and describe available data on recruitment, retention, and outcomes. METHODS: We retrieved all controlled and uncontrolled trials of CCBT for depression published between 2000 and 2010. We obtained data on older adults via the article text or correspondence with authors. RESULTS: Older adults comprised approximately 3% of study participants in reviewed studies. Authors reported that older participants may be less likely than younger adults to drop out, but more likely to experience technical challenges. CONCLUSIONS: Older adults are under-represented in studies of CCBT for depression.","author":[{"dropping-particle":"","family":"Crabb","given":"Rebecca M.","non-dropping-particle":"","parse-names":false,"suffix":""},{"dropping-particle":"","family":"Cavanagh","given":"Kate","non-dropping-particle":"","parse-names":false,"suffix":""},{"dropping-particle":"","family":"Proudfoot","given":"Judy","non-dropping-particle":"","parse-names":false,"suffix":""},{"dropping-particle":"","family":"Learmonth","given":"Despina","non-dropping-particle":"","parse-names":false,"suffix":""},{"dropping-particle":"","family":"Rafie","given":"Samantha","non-dropping-particle":"","parse-names":false,"suffix":""},{"dropping-particle":"","family":"Weingardt","given":"Kenneth R.","non-dropping-particle":"","parse-names":false,"suffix":""}],"container-title":"British Journal of Clinical Psychology","id":"ITEM-1","issue":"4","issued":{"date-parts":[["2012","11"]]},"page":"459-464","title":"Is computerized cognitive-behavioural therapy a treatment option for depression in late-life? A systematic review","type":"article-journal","volume":"51"},"uris":["http://www.mendeley.com/documents/?uuid=ab531bbc-4a54-448f-99e7-f9f53cac7c48"]}],"mendeley":{"formattedCitation":"(Crabb &lt;i&gt;et al.&lt;/i&gt;, 2012)","manualFormatting":"(2012)","plainTextFormattedCitation":"(Crabb et al., 2012)","previouslyFormattedCitation":"(Crabb &lt;i&gt;et al.&lt;/i&gt;, 2012)"},"properties":{"noteIndex":0},"schema":"https://github.com/citation-style-language/schema/raw/master/csl-citation.json"}</w:instrText>
      </w:r>
      <w:r>
        <w:fldChar w:fldCharType="separate"/>
      </w:r>
      <w:r w:rsidRPr="00150B80">
        <w:rPr>
          <w:noProof/>
        </w:rPr>
        <w:t>(2012)</w:t>
      </w:r>
      <w:r>
        <w:fldChar w:fldCharType="end"/>
      </w:r>
      <w:r>
        <w:t xml:space="preserve"> indicated a low rate of participation by older adults</w:t>
      </w:r>
      <w:r w:rsidRPr="00B322C8">
        <w:t xml:space="preserve"> </w:t>
      </w:r>
      <w:r>
        <w:t>in published clinical trials of e-mental health therapy</w:t>
      </w:r>
      <w:r w:rsidR="00554CB4">
        <w:t xml:space="preserve">.  </w:t>
      </w:r>
      <w:r>
        <w:t xml:space="preserve">It also showed that although people over the age of 65 </w:t>
      </w:r>
      <w:r w:rsidRPr="00471295">
        <w:rPr>
          <w:noProof/>
        </w:rPr>
        <w:t>were not excluded</w:t>
      </w:r>
      <w:r>
        <w:t xml:space="preserve">, the median proportion of older adult participants only accounted for approximately 3%, a substantial under-representation.  Randomised controlled trials that have focused on older adults have shown e-therapy to be an efficient and cost-effective choice of treatment for older adults with symptoms of depression and anxiety </w:t>
      </w:r>
      <w:r>
        <w:fldChar w:fldCharType="begin" w:fldLock="1"/>
      </w:r>
      <w:r w:rsidR="00277777">
        <w:instrText>ADDIN CSL_CITATION {"citationItems":[{"id":"ITEM-1","itemData":{"DOI":"10.1016/j.beth.2014.09.007","ISBN":"0005-7894","ISSN":"18781888","PMID":"25645169","abstract":"There is preliminary support for internet-delivered cognitive behaviour therapy (iCBT) as a way of improving access to treatment among older adults with anxiety. The aim of this randomized controlled trial (RCT) was to examine the efficacy, long-term outcomes, and cost-effectiveness of an iCBT program for adults over 60. years of age with anxiety. Successful applicants were randomly allocated to either the treatment group (n= 35) or the waitlist control group (n= 37). The online treatment course was delivered over 8. weeks and provided with brief weekly contact with a clinical psychologist via telephone or secure email. Eighty-four percent of participants completed the iCBT course within the 8. weeks and 90% provided data at posttreatment. Significantly lower scores on measures of anxiety (Cohen's d=. 1.43; 95% CI: 0.89 - 1.93) and depression (Cohen's d=. 1.79; 95% CI: 1.21 - 2.32) were found among the treatment group compared to the control group at posttreatment. These lower scores were maintained at 3-month and 12-month follow-up and the treatment group rated the iCBT treatment as acceptable. The treatment group had slightly higher costs ($92.2; 95% CI: $38.7 to $149.2) and Quality-Adjusted Life-Years (QALYs. =. 0.010; 95% CI: 0.003 to 0.018) than the control group at posttreatment and the intervention was found to have a greater than 95% probability of being cost-effective. The results support iCBT as an efficacious and cost-effective treatment option for older adults with symptoms of anxiety.","author":[{"dropping-particle":"","family":"Dear","given":"Blake F.","non-dropping-particle":"","parse-names":false,"suffix":""},{"dropping-particle":"","family":"Zou","given":"Judy B.","non-dropping-particle":"","parse-names":false,"suffix":""},{"dropping-particle":"","family":"Ali","given":"Shehzad","non-dropping-particle":"","parse-names":false,"suffix":""},{"dropping-particle":"","family":"Lorian","given":"Carolyn N.","non-dropping-particle":"","parse-names":false,"suffix":""},{"dropping-particle":"","family":"Johnston","given":"Luke","non-dropping-particle":"","parse-names":false,"suffix":""},{"dropping-particle":"","family":"Sheehan","given":"Joanne","non-dropping-particle":"","parse-names":false,"suffix":""},{"dropping-particle":"","family":"Staples","given":"Lauren G.","non-dropping-particle":"","parse-names":false,"suffix":""},{"dropping-particle":"","family":"Gandy","given":"Milena","non-dropping-particle":"","parse-names":false,"suffix":""},{"dropping-particle":"","family":"Fogliati","given":"Vincent J.","non-dropping-particle":"","parse-names":false,"suffix":""},{"dropping-particle":"","family":"Klein","given":"Britt","non-dropping-particle":"","parse-names":false,"suffix":""},{"dropping-particle":"","family":"Titov","given":"Nickolai","non-dropping-particle":"","parse-names":false,"suffix":""}],"container-title":"Behavior Therapy","id":"ITEM-1","issue":"2","issued":{"date-parts":[["2015"]]},"page":"206-217","publisher":"Elsevier B.V.","title":"Clinical and Cost-Effectiveness of Therapist-Guided Internet-Delivered Cognitive Behavior Therapy for Older Adults With Symptoms of Anxiety: A Randomized Controlled Trial","type":"article-journal","volume":"46"},"uris":["http://www.mendeley.com/documents/?uuid=c821cd16-7046-4134-9f64-be9bd1c44408"]},{"id":"ITEM-2","itemData":{"DOI":"10.1016/j.beth.2014.09.008","ISBN":"0005-7894","ISSN":"18781888","PMID":"25645168","abstract":"Depression is a common and significant health problem among older adults. Unfortunately, while effective psychological treatments exist, few older adults access treatment. The aim of the present randomized controlled trial (RCT) was to examine the efficacy, long-term outcomes, and cost-effectiveness of a therapist-guided internet-delivered cognitive behavior therapy (iCBT) intervention for Australian adults over 60. years of age with symptoms of depression. Participants were randomly allocated to either a treatment group (n= 29) or a delayed-treatment waitlist control group (n=. 25). Twenty-seven treatment group participants started the iCBT treatment and 70% completed the treatment within the 8-week course, with 85% of participants providing data at posttreatment. Treatment comprised an online 5-lesson iCBT course with brief weekly contact with a clinical psychologist, delivered over 8. weeks. The primary outcome measure was the Patient Health Questionnaire-9 Item (PHQ-9), a measure of symptoms and severity of depression. Significantly lower scores on the PHQ-9 (Cohen's d=. 2.08; 95% CI: 1.38 - 2.72) and on a measure of anxiety (Generalized Anxiety Disorder-7 Item) (Cohen's d=. 1.22; 95% CI: 0.61 - 1.79) were observed in the treatment group compared to the control group at posttreatment. The treatment group maintained these lower scores at the 3-month and 12-month follow-up time points and the iCBT treatment was rated as acceptable by participants. The treatment group had slightly higher Quality-Adjusted Life-Years (QALYs) than the control group at posttreatment (estimate: 0.012; 95% CI: 0.004 to 0.020) and, while being a higher cost (estimate $52.9. l 95% CI: -. 23.8 to 128.2), the intervention was cost-effective according to commonly used willingness-to-pay thresholds in Australia. The results support the potential efficacy and cost-effectiveness of therapist-guided iCBT as a treatment for older adults with symptoms of depression.","author":[{"dropping-particle":"","family":"Titov","given":"Nickolai","non-dropping-particle":"","parse-names":false,"suffix":""},{"dropping-particle":"","family":"Dear","given":"Blake F.","non-dropping-particle":"","parse-names":false,"suffix":""},{"dropping-particle":"","family":"Ali","given":"Shehzad","non-dropping-particle":"","parse-names":false,"suffix":""},{"dropping-particle":"","family":"Zou","given":"Judy B.","non-dropping-particle":"","parse-names":false,"suffix":""},{"dropping-particle":"","family":"Lorian","given":"Carolyn N.","non-dropping-particle":"","parse-names":false,"suffix":""},{"dropping-particle":"","family":"Johnston","given":"Luke","non-dropping-particle":"","parse-names":false,"suffix":""},{"dropping-particle":"","family":"Terides","given":"Matthew D.","non-dropping-particle":"","parse-names":false,"suffix":""},{"dropping-particle":"","family":"Kayrouz","given":"Rony","non-dropping-particle":"","parse-names":false,"suffix":""},{"dropping-particle":"","family":"Klein","given":"Britt","non-dropping-particle":"","parse-names":false,"suffix":""},{"dropping-particle":"","family":"Gandy","given":"Milena","non-dropping-particle":"","parse-names":false,"suffix":""},{"dropping-particle":"","family":"Fogliati","given":"Vincent J.","non-dropping-particle":"","parse-names":false,"suffix":""}],"container-title":"Behavior Therapy","id":"ITEM-2","issue":"2","issued":{"date-parts":[["2015"]]},"note":"The present study was designed to examine the\nefficacy, longer-term outcomes, and cost-effectiveness of a new iCBT intervention, the Managing Your Mood Course","page":"193-205","publisher":"Elsevier B.V.","title":"Clinical and Cost-Effectiveness of Therapist-Guided Internet-Delivered Cognitive Behavior Therapy for Older Adults With Symptoms of Depression: A Randomized Controlled Trial","type":"article-journal","volume":"46"},"uris":["http://www.mendeley.com/documents/?uuid=8f40ff72-3e15-4993-9547-eb426e4a2a82"]},{"id":"ITEM-3","itemData":{"DOI":"10.1017/S0033291707000542","ISBN":"1469-8978","ISSN":"00332917","PMID":"17466110","abstract":"BACKGROUND: Subthreshold depression is a highly prevalent condition and a risk factor for developing a major depressive episode. Internet-based cognitive behaviour therapy may be a promising approach for the treatment of subthreshold depression. The current study had two aims: (1) to determine whether an internet-based cognitive behaviour therapy intervention and a group cognitive behaviour therapy intervention are more effective than a waiting-list control group; and (2) to determine whether the effect of the internet-based cognitive behaviour therapy differs from the group cognitive behaviour therapy intervention. METHOD: A total of 191 women and 110 men with subthreshold depression were randomized into internet-based treatment, group cognitive behaviour therapy (Lewinsohn's Coping With Depression course), or a waiting-list control condition. The main outcome measure was treatment response after 10 weeks, defined as the difference in pre- and post-treatment scores on the Beck Depression Inventory (BDI). Missing data, a major limitation of this study, were imputed using the Multiple Imputation (MI) procedure Data Augmentation. RESULTS: In the waiting-list control group, we found a pre- to post-improvement effect size of 0.45, which was 0.65 in the group cognitive behaviour therapy condition and 1.00 within the internet-based treatment condition. Helmert contrasts showed a significant difference between the waiting-list condition and the two treatment conditions (p=0.04) and no significant difference between both treatment conditions (p=0.62). CONCLUSIONS: An internet-based intervention may be at least as effective as a commonly used group cognitive behaviour therapy intervention for subthreshold depression in people over 50 years of age.","author":[{"dropping-particle":"","family":"Spek","given":"Viola","non-dropping-particle":"","parse-names":false,"suffix":""},{"dropping-particle":"","family":"Nyklíček","given":"Ivan","non-dropping-particle":"","parse-names":false,"suffix":""},{"dropping-particle":"","family":"Smits","given":"Niels","non-dropping-particle":"","parse-names":false,"suffix":""},{"dropping-particle":"","family":"Cuijpers","given":"Pim","non-dropping-particle":"","parse-names":false,"suffix":""},{"dropping-particle":"","family":"Riper","given":"Heleen","non-dropping-particle":"","parse-names":false,"suffix":""},{"dropping-particle":"","family":"Keyzer","given":"Jules","non-dropping-particle":"","parse-names":false,"suffix":""},{"dropping-particle":"","family":"Pop","given":"Victor","non-dropping-particle":"","parse-names":false,"suffix":""}],"container-title":"Psychological Medicine","id":"ITEM-3","issue":"12","issued":{"date-parts":[["2007","12"]]},"note":"First, we wanted to determine whether internet-based cognitive behaviour therapy and group cognitive behaviour therapy were more effective than a waiting-list condition. Second, we tested whether the two inter- ventions differed regarding their effectivenes","page":"1797-1806","title":"Internet-based cognitive behavioural therapy for subthreshold depression in people over 50 years old: A randomized controlled clinical trial","type":"article-journal","volume":"37"},"uris":["http://www.mendeley.com/documents/?uuid=e03629d4-ea3a-4776-bf45-aa95bc3dd3dc"]},{"id":"ITEM-4","itemData":{"DOI":"10.1017/S0033291707002590","ISBN":"0033-2917","ISSN":"0033-2917","PMID":"18205965","abstract":"BACKGROUND: Internet-based cognitive behaviour therapy (CBT) is a promising new approach for the treatment of depressive symptoms. The current study had two aims: (1) to determine whether, after 1 year, an internet-based CBT intervention was more effective than a waiting-list control group; and (2) to determine whether the effect of the internet-based CBT differed from the group CBT intervention, 1 year after the start of treatment.\\n\\nMETHOD: A total of 191 women and 110 men (mean age=55 years, s.d.=4.6) with subthreshold depression were randomized into internet-based treatment, group CBT (Lewinsohn's Coping with Depression Course), or a waiting-list control condition. The main outcome measure was treatment response after 1 year, defined as the difference in pretreatment and follow-up scores on the Beck Depression Inventory (BDI). Missing data were imputed using the multiple imputation procedure of data augmentation. Analyses were performed using multiple imputation inference.\\n\\nRESULTS: In the waiting-list control group, we found a pretreatment to follow-up improvement effect size of 0.69, which was 0.62 in the group CBT condition and 1.22 with the internet-based treatment condition. Simple contrasts showed a significant difference between the waiting-list condition and internet-based treatment (p=0.03) and no difference between both treatment conditions (p=0.08).\\n\\nCONCLUSIONS: People aged over 50 years with subthreshold depression can still benefit from internet-based CBT 1 year after the start of treatment.","author":[{"dropping-particle":"","family":"Spek","given":"V.","non-dropping-particle":"","parse-names":false,"suffix":""},{"dropping-particle":"","family":"Cuijpers","given":"P.","non-dropping-particle":"","parse-names":false,"suffix":""},{"dropping-particle":"","family":"Nyklíček","given":"I.","non-dropping-particle":"","parse-names":false,"suffix":""},{"dropping-particle":"","family":"Smits","given":"N.","non-dropping-particle":"","parse-names":false,"suffix":""},{"dropping-particle":"","family":"Riper","given":"H.","non-dropping-particle":"","parse-names":false,"suffix":""},{"dropping-particle":"","family":"Keyzer","given":"J.","non-dropping-particle":"","parse-names":false,"suffix":""},{"dropping-particle":"","family":"Pop","given":"V.","non-dropping-particle":"","parse-names":false,"suffix":""}],"container-title":"Psychological Medicine","id":"ITEM-4","issue":"05","issued":{"date-parts":[["2008"]]},"note":"The current study evaluated the 1-year follow-up\neffects of internet-based CBT for subthreshold de- pression in people aged over 50 years. We compared the effect of internet-based therapy with a waiting-list condition and with group CBT.","page":"635-639","title":"One-year follow-up results of a randomized controlled clinical trial on internet-based cognitive behavioural therapy for subthreshold depression in people over 50 years","type":"article-journal","volume":"38"},"uris":["http://www.mendeley.com/documents/?uuid=de224a8e-ed48-4112-8600-e634a71cccd2"]}],"mendeley":{"formattedCitation":"(Spek, Nyklíček, &lt;i&gt;et al.&lt;/i&gt;, 2007a; V. Spek &lt;i&gt;et al.&lt;/i&gt;, 2008; Dear &lt;i&gt;et al.&lt;/i&gt;, 2015; Titov &lt;i&gt;et al.&lt;/i&gt;, 2015)","plainTextFormattedCitation":"(Spek, Nyklíček, et al., 2007a; V. Spek et al., 2008; Dear et al., 2015; Titov et al., 2015)","previouslyFormattedCitation":"(Spek, Nyklíček, &lt;i&gt;et al.&lt;/i&gt;, 2007a; V. Spek &lt;i&gt;et al.&lt;/i&gt;, 2008; Dear &lt;i&gt;et al.&lt;/i&gt;, 2015; Titov &lt;i&gt;et al.&lt;/i&gt;, 2015)"},"properties":{"noteIndex":0},"schema":"https://github.com/citation-style-language/schema/raw/master/csl-citation.json"}</w:instrText>
      </w:r>
      <w:r>
        <w:fldChar w:fldCharType="separate"/>
      </w:r>
      <w:r w:rsidR="006C6716" w:rsidRPr="006C6716">
        <w:rPr>
          <w:noProof/>
        </w:rPr>
        <w:t xml:space="preserve">(Spek, Nyklíček, </w:t>
      </w:r>
      <w:r w:rsidR="006C6716" w:rsidRPr="006C6716">
        <w:rPr>
          <w:i/>
          <w:noProof/>
        </w:rPr>
        <w:t>et al.</w:t>
      </w:r>
      <w:r w:rsidR="006C6716" w:rsidRPr="006C6716">
        <w:rPr>
          <w:noProof/>
        </w:rPr>
        <w:t xml:space="preserve">, 2007a; V. Spek </w:t>
      </w:r>
      <w:r w:rsidR="006C6716" w:rsidRPr="006C6716">
        <w:rPr>
          <w:i/>
          <w:noProof/>
        </w:rPr>
        <w:t>et al.</w:t>
      </w:r>
      <w:r w:rsidR="006C6716" w:rsidRPr="006C6716">
        <w:rPr>
          <w:noProof/>
        </w:rPr>
        <w:t xml:space="preserve">, 2008; Dear </w:t>
      </w:r>
      <w:r w:rsidR="006C6716" w:rsidRPr="006C6716">
        <w:rPr>
          <w:i/>
          <w:noProof/>
        </w:rPr>
        <w:t>et al.</w:t>
      </w:r>
      <w:r w:rsidR="006C6716" w:rsidRPr="006C6716">
        <w:rPr>
          <w:noProof/>
        </w:rPr>
        <w:t xml:space="preserve">, 2015; Titov </w:t>
      </w:r>
      <w:r w:rsidR="006C6716" w:rsidRPr="006C6716">
        <w:rPr>
          <w:i/>
          <w:noProof/>
        </w:rPr>
        <w:t>et al.</w:t>
      </w:r>
      <w:r w:rsidR="006C6716" w:rsidRPr="006C6716">
        <w:rPr>
          <w:noProof/>
        </w:rPr>
        <w:t>, 2015)</w:t>
      </w:r>
      <w:r>
        <w:fldChar w:fldCharType="end"/>
      </w:r>
      <w:r>
        <w:t xml:space="preserve">.  </w:t>
      </w:r>
      <w:r>
        <w:rPr>
          <w:noProof/>
        </w:rPr>
        <w:t>In addition to this,</w:t>
      </w:r>
      <w:r w:rsidRPr="00B65967">
        <w:rPr>
          <w:noProof/>
        </w:rPr>
        <w:t xml:space="preserve"> feasibility and pilot studies have indicated that older adults may find the use of e-therapies a satisfying experience </w:t>
      </w:r>
      <w:r w:rsidRPr="00B65967">
        <w:rPr>
          <w:noProof/>
        </w:rPr>
        <w:fldChar w:fldCharType="begin" w:fldLock="1"/>
      </w:r>
      <w:r w:rsidRPr="00B65967">
        <w:rPr>
          <w:noProof/>
        </w:rPr>
        <w:instrText>ADDIN CSL_CITATION {"citationItems":[{"id":"ITEM-1","itemData":{"DOI":"10.1089/cpb.2008.0325","ISBN":"1557-8364 (Electronic)\\r1094-9313 (Linking)","ISSN":"1094-9313","PMID":"19445633","abstract":"The Butler Project is a technological e-health platform that uses the Internet to connect various users; it was designed to deliver health care to the elderly. The Butler platform has three levels of implementation: diagnosis (mood monitoring, alert system, management reports), therapy (training in inducing positive moods, memory work), and entertainment (e-mail, chat, video, photo albums, music, friend forums, accessibility to the Internet). The objective of this work is to describe the psychological aspects of the platform and to present data obtained from four users. Results show that after using the system, the participants increased their positive emotions and decreased their negative ones; in addition, they obtained high levels of satisfaction and experienced little difficulty in using the system.","author":[{"dropping-particle":"","family":"Botella","given":"Cristina","non-dropping-particle":"","parse-names":false,"suffix":""},{"dropping-particle":"","family":"Etchemendy","given":"Ernestina","non-dropping-particle":"","parse-names":false,"suffix":""},{"dropping-particle":"","family":"Castilla","given":"Diana","non-dropping-particle":"","parse-names":false,"suffix":""},{"dropping-particle":"","family":"Baños","given":"Rosa María","non-dropping-particle":"","parse-names":false,"suffix":""},{"dropping-particle":"","family":"García-Palacios","given":"Azucena","non-dropping-particle":"","parse-names":false,"suffix":""},{"dropping-particle":"","family":"Quero","given":"Soledad","non-dropping-particle":"","parse-names":false,"suffix":""},{"dropping-particle":"","family":"Alcañiz","given":"Mariano","non-dropping-particle":"","parse-names":false,"suffix":""},{"dropping-particle":"","family":"Lozano","given":"José Antonio","non-dropping-particle":"","parse-names":false,"suffix":""}],"container-title":"Cyberpsychology &amp; behavior : the impact of the Internet, multimedia and virtual reality on behavior and society","id":"ITEM-1","issue":"3","issued":{"date-parts":[["2009"]]},"page":"255-262","title":"An e-health system for the elderly (Butler Project): a pilot study on acceptance and satisfaction","type":"article-journal","volume":"12"},"uris":["http://www.mendeley.com/documents/?uuid=57b77150-b996-4c6b-8874-50b7443dc225"]},{"id":"ITEM-2","itemData":{"DOI":"10.1177/0004867412466154","ISBN":"0004-8674 1440-1614","ISSN":"0004-8674","PMID":"23152358","abstract":"BACKGROUND: Depression is an important health issue amongst older adults. Internet-delivered cognitive behaviour therapy (iCBT) may help to reduce barriers and improve access to treatment, but few studies have examined its use with older adults. The present study evaluated the efficacy, acceptability and feasibility of a brief iCBT program, the Managing Your Mood Program, to treat depression amongst adults aged 60 years and older. METHOD: Using an open trial design, 20 participants with elevated symptoms of depression (Patient Health Questionnaire 9-item (PHQ-9) total scores &gt; 10) received access to five educational lessons and homework summaries, additional resources, a moderated discussion forum and weekly telephone or email contact from a clinical psychologist. Eighty percent of the sample met diagnostic criteria for a major depressive episode at pre-treatment. RESULTS: Completion rates and response rates were high, with 16/20 participants completing the five lessons within the 8 weeks, and post-treatment and 3-month follow-up data being collected from 17/20 participants. Participants improved significantly on the PHQ-9 and Geriatric Depression Scale (GDS), with large within-group effect sizes (Cohen's d) at follow-up of 1.41 and 2.04, respectively. The clinician spent a mean time of 73.75 minutes (SD = 36.10 minutes) contacting participants within the trial and the program was rated as highly acceptable by participants. CONCLUSIONS: The results are encouraging and support the potential value of iCBT in the treatment of depressive symptoms amongst older adults.","author":[{"dropping-particle":"","family":"Dear","given":"Blake F","non-dropping-particle":"","parse-names":false,"suffix":""},{"dropping-particle":"","family":"Zou","given":"Judy","non-dropping-particle":"","parse-names":false,"suffix":""},{"dropping-particle":"","family":"Titov","given":"Nickolai","non-dropping-particle":"","parse-names":false,"suffix":""},{"dropping-particle":"","family":"Lorian","given":"Carolyn","non-dropping-particle":"","parse-names":false,"suffix":""},{"dropping-particle":"","family":"Johnston","given":"Luke","non-dropping-particle":"","parse-names":false,"suffix":""},{"dropping-particle":"","family":"Spence","given":"Jay","non-dropping-particle":"","parse-names":false,"suffix":""},{"dropping-particle":"","family":"Anderson","given":"Tracy","non-dropping-particle":"","parse-names":false,"suffix":""},{"dropping-particle":"","family":"Sachdev","given":"Perminder","non-dropping-particle":"","parse-names":false,"suffix":""},{"dropping-particle":"","family":"Brodaty","given":"Henry","non-dropping-particle":"","parse-names":false,"suffix":""},{"dropping-particle":"","family":"Knight","given":"Robert G","non-dropping-particle":"","parse-names":false,"suffix":""}],"container-title":"Australian &amp; New Zealand Journal of Psychiatry","id":"ITEM-2","issue":"2","issued":{"date-parts":[["2013"]]},"note":"The present study evaluated the efficacy, acceptability and feasibility of a brief iCBT program, the Managing Your Mood Program, to treat depression amongst adults aged 60 years and older","page":"169-176","title":"Internet-delivered cognitive behavioural therapy for depression: A feasibility open trial for older adults","type":"article-journal","volume":"47"},"uris":["http://www.mendeley.com/documents/?uuid=355de196-a6f7-4f79-b1bd-29d1f8fe5a8c"]},{"id":"ITEM-3","itemData":{"DOI":"10.1016/j.janxdis.2012.04.002","ISBN":"0887-6185","ISSN":"08876185","PMID":"22659078","abstract":"This study examined the efficacy of an Internet-delivered cognitive-behavior therapy program developed for older adults. Twenty-two participants with elevated scores (≥8) on the Generalized Anxiety Disorder 7-Item Scale (GAD-7) participated in the course, which consisted of five lessons, homework tasks, additional resources, a moderated discussion forum, and weekly telephone support from a Clinical Psychologist. Ninety-five percent of the sample met diagnostic criteria for an anxiety disorder at pre-treatment. All participants completed the five lessons within the allotted eight weeks. Three-month follow-up data was collected from 95% of participants. Reductions in symptoms of anxiety and stress, with large within-group effect sizes (Cohen's . d) were found on the GAD-7 (. d=. 1.03) and the Depression, Anxiety and Stress Scales - 21 Items (. d=. 0.98) at follow-up. Participants reported high levels of satisfaction with the program. These encouraging results provide tentative support for the online treatment of older adults with anxiety. © 2012 Elsevier Ltd.","author":[{"dropping-particle":"","family":"Zou","given":"Judy B.","non-dropping-particle":"","parse-names":false,"suffix":""},{"dropping-particle":"","family":"Dear","given":"Blake F.","non-dropping-particle":"","parse-names":false,"suffix":""},{"dropping-particle":"","family":"Titov","given":"Nickolai","non-dropping-particle":"","parse-names":false,"suffix":""},{"dropping-particle":"","family":"Lorian","given":"Carolyn N.","non-dropping-particle":"","parse-names":false,"suffix":""},{"dropping-particle":"","family":"Johnston","given":"Luke","non-dropping-particle":"","parse-names":false,"suffix":""},{"dropping-particle":"","family":"Spence","given":"Jay","non-dropping-particle":"","parse-names":false,"suffix":""},{"dropping-particle":"","family":"Knight","given":"Robert G.","non-dropping-particle":"","parse-names":false,"suffix":""},{"dropping-particle":"","family":"Anderson","given":"Tracy","non-dropping-particle":"","parse-names":false,"suffix":""},{"dropping-particle":"","family":"Sachdev","given":"Perminder","non-dropping-particle":"","parse-names":false,"suffix":""}],"container-title":"Journal of Anxiety Disorders","id":"ITEM-3","issue":"6","issued":{"date-parts":[["2012"]]},"note":"Using an open trial design, we explored the efficacy of a brief iCBT program, the Man- aging Stress and Anxiety program that aims to treat symptoms of anxiety in older adults.","page":"650-655","publisher":"Elsevier Ltd","title":"Brief internet-delivered cognitive behavioral therapy for anxiety in older adults: A feasibility trial","type":"article-journal","volume":"26"},"uris":["http://www.mendeley.com/documents/?uuid=1c4c4bef-e465-4df5-902b-afad98021121"]}],"mendeley":{"formattedCitation":"(Botella &lt;i&gt;et al.&lt;/i&gt;, 2009; Zou &lt;i&gt;et al.&lt;/i&gt;, 2012; Dear &lt;i&gt;et al.&lt;/i&gt;, 2013)","plainTextFormattedCitation":"(Botella et al., 2009; Zou et al., 2012; Dear et al., 2013)","previouslyFormattedCitation":"(Botella &lt;i&gt;et al.&lt;/i&gt;, 2009; Zou &lt;i&gt;et al.&lt;/i&gt;, 2012; Dear &lt;i&gt;et al.&lt;/i&gt;, 2013)"},"properties":{"noteIndex":0},"schema":"https://github.com/citation-style-language/schema/raw/master/csl-citation.json"}</w:instrText>
      </w:r>
      <w:r w:rsidRPr="00B65967">
        <w:rPr>
          <w:noProof/>
        </w:rPr>
        <w:fldChar w:fldCharType="separate"/>
      </w:r>
      <w:r w:rsidRPr="00B65967">
        <w:rPr>
          <w:noProof/>
        </w:rPr>
        <w:t xml:space="preserve">(Botella </w:t>
      </w:r>
      <w:r w:rsidRPr="00B65967">
        <w:rPr>
          <w:i/>
          <w:noProof/>
        </w:rPr>
        <w:t>et al.</w:t>
      </w:r>
      <w:r w:rsidRPr="00B65967">
        <w:rPr>
          <w:noProof/>
        </w:rPr>
        <w:t xml:space="preserve">, 2009; Zou </w:t>
      </w:r>
      <w:r w:rsidRPr="00B65967">
        <w:rPr>
          <w:i/>
          <w:noProof/>
        </w:rPr>
        <w:t>et al.</w:t>
      </w:r>
      <w:r w:rsidRPr="00B65967">
        <w:rPr>
          <w:noProof/>
        </w:rPr>
        <w:t xml:space="preserve">, 2012; Dear </w:t>
      </w:r>
      <w:r w:rsidRPr="00B65967">
        <w:rPr>
          <w:i/>
          <w:noProof/>
        </w:rPr>
        <w:t>et al.</w:t>
      </w:r>
      <w:r w:rsidRPr="00B65967">
        <w:rPr>
          <w:noProof/>
        </w:rPr>
        <w:t>, 2013)</w:t>
      </w:r>
      <w:r w:rsidRPr="00B65967">
        <w:rPr>
          <w:noProof/>
        </w:rPr>
        <w:fldChar w:fldCharType="end"/>
      </w:r>
      <w:r w:rsidRPr="00B65967">
        <w:rPr>
          <w:noProof/>
        </w:rPr>
        <w:t>.</w:t>
      </w:r>
    </w:p>
    <w:p w14:paraId="163FC394" w14:textId="456E2CF3" w:rsidR="002B4CFD" w:rsidRDefault="002B4CFD" w:rsidP="002B4CFD">
      <w:r>
        <w:lastRenderedPageBreak/>
        <w:t xml:space="preserve">The National Institute of Clinical Excellence (NICE), which among other roles develops recommendations for NHS mental health services, referred to one piece of e-therapy software in early iterations of their guidelines for e-therapies for depression: Beating the Blues (BTB) </w:t>
      </w:r>
      <w:r>
        <w:fldChar w:fldCharType="begin" w:fldLock="1"/>
      </w:r>
      <w:r>
        <w:instrText>ADDIN CSL_CITATION {"citationItems":[{"id":"ITEM-1","itemData":{"URL":"https://www.nice.org.uk/guidance/ta97/","accessed":{"date-parts":[["2016","9","9"]]},"author":[{"dropping-particle":"","family":"National Institute for Health and Care Excellence","given":"","non-dropping-particle":"","parse-names":false,"suffix":""}],"id":"ITEM-1","issue":"February","issued":{"date-parts":[["2006"]]},"title":"Computerised cognitive behaviour therapy for depression and anxiety. TA97","type":"webpage"},"uris":["http://www.mendeley.com/documents/?uuid=03eaa184-445c-4c5a-ac30-a3f753a2f131"]}],"mendeley":{"formattedCitation":"(National Institute for Health and Care Excellence, 2006)","manualFormatting":"(NICE, 2006)","plainTextFormattedCitation":"(National Institute for Health and Care Excellence, 2006)","previouslyFormattedCitation":"(National Institute for Health and Care Excellence, 2006)"},"properties":{"noteIndex":0},"schema":"https://github.com/citation-style-language/schema/raw/master/csl-citation.json"}</w:instrText>
      </w:r>
      <w:r>
        <w:fldChar w:fldCharType="separate"/>
      </w:r>
      <w:r w:rsidRPr="00166DF0">
        <w:rPr>
          <w:noProof/>
        </w:rPr>
        <w:t>(</w:t>
      </w:r>
      <w:r>
        <w:rPr>
          <w:noProof/>
        </w:rPr>
        <w:t>NICE</w:t>
      </w:r>
      <w:r w:rsidRPr="00166DF0">
        <w:rPr>
          <w:noProof/>
        </w:rPr>
        <w:t>, 2006)</w:t>
      </w:r>
      <w:r>
        <w:fldChar w:fldCharType="end"/>
      </w:r>
      <w:r>
        <w:t xml:space="preserve">.  BTB has had very few studies to evaluate its use in </w:t>
      </w:r>
      <w:r w:rsidRPr="00BE3FD1">
        <w:rPr>
          <w:noProof/>
        </w:rPr>
        <w:t>clinical</w:t>
      </w:r>
      <w:r>
        <w:t xml:space="preserve"> practice with older adults specifically </w:t>
      </w:r>
      <w:r>
        <w:fldChar w:fldCharType="begin" w:fldLock="1"/>
      </w:r>
      <w:r w:rsidR="00475EE7">
        <w:instrText>ADDIN CSL_CITATION {"citationItems":[{"id":"ITEM-1","itemData":{"DOI":"10.1002/gps.3935","ISBN":"ES:1099-1166 IL:0885-6230","ISSN":"08856230","PMID":"23495124","abstract":"OBJECTIVE: The study objective was to determine the acceptability and treatment outcome of using Beating the Blues (BTB) with older people (6 + years). Specific aims included identifying the treatment uptake and drop-out rate, and describing the role of basic demographics in therapy uptake.\\n\\nMETHOD: Fifty-eight participants, experiencing symptoms of depression, were given a free choice of receiving treatment as usual (TAU) plus BTB (TAU + BTB) or TAU alone. All participants completed demographic questionnaires and a range of outcome measures at baseline, 2 months after baseline (end of treatment) and 3 months after baseline (follow-up).\\n\\nRESULTS: Thirty-three participants (56.9%) opted to receive BTB and reported having more experience and confidence using a computer than those who declined BTB. Twenty-four participants (72.7%) went on to complete all eight BTB sessions. Statistical analysis found significant differences between the two treatment groups, with the TAU + BTB group showing greater improvements in their symptoms of depression and anxiety than the TAU group by the end of treatment and at follow-up. Furthermore, the TAU+ BTB group had a significantly higher percentage of participants who met criteria for clinically significant improvement in their symptoms of depression by the end of treatment and at follow-up.\\n\\nCONCLUSION: Although further research is required, including a randomised controlled trial, the results of this initial pilot study provide evidence that BTB may offer an acceptable and effective treatment option for older people.","author":[{"dropping-particle":"","family":"Mcmurchie","given":"William","non-dropping-particle":"","parse-names":false,"suffix":""},{"dropping-particle":"","family":"Macleod","given":"Fiona","non-dropping-particle":"","parse-names":false,"suffix":""},{"dropping-particle":"","family":"Power","given":"Kevin","non-dropping-particle":"","parse-names":false,"suffix":""},{"dropping-particle":"","family":"Laidlaw","given":"Ken","non-dropping-particle":"","parse-names":false,"suffix":""},{"dropping-particle":"","family":"Prentice","given":"Neil","non-dropping-particle":"","parse-names":false,"suffix":""}],"container-title":"International Journal of Geriatric Psychiatry","id":"ITEM-1","issued":{"date-parts":[["2013"]]},"note":"The study objective was to determine the acceptability and treatment outcome of using Beating the Blues (BTB) with older people (65+ years). Specific aims included identifying the treatment uptake and drop-out rate, and describing the role of basic demographics in therapy uptake.","page":"1147-1156","title":"Computerised cognitive behavioural therapy for depression and anxiety with older people: A pilot study to examine patient acceptability and treatment outcome","type":"article-journal"},"uris":["http://www.mendeley.com/documents/?uuid=855eb4f1-9077-4ced-b61f-77a008395d75"]}],"mendeley":{"formattedCitation":"(Mcmurchie &lt;i&gt;et al.&lt;/i&gt;, 2013)","manualFormatting":"(Mcmurchie, Macleod, Power, Laidlaw, and Prentice, 2013)","plainTextFormattedCitation":"(Mcmurchie et al., 2013)","previouslyFormattedCitation":"(Mcmurchie &lt;i&gt;et al.&lt;/i&gt;, 2013)"},"properties":{"noteIndex":0},"schema":"https://github.com/citation-style-language/schema/raw/master/csl-citation.json"}</w:instrText>
      </w:r>
      <w:r>
        <w:fldChar w:fldCharType="separate"/>
      </w:r>
      <w:r w:rsidRPr="00E87BC5">
        <w:rPr>
          <w:noProof/>
        </w:rPr>
        <w:t>(Mcmurchie, Macl</w:t>
      </w:r>
      <w:r>
        <w:rPr>
          <w:noProof/>
        </w:rPr>
        <w:t xml:space="preserve">eod, Power, Laidlaw, </w:t>
      </w:r>
      <w:r w:rsidR="003274CB">
        <w:rPr>
          <w:noProof/>
        </w:rPr>
        <w:t>and</w:t>
      </w:r>
      <w:r>
        <w:rPr>
          <w:noProof/>
        </w:rPr>
        <w:t xml:space="preserve"> Prentice,</w:t>
      </w:r>
      <w:r w:rsidRPr="00E87BC5">
        <w:rPr>
          <w:noProof/>
        </w:rPr>
        <w:t xml:space="preserve"> 2013)</w:t>
      </w:r>
      <w:r>
        <w:fldChar w:fldCharType="end"/>
      </w:r>
      <w:r>
        <w:t xml:space="preserve">.  A pilot study with older adults (65+ years) by </w:t>
      </w:r>
      <w:r w:rsidRPr="00106A71">
        <w:rPr>
          <w:noProof/>
        </w:rPr>
        <w:t>Mc</w:t>
      </w:r>
      <w:r>
        <w:rPr>
          <w:noProof/>
        </w:rPr>
        <w:t>M</w:t>
      </w:r>
      <w:r w:rsidRPr="00106A71">
        <w:rPr>
          <w:noProof/>
        </w:rPr>
        <w:t xml:space="preserve">urchie et al. </w:t>
      </w:r>
      <w:r>
        <w:fldChar w:fldCharType="begin" w:fldLock="1"/>
      </w:r>
      <w:r>
        <w:instrText>ADDIN CSL_CITATION {"citationItems":[{"id":"ITEM-1","itemData":{"DOI":"10.1002/gps.3935","ISBN":"ES:1099-1166 IL:0885-6230","ISSN":"08856230","PMID":"23495124","abstract":"OBJECTIVE: The study objective was to determine the acceptability and treatment outcome of using Beating the Blues (BTB) with older people (6 + years). Specific aims included identifying the treatment uptake and drop-out rate, and describing the role of basic demographics in therapy uptake.\\n\\nMETHOD: Fifty-eight participants, experiencing symptoms of depression, were given a free choice of receiving treatment as usual (TAU) plus BTB (TAU + BTB) or TAU alone. All participants completed demographic questionnaires and a range of outcome measures at baseline, 2 months after baseline (end of treatment) and 3 months after baseline (follow-up).\\n\\nRESULTS: Thirty-three participants (56.9%) opted to receive BTB and reported having more experience and confidence using a computer than those who declined BTB. Twenty-four participants (72.7%) went on to complete all eight BTB sessions. Statistical analysis found significant differences between the two treatment groups, with the TAU + BTB group showing greater improvements in their symptoms of depression and anxiety than the TAU group by the end of treatment and at follow-up. Furthermore, the TAU+ BTB group had a significantly higher percentage of participants who met criteria for clinically significant improvement in their symptoms of depression by the end of treatment and at follow-up.\\n\\nCONCLUSION: Although further research is required, including a randomised controlled trial, the results of this initial pilot study provide evidence that BTB may offer an acceptable and effective treatment option for older people.","author":[{"dropping-particle":"","family":"Mcmurchie","given":"William","non-dropping-particle":"","parse-names":false,"suffix":""},{"dropping-particle":"","family":"Macleod","given":"Fiona","non-dropping-particle":"","parse-names":false,"suffix":""},{"dropping-particle":"","family":"Power","given":"Kevin","non-dropping-particle":"","parse-names":false,"suffix":""},{"dropping-particle":"","family":"Laidlaw","given":"Ken","non-dropping-particle":"","parse-names":false,"suffix":""},{"dropping-particle":"","family":"Prentice","given":"Neil","non-dropping-particle":"","parse-names":false,"suffix":""}],"container-title":"International Journal of Geriatric Psychiatry","id":"ITEM-1","issued":{"date-parts":[["2013"]]},"note":"The study objective was to determine the acceptability and treatment outcome of using Beating the Blues (BTB) with older people (65+ years). Specific aims included identifying the treatment uptake and drop-out rate, and describing the role of basic demographics in therapy uptake.","page":"1147-1156","title":"Computerised cognitive behavioural therapy for depression and anxiety with older people: A pilot study to examine patient acceptability and treatment outcome","type":"article-journal"},"uris":["http://www.mendeley.com/documents/?uuid=855eb4f1-9077-4ced-b61f-77a008395d75"]}],"mendeley":{"formattedCitation":"(Mcmurchie &lt;i&gt;et al.&lt;/i&gt;, 2013)","manualFormatting":"(2013)","plainTextFormattedCitation":"(Mcmurchie et al., 2013)","previouslyFormattedCitation":"(Mcmurchie &lt;i&gt;et al.&lt;/i&gt;, 2013)"},"properties":{"noteIndex":0},"schema":"https://github.com/citation-style-language/schema/raw/master/csl-citation.json"}</w:instrText>
      </w:r>
      <w:r>
        <w:fldChar w:fldCharType="separate"/>
      </w:r>
      <w:r w:rsidRPr="00106A71">
        <w:rPr>
          <w:noProof/>
        </w:rPr>
        <w:t>(2013)</w:t>
      </w:r>
      <w:r>
        <w:fldChar w:fldCharType="end"/>
      </w:r>
      <w:r>
        <w:t xml:space="preserve"> found that older adults opting to use BTB tended to be more confident and experienced with computers and that the use of BTB in addition to face-to-face therapy gave significantly greater statistical and clinical improvements in psychopathology compared with those who did not.  A small pilot survey carried out by </w:t>
      </w:r>
      <w:r w:rsidRPr="007C11DF">
        <w:rPr>
          <w:noProof/>
        </w:rPr>
        <w:t xml:space="preserve">Elsegood </w:t>
      </w:r>
      <w:r w:rsidR="00475EE7">
        <w:rPr>
          <w:noProof/>
        </w:rPr>
        <w:t>and</w:t>
      </w:r>
      <w:r w:rsidRPr="007C11DF">
        <w:rPr>
          <w:noProof/>
        </w:rPr>
        <w:t xml:space="preserve"> Powell</w:t>
      </w:r>
      <w:r>
        <w:t xml:space="preserve"> </w:t>
      </w:r>
      <w:r>
        <w:fldChar w:fldCharType="begin" w:fldLock="1"/>
      </w:r>
      <w:r>
        <w:instrText>ADDIN CSL_CITATION {"citationItems":[{"id":"ITEM-1","itemData":{"DOI":"10.1080/14733140802163914","ISBN":"1473-3145","ISSN":"1473-3145","abstract":"Objective: The aim of this study was to explore whether older people with depression and/or anxiety were potentially willing to engage with computerised cognitive-behaviour therapy (cCBT). Method: A short questionnaire was sent to 60 service users aged 65+ who were identified as having anxiety and/or depression. Results: There was a 63.3% response rate for the questionnaire. Almost half of the respondents said they would be interested in using cCBT, and would be willing to learn the necessary computer skills. Conclusions: This pilot study suggests that older people with anxiety and/or depression may be willing to engage with cCBT. However, a number of important factors are highlighted that would need to be considered in deciding whether to develop access to cCBT for older people.","author":[{"dropping-particle":"","family":"Elsegood","given":"Kelly","non-dropping-particle":"","parse-names":false,"suffix":""},{"dropping-particle":"","family":"Powell","given":"David","non-dropping-particle":"","parse-names":false,"suffix":""}],"container-title":"Counselling and Psychotherapy Research","id":"ITEM-1","issue":"3","issued":{"date-parts":[["2008","9"]]},"page":"189-192","title":"Computerised cognitive-behaviour therapy (cCBT) and older people: A pilot study to determine factors that influence willingness to engage with cCBT","type":"article-journal","volume":"8"},"uris":["http://www.mendeley.com/documents/?uuid=3fe9761a-7865-429b-b7bc-67c895c469e9"]}],"mendeley":{"formattedCitation":"(Elsegood and Powell, 2008)","manualFormatting":"(2008)","plainTextFormattedCitation":"(Elsegood and Powell, 2008)","previouslyFormattedCitation":"(Elsegood and Powell, 2008)"},"properties":{"noteIndex":0},"schema":"https://github.com/citation-style-language/schema/raw/master/csl-citation.json"}</w:instrText>
      </w:r>
      <w:r>
        <w:fldChar w:fldCharType="separate"/>
      </w:r>
      <w:r w:rsidRPr="007C11DF">
        <w:rPr>
          <w:noProof/>
        </w:rPr>
        <w:t>(2008)</w:t>
      </w:r>
      <w:r>
        <w:fldChar w:fldCharType="end"/>
      </w:r>
      <w:r>
        <w:t xml:space="preserve"> into the opinions of NHS mental health older adult service users aged 65+ suggested a willingness to use e-therapy with 45% indicating an interest compared with 34% who stated they would not be interested.  A small number of uncontrolled studies that have focused on older adults have shown that when offered e-therapy, uptake rates can be over 50% but the profile associated with those willing to try e-mental health therapies tend to be those with more confidence and experience in using computers </w:t>
      </w:r>
      <w:r>
        <w:fldChar w:fldCharType="begin" w:fldLock="1"/>
      </w:r>
      <w:r>
        <w:instrText>ADDIN CSL_CITATION {"citationItems":[{"id":"ITEM-1","itemData":{"DOI":"10.1002/gps.3935","ISBN":"ES:1099-1166 IL:0885-6230","ISSN":"08856230","PMID":"23495124","abstract":"OBJECTIVE: The study objective was to determine the acceptability and treatment outcome of using Beating the Blues (BTB) with older people (6 + years). Specific aims included identifying the treatment uptake and drop-out rate, and describing the role of basic demographics in therapy uptake.\\n\\nMETHOD: Fifty-eight participants, experiencing symptoms of depression, were given a free choice of receiving treatment as usual (TAU) plus BTB (TAU + BTB) or TAU alone. All participants completed demographic questionnaires and a range of outcome measures at baseline, 2 months after baseline (end of treatment) and 3 months after baseline (follow-up).\\n\\nRESULTS: Thirty-three participants (56.9%) opted to receive BTB and reported having more experience and confidence using a computer than those who declined BTB. Twenty-four participants (72.7%) went on to complete all eight BTB sessions. Statistical analysis found significant differences between the two treatment groups, with the TAU + BTB group showing greater improvements in their symptoms of depression and anxiety than the TAU group by the end of treatment and at follow-up. Furthermore, the TAU+ BTB group had a significantly higher percentage of participants who met criteria for clinically significant improvement in their symptoms of depression by the end of treatment and at follow-up.\\n\\nCONCLUSION: Although further research is required, including a randomised controlled trial, the results of this initial pilot study provide evidence that BTB may offer an acceptable and effective treatment option for older people.","author":[{"dropping-particle":"","family":"Mcmurchie","given":"William","non-dropping-particle":"","parse-names":false,"suffix":""},{"dropping-particle":"","family":"Macleod","given":"Fiona","non-dropping-particle":"","parse-names":false,"suffix":""},{"dropping-particle":"","family":"Power","given":"Kevin","non-dropping-particle":"","parse-names":false,"suffix":""},{"dropping-particle":"","family":"Laidlaw","given":"Ken","non-dropping-particle":"","parse-names":false,"suffix":""},{"dropping-particle":"","family":"Prentice","given":"Neil","non-dropping-particle":"","parse-names":false,"suffix":""}],"container-title":"International Journal of Geriatric Psychiatry","id":"ITEM-1","issued":{"date-parts":[["2013"]]},"note":"The study objective was to determine the acceptability and treatment outcome of using Beating the Blues (BTB) with older people (65+ years). Specific aims included identifying the treatment uptake and drop-out rate, and describing the role of basic demographics in therapy uptake.","page":"1147-1156","title":"Computerised cognitive behavioural therapy for depression and anxiety with older people: A pilot study to examine patient acceptability and treatment outcome","type":"article-journal"},"uris":["http://www.mendeley.com/documents/?uuid=855eb4f1-9077-4ced-b61f-77a008395d75"]}],"mendeley":{"formattedCitation":"(Mcmurchie &lt;i&gt;et al.&lt;/i&gt;, 2013)","plainTextFormattedCitation":"(Mcmurchie et al., 2013)","previouslyFormattedCitation":"(Mcmurchie &lt;i&gt;et al.&lt;/i&gt;, 2013)"},"properties":{"noteIndex":0},"schema":"https://github.com/citation-style-language/schema/raw/master/csl-citation.json"}</w:instrText>
      </w:r>
      <w:r>
        <w:fldChar w:fldCharType="separate"/>
      </w:r>
      <w:r w:rsidRPr="00535D3E">
        <w:rPr>
          <w:noProof/>
        </w:rPr>
        <w:t>(Mc</w:t>
      </w:r>
      <w:r w:rsidRPr="003E710E">
        <w:rPr>
          <w:noProof/>
        </w:rPr>
        <w:t>m</w:t>
      </w:r>
      <w:r w:rsidRPr="00535D3E">
        <w:rPr>
          <w:noProof/>
        </w:rPr>
        <w:t xml:space="preserve">urchie </w:t>
      </w:r>
      <w:r w:rsidRPr="00535D3E">
        <w:rPr>
          <w:i/>
          <w:noProof/>
        </w:rPr>
        <w:t>et al.</w:t>
      </w:r>
      <w:r w:rsidRPr="00535D3E">
        <w:rPr>
          <w:noProof/>
        </w:rPr>
        <w:t>, 2013)</w:t>
      </w:r>
      <w:r>
        <w:fldChar w:fldCharType="end"/>
      </w:r>
      <w:r>
        <w:t xml:space="preserve">. </w:t>
      </w:r>
      <w:r w:rsidR="001F5564">
        <w:t xml:space="preserve"> </w:t>
      </w:r>
      <w:r>
        <w:rPr>
          <w:noProof/>
        </w:rPr>
        <w:t xml:space="preserve">These findings match well with those of </w:t>
      </w:r>
      <w:r w:rsidRPr="006F2CEE">
        <w:rPr>
          <w:noProof/>
        </w:rPr>
        <w:t>Crabb et al.</w:t>
      </w:r>
      <w:r>
        <w:rPr>
          <w:noProof/>
        </w:rPr>
        <w:t xml:space="preserve"> </w:t>
      </w:r>
      <w:r>
        <w:fldChar w:fldCharType="begin" w:fldLock="1"/>
      </w:r>
      <w:r>
        <w:instrText>ADDIN CSL_CITATION {"citationItems":[{"id":"ITEM-1","itemData":{"DOI":"10.1111/j.2044-8260.2012.02038.x","ISBN":"0144-6657","ISSN":"01446657","PMID":"23078214","abstract":"OBJECTIVE: Computerized cognitive-behavioural therapy (CCBT) may enhance older adults' access to evidence-based depression treatment. Our objective was to determine the extent to which adults aged 65 years and older are represented in existing studies of CCBT for depression and describe available data on recruitment, retention, and outcomes. METHODS: We retrieved all controlled and uncontrolled trials of CCBT for depression published between 2000 and 2010. We obtained data on older adults via the article text or correspondence with authors. RESULTS: Older adults comprised approximately 3% of study participants in reviewed studies. Authors reported that older participants may be less likely than younger adults to drop out, but more likely to experience technical challenges. CONCLUSIONS: Older adults are under-represented in studies of CCBT for depression.","author":[{"dropping-particle":"","family":"Crabb","given":"Rebecca M.","non-dropping-particle":"","parse-names":false,"suffix":""},{"dropping-particle":"","family":"Cavanagh","given":"Kate","non-dropping-particle":"","parse-names":false,"suffix":""},{"dropping-particle":"","family":"Proudfoot","given":"Judy","non-dropping-particle":"","parse-names":false,"suffix":""},{"dropping-particle":"","family":"Learmonth","given":"Despina","non-dropping-particle":"","parse-names":false,"suffix":""},{"dropping-particle":"","family":"Rafie","given":"Samantha","non-dropping-particle":"","parse-names":false,"suffix":""},{"dropping-particle":"","family":"Weingardt","given":"Kenneth R.","non-dropping-particle":"","parse-names":false,"suffix":""}],"container-title":"British Journal of Clinical Psychology","id":"ITEM-1","issue":"4","issued":{"date-parts":[["2012","11"]]},"page":"459-464","title":"Is computerized cognitive-behavioural therapy a treatment option for depression in late-life? A systematic review","type":"article-journal","volume":"51"},"uris":["http://www.mendeley.com/documents/?uuid=ab531bbc-4a54-448f-99e7-f9f53cac7c48"]}],"mendeley":{"formattedCitation":"(Crabb &lt;i&gt;et al.&lt;/i&gt;, 2012)","manualFormatting":"(2012)","plainTextFormattedCitation":"(Crabb et al., 2012)","previouslyFormattedCitation":"(Crabb &lt;i&gt;et al.&lt;/i&gt;, 2012)"},"properties":{"noteIndex":0},"schema":"https://github.com/citation-style-language/schema/raw/master/csl-citation.json"}</w:instrText>
      </w:r>
      <w:r>
        <w:fldChar w:fldCharType="separate"/>
      </w:r>
      <w:r w:rsidRPr="006F2CEE">
        <w:rPr>
          <w:noProof/>
        </w:rPr>
        <w:t>(2012)</w:t>
      </w:r>
      <w:r>
        <w:fldChar w:fldCharType="end"/>
      </w:r>
      <w:r>
        <w:t xml:space="preserve">, who suggest older participants were more or at least as likely to complete </w:t>
      </w:r>
      <w:r w:rsidRPr="000E784E">
        <w:rPr>
          <w:noProof/>
        </w:rPr>
        <w:t>a</w:t>
      </w:r>
      <w:r>
        <w:rPr>
          <w:noProof/>
        </w:rPr>
        <w:t>n</w:t>
      </w:r>
      <w:r w:rsidRPr="000E784E">
        <w:rPr>
          <w:noProof/>
        </w:rPr>
        <w:t xml:space="preserve"> e-therapy</w:t>
      </w:r>
      <w:r>
        <w:t xml:space="preserve"> programme as </w:t>
      </w:r>
      <w:r w:rsidRPr="000E784E">
        <w:rPr>
          <w:noProof/>
        </w:rPr>
        <w:t>working</w:t>
      </w:r>
      <w:r>
        <w:rPr>
          <w:noProof/>
        </w:rPr>
        <w:t>-</w:t>
      </w:r>
      <w:r w:rsidRPr="000E784E">
        <w:rPr>
          <w:noProof/>
        </w:rPr>
        <w:t>aged</w:t>
      </w:r>
      <w:r>
        <w:t xml:space="preserve"> adults, but that they may have more technical challenges to overcome along the way.  All of these findings give motivation for further work into the development of therapies specifically aimed at older adults, while also highlighting that there are </w:t>
      </w:r>
      <w:r>
        <w:rPr>
          <w:noProof/>
        </w:rPr>
        <w:t>some</w:t>
      </w:r>
      <w:r>
        <w:t xml:space="preserve"> barriers older adults face in order to access and use e-therapies successfully.</w:t>
      </w:r>
    </w:p>
    <w:p w14:paraId="273EB240" w14:textId="77777777" w:rsidR="002B4CFD" w:rsidRDefault="002B4CFD" w:rsidP="002B4CFD">
      <w:pPr>
        <w:pStyle w:val="Heading3"/>
        <w:numPr>
          <w:ilvl w:val="2"/>
          <w:numId w:val="29"/>
        </w:numPr>
      </w:pPr>
      <w:bookmarkStart w:id="34" w:name="_Toc481675504"/>
      <w:bookmarkStart w:id="35" w:name="_Toc3538050"/>
      <w:r>
        <w:t>Barriers to E-therapy for Older Adults</w:t>
      </w:r>
      <w:bookmarkEnd w:id="34"/>
      <w:bookmarkEnd w:id="35"/>
    </w:p>
    <w:p w14:paraId="2B48FE8B" w14:textId="77777777" w:rsidR="002B4CFD" w:rsidRPr="00B168CF" w:rsidRDefault="002B4CFD" w:rsidP="002B4CFD">
      <w:r>
        <w:t>There are a number of barriers and challenges older adults face when using e-therapy.  Age-related issues such as physical health problems create difficulties for older adults in accessing technology, while the c</w:t>
      </w:r>
      <w:r w:rsidRPr="00BF2AE3">
        <w:t>haracteristics of existing technology</w:t>
      </w:r>
      <w:r>
        <w:t xml:space="preserve"> fail to consider these age-related issues in their design.  Combined, these barriers contribute to older adult attitudinal issues in which older adults’ express antipathy towards technology.</w:t>
      </w:r>
    </w:p>
    <w:p w14:paraId="2A59E44D" w14:textId="77777777" w:rsidR="002B4CFD" w:rsidRDefault="002B4CFD" w:rsidP="002B4CFD">
      <w:pPr>
        <w:pStyle w:val="Heading4"/>
        <w:numPr>
          <w:ilvl w:val="3"/>
          <w:numId w:val="29"/>
        </w:numPr>
      </w:pPr>
      <w:r w:rsidRPr="000E784E">
        <w:rPr>
          <w:noProof/>
        </w:rPr>
        <w:t>Age</w:t>
      </w:r>
      <w:r>
        <w:rPr>
          <w:noProof/>
        </w:rPr>
        <w:t>-R</w:t>
      </w:r>
      <w:r w:rsidRPr="000E784E">
        <w:rPr>
          <w:noProof/>
        </w:rPr>
        <w:t>elated</w:t>
      </w:r>
      <w:r w:rsidRPr="00B80AFC">
        <w:t xml:space="preserve"> </w:t>
      </w:r>
      <w:r>
        <w:t>Barriers to E-therapy Uptake</w:t>
      </w:r>
    </w:p>
    <w:p w14:paraId="55983497" w14:textId="42BDC8DF" w:rsidR="002B4CFD" w:rsidRDefault="002B4CFD" w:rsidP="002B4CFD">
      <w:r>
        <w:t>E-therapy, like other technology, has a level of complexity that requires a user’s cognitive ability to learn how to operate it.  However,</w:t>
      </w:r>
      <w:r w:rsidRPr="00C730E0">
        <w:t xml:space="preserve"> </w:t>
      </w:r>
      <w:r>
        <w:t xml:space="preserve">many older adults suffer </w:t>
      </w:r>
      <w:r>
        <w:rPr>
          <w:noProof/>
        </w:rPr>
        <w:t>from</w:t>
      </w:r>
      <w:r>
        <w:t xml:space="preserve"> physical conditions or health problems that make the use of new technology more difficult </w:t>
      </w:r>
      <w:r>
        <w:fldChar w:fldCharType="begin" w:fldLock="1"/>
      </w:r>
      <w:r w:rsidR="00E75352">
        <w:instrText>ADDIN CSL_CITATION {"citationItems":[{"id":"ITEM-1","itemData":{"DOI":"10.1145/1535654.1535658","ISBN":"9781605585611","author":[{"dropping-particle":"","family":"Hanson","given":"Vicki L.","non-dropping-particle":"","parse-names":false,"suffix":""}],"container-title":"Proceedings of the 2009 International Cross-Disciplinary Conference on Web Accessibililty (W4A) - W4A '09","id":"ITEM-1","issued":{"date-parts":[["2009"]]},"page":"7","publisher":"ACM Press","publisher-place":"New York, New York, USA","title":"Age and web access","type":"paper-conference"},"uris":["http://www.mendeley.com/documents/?uuid=3cc264c8-3c6a-36c9-b360-7fca48d8e543"]}],"mendeley":{"formattedCitation":"(Hanson, 2009)","plainTextFormattedCitation":"(Hanson, 2009)","previouslyFormattedCitation":"(Hanson, 2009)"},"properties":{"noteIndex":0},"schema":"https://github.com/citation-style-language/schema/raw/master/csl-citation.json"}</w:instrText>
      </w:r>
      <w:r>
        <w:fldChar w:fldCharType="separate"/>
      </w:r>
      <w:r w:rsidR="00E3694B" w:rsidRPr="00E3694B">
        <w:rPr>
          <w:noProof/>
        </w:rPr>
        <w:t>(Hanson, 2009)</w:t>
      </w:r>
      <w:r>
        <w:fldChar w:fldCharType="end"/>
      </w:r>
      <w:r>
        <w:t>.</w:t>
      </w:r>
      <w:r w:rsidR="0098700D">
        <w:t xml:space="preserve"> </w:t>
      </w:r>
      <w:r>
        <w:t xml:space="preserve"> Around two in five older adults indicate that they have a health condition that makes reading difficult or challenging to them, or that they have a disability, handicap or chronic condition that makes it unfeasible for them to participate in many general daily activities, which could include using an e-therapy on a computer </w:t>
      </w:r>
      <w:r>
        <w:fldChar w:fldCharType="begin" w:fldLock="1"/>
      </w:r>
      <w:r>
        <w:instrText>ADDIN CSL_CITATION {"citationItems":[{"id":"ITEM-1","itemData":{"DOI":"202.419.4500","abstract":"America’s seniors have historically been late adopters to the world of technology compared to their younger compatriots, but their movement into digital life continues to deepen, according to newly released data from the Pew Research Center. In this report, we take advantage of a particularly large survey to conduct a unique exploration not only of technology use between Americans ages 65 or older and the rest of the population, but within the senior population as well.","author":[{"dropping-particle":"","family":"Smith","given":"Aaron","non-dropping-particle":"","parse-names":false,"suffix":""}],"container-title":"Pew Research Center","id":"ITEM-1","issue":"April","issued":{"date-parts":[["2014"]]},"page":"1-26","title":"Older Adults and Technology Use","type":"article-journal"},"uris":["http://www.mendeley.com/documents/?uuid=4e8d47f9-76d8-49cc-acf6-6b60edfb8c25"]}],"mendeley":{"formattedCitation":"(Smith, 2014)","plainTextFormattedCitation":"(Smith, 2014)","previouslyFormattedCitation":"(Smith, 2014)"},"properties":{"noteIndex":0},"schema":"https://github.com/citation-style-language/schema/raw/master/csl-citation.json"}</w:instrText>
      </w:r>
      <w:r>
        <w:fldChar w:fldCharType="separate"/>
      </w:r>
      <w:r w:rsidRPr="00150B80">
        <w:rPr>
          <w:noProof/>
        </w:rPr>
        <w:t>(Smith, 2014)</w:t>
      </w:r>
      <w:r>
        <w:fldChar w:fldCharType="end"/>
      </w:r>
      <w:r>
        <w:t>.</w:t>
      </w:r>
      <w:r>
        <w:rPr>
          <w:noProof/>
        </w:rPr>
        <w:t xml:space="preserve">  </w:t>
      </w:r>
      <w:r w:rsidRPr="00CB4787">
        <w:rPr>
          <w:noProof/>
        </w:rPr>
        <w:t>Older adults can suffer from many different issues: auditory problems make it difficult to pick out and distinguish high-pitched sounds and much harder to focus due to a higher level of interference from background noise; visual issues such as image clarity, colour perception and increased vulnerability to glare that make it more difficult for older adults to view displays; and motor difficulties such as a decrease in motor control efficiency that makes carrying out precise movement and coordination more difficult.</w:t>
      </w:r>
      <w:r>
        <w:t xml:space="preserve"> </w:t>
      </w:r>
      <w:r w:rsidR="0098700D">
        <w:t xml:space="preserve"> </w:t>
      </w:r>
      <w:r>
        <w:t xml:space="preserve">The onset of diseases like arthritis </w:t>
      </w:r>
      <w:r w:rsidRPr="000E784E">
        <w:rPr>
          <w:noProof/>
        </w:rPr>
        <w:t>mean</w:t>
      </w:r>
      <w:r>
        <w:rPr>
          <w:noProof/>
        </w:rPr>
        <w:t>s</w:t>
      </w:r>
      <w:r>
        <w:t xml:space="preserve"> that older adults are sometimes </w:t>
      </w:r>
      <w:r>
        <w:lastRenderedPageBreak/>
        <w:t xml:space="preserve">required to change the way they physically interact with some types of technology to use them effectively such as </w:t>
      </w:r>
      <w:r w:rsidRPr="000E784E">
        <w:rPr>
          <w:noProof/>
        </w:rPr>
        <w:t>mouse</w:t>
      </w:r>
      <w:r>
        <w:rPr>
          <w:noProof/>
        </w:rPr>
        <w:t>-</w:t>
      </w:r>
      <w:r w:rsidRPr="000E784E">
        <w:rPr>
          <w:noProof/>
        </w:rPr>
        <w:t>driven</w:t>
      </w:r>
      <w:r>
        <w:t xml:space="preserve"> screen cursors that require accurate movements.</w:t>
      </w:r>
    </w:p>
    <w:p w14:paraId="4B265DCC" w14:textId="77777777" w:rsidR="002B4CFD" w:rsidRDefault="002B4CFD" w:rsidP="002B4CFD">
      <w:pPr>
        <w:pStyle w:val="Heading4"/>
        <w:numPr>
          <w:ilvl w:val="3"/>
          <w:numId w:val="29"/>
        </w:numPr>
      </w:pPr>
      <w:r w:rsidRPr="00B80AFC">
        <w:t xml:space="preserve">Characteristics of </w:t>
      </w:r>
      <w:r>
        <w:t>E</w:t>
      </w:r>
      <w:r w:rsidRPr="00B80AFC">
        <w:t xml:space="preserve">xisting </w:t>
      </w:r>
      <w:r>
        <w:t>T</w:t>
      </w:r>
      <w:r w:rsidRPr="00B80AFC">
        <w:t>echnology</w:t>
      </w:r>
    </w:p>
    <w:p w14:paraId="19E925E4" w14:textId="2EC3E80B" w:rsidR="002B4CFD" w:rsidRDefault="002B4CFD" w:rsidP="002B4CFD">
      <w:pPr>
        <w:rPr>
          <w:b/>
        </w:rPr>
      </w:pPr>
      <w:r>
        <w:t xml:space="preserve">One prominent barrier to the use of e-mental health technology by older adults is technology that is poorly suited to their capabilities </w:t>
      </w:r>
      <w:r>
        <w:fldChar w:fldCharType="begin" w:fldLock="1"/>
      </w:r>
      <w:r w:rsidR="00E75352">
        <w:instrText>ADDIN CSL_CITATION {"citationItems":[{"id":"ITEM-1","itemData":{"DOI":"10.1145/1535654.1535658","ISBN":"9781605585611","author":[{"dropping-particle":"","family":"Hanson","given":"Vicki L.","non-dropping-particle":"","parse-names":false,"suffix":""}],"container-title":"Proceedings of the 2009 International Cross-Disciplinary Conference on Web Accessibililty (W4A) - W4A '09","id":"ITEM-1","issued":{"date-parts":[["2009"]]},"page":"7","publisher":"ACM Press","publisher-place":"New York, New York, USA","title":"Age and web access","type":"paper-conference"},"uris":["http://www.mendeley.com/documents/?uuid=3cc264c8-3c6a-36c9-b360-7fca48d8e543"]}],"mendeley":{"formattedCitation":"(Hanson, 2009)","plainTextFormattedCitation":"(Hanson, 2009)","previouslyFormattedCitation":"(Hanson, 2009)"},"properties":{"noteIndex":0},"schema":"https://github.com/citation-style-language/schema/raw/master/csl-citation.json"}</w:instrText>
      </w:r>
      <w:r>
        <w:fldChar w:fldCharType="separate"/>
      </w:r>
      <w:r w:rsidR="00E3694B" w:rsidRPr="00E3694B">
        <w:rPr>
          <w:noProof/>
        </w:rPr>
        <w:t>(Hanson, 2009)</w:t>
      </w:r>
      <w:r>
        <w:fldChar w:fldCharType="end"/>
      </w:r>
      <w:r>
        <w:t xml:space="preserve">.  An increasing number of human factors and ergonomics specialists argue that there is a need for more attention on the age-related changes in </w:t>
      </w:r>
      <w:r>
        <w:rPr>
          <w:noProof/>
        </w:rPr>
        <w:t>primary</w:t>
      </w:r>
      <w:r>
        <w:t xml:space="preserve"> human abilities to ensure that the demands of the technology fit with the capabilities of the users.</w:t>
      </w:r>
      <w:r>
        <w:rPr>
          <w:noProof/>
        </w:rPr>
        <w:t xml:space="preserve">  </w:t>
      </w:r>
      <w:r w:rsidRPr="00DE7AAC">
        <w:rPr>
          <w:noProof/>
        </w:rPr>
        <w:t>To overcome this issue</w:t>
      </w:r>
      <w:r>
        <w:t xml:space="preserve"> technology can </w:t>
      </w:r>
      <w:r w:rsidRPr="00DE7AAC">
        <w:rPr>
          <w:noProof/>
        </w:rPr>
        <w:t>be redesigned</w:t>
      </w:r>
      <w:r>
        <w:t xml:space="preserve"> and users trained </w:t>
      </w:r>
      <w:r>
        <w:rPr>
          <w:noProof/>
        </w:rPr>
        <w:t>to result</w:t>
      </w:r>
      <w:r>
        <w:t xml:space="preserve"> in a more tailored fit between technology and an individual’s needs and requirements.  A study carried out by </w:t>
      </w:r>
      <w:r w:rsidRPr="009D59A1">
        <w:rPr>
          <w:noProof/>
        </w:rPr>
        <w:t xml:space="preserve">Rogers et al. </w:t>
      </w:r>
      <w:r>
        <w:fldChar w:fldCharType="begin" w:fldLock="1"/>
      </w:r>
      <w:r>
        <w:instrText>ADDIN CSL_CITATION {"citationItems":[{"id":"ITEM-1","itemData":{"DOI":"10.1518/001872098779480613","ISBN":"0018-7208 (Print)\\r0018-7208 (Linking)","ISSN":"00187208","PMID":"9579107","abstract":"We assessed constraints on daily living of 59 healthy, active adults 65-88 years of age in focus group interviews. Individual comments about specific problems were coded along the dimensions of (a) the locus of the problem (motor, visual, auditory, cognitive, external, or health limitations); (b) the activity involved (e.g., transportation, leisure, housekeeping); (c) whether the problem was attributable to task difficulty or the perception of risk; and (d) response to limitations (perseverance, cessation, compensation, or self-improvement). The data provide information about the types of difficulties encountered in everyday activities as well as the way in which individuals respond to such difficulties. Each comment was also coded in terms of whether it was remediable via training, design changes, or some combination of the two. More than half of the problems that were reported had the potential to be improved in some way, thus providing direction for future research in human factors and aging. Actual or potential applications of this research include identifying problems and difficulties that older adults encounter in daily activities such as transportation and leisure; more specifically, determining the degree to which such problems are potentially remediable by human factors solutions. Applications of this research also include understanding the types of systems, products, and technologies that older adults interact with currently, or are interested in learning to use.","author":[{"dropping-particle":"","family":"Rogers","given":"W a","non-dropping-particle":"","parse-names":false,"suffix":""},{"dropping-particle":"","family":"Meyer","given":"B","non-dropping-particle":"","parse-names":false,"suffix":""},{"dropping-particle":"","family":"Walker","given":"N","non-dropping-particle":"","parse-names":false,"suffix":""},{"dropping-particle":"","family":"Fisk","given":"a D","non-dropping-particle":"","parse-names":false,"suffix":""}],"container-title":"Human factors","id":"ITEM-1","issue":"1","issued":{"date-parts":[["1998","3"]]},"page":"111-125","title":"Functional limitations to daily living tasks in the aged: a focus group analysis.","type":"article-journal","volume":"40"},"uris":["http://www.mendeley.com/documents/?uuid=b85bd4b0-f974-4fa4-bd56-b4b61298c74d"]}],"mendeley":{"formattedCitation":"(Rogers &lt;i&gt;et al.&lt;/i&gt;, 1998)","manualFormatting":"(1998)","plainTextFormattedCitation":"(Rogers et al., 1998)","previouslyFormattedCitation":"(Rogers &lt;i&gt;et al.&lt;/i&gt;, 1998)"},"properties":{"noteIndex":0},"schema":"https://github.com/citation-style-language/schema/raw/master/csl-citation.json"}</w:instrText>
      </w:r>
      <w:r>
        <w:fldChar w:fldCharType="separate"/>
      </w:r>
      <w:r w:rsidRPr="009D59A1">
        <w:rPr>
          <w:noProof/>
        </w:rPr>
        <w:t>(1998)</w:t>
      </w:r>
      <w:r>
        <w:fldChar w:fldCharType="end"/>
      </w:r>
      <w:r>
        <w:t xml:space="preserve"> noted that around half of the difficulties older adults face when carrying out daily activities could be improved through a combination of better design and guidance.</w:t>
      </w:r>
    </w:p>
    <w:p w14:paraId="205F59F2" w14:textId="498330B7" w:rsidR="002B4CFD" w:rsidRDefault="002B4CFD" w:rsidP="002B4CFD">
      <w:pPr>
        <w:pStyle w:val="Heading4"/>
        <w:numPr>
          <w:ilvl w:val="3"/>
          <w:numId w:val="29"/>
        </w:numPr>
      </w:pPr>
      <w:r w:rsidRPr="00B80AFC">
        <w:t xml:space="preserve">Attitudinal </w:t>
      </w:r>
      <w:r>
        <w:t>I</w:t>
      </w:r>
      <w:r w:rsidRPr="00B80AFC">
        <w:t>ssues</w:t>
      </w:r>
    </w:p>
    <w:p w14:paraId="050A62A6" w14:textId="4D2440BA" w:rsidR="002B4CFD" w:rsidRDefault="002B4CFD" w:rsidP="002B4CFD">
      <w:r>
        <w:t xml:space="preserve">Although computers </w:t>
      </w:r>
      <w:r w:rsidRPr="00DE7AAC">
        <w:rPr>
          <w:noProof/>
        </w:rPr>
        <w:t>are consistently used</w:t>
      </w:r>
      <w:r>
        <w:t xml:space="preserve"> in all areas of life, older adults still express antipathy towards them</w:t>
      </w:r>
      <w:r>
        <w:rPr>
          <w:noProof/>
        </w:rPr>
        <w:t>;</w:t>
      </w:r>
      <w:r w:rsidRPr="000E784E">
        <w:rPr>
          <w:noProof/>
        </w:rPr>
        <w:t xml:space="preserve"> they</w:t>
      </w:r>
      <w:r>
        <w:t xml:space="preserve"> believe their workings are a mystery and suspect, that they promise to make things easier but make them more complicated, and that they lack in </w:t>
      </w:r>
      <w:r w:rsidRPr="00CB4787">
        <w:rPr>
          <w:noProof/>
        </w:rPr>
        <w:t>social</w:t>
      </w:r>
      <w:r>
        <w:t xml:space="preserve"> presence </w:t>
      </w:r>
      <w:r>
        <w:fldChar w:fldCharType="begin" w:fldLock="1"/>
      </w:r>
      <w:r>
        <w:instrText>ADDIN CSL_CITATION {"citationItems":[{"id":"ITEM-1","itemData":{"DOI":"10.1177/1460458213486906","ISBN":"%(","ISSN":"1460-4582","PMID":"24056750","abstract":"While much research focuses on adoption of electronic health-care records and other information technology among health-care providers, less research explores patient attitudes. This qualitative study examines barriers to adoption of home-based health information technology, particularly personal electronic health records, among older adults. We conducted in-depth interviews (30-90 min duration) with 35 American adults, aged 46-72 years, to determine their perceptions of and attitudes toward home-based health information technology. Analysis of interview data revealed that most barriers to adoption fell under four themes: technological discomfort, privacy or security concerns, lack of relative advantage, and perceived distance from the user representation. Based on our findings, systems to promote home-based health information technology should incorporate familiar computer applications, alleviate privacy and security concerns, and align with older adults' active and engaged self-image.","author":[{"dropping-particle":"","family":"Young","given":"Rachel","non-dropping-particle":"","parse-names":false,"suffix":""},{"dropping-particle":"","family":"Willis","given":"Erin","non-dropping-particle":"","parse-names":false,"suffix":""},{"dropping-particle":"","family":"Cameron","given":"Glen","non-dropping-particle":"","parse-names":false,"suffix":""},{"dropping-particle":"","family":"Geana","given":"Mugur","non-dropping-particle":"","parse-names":false,"suffix":""}],"container-title":"Health Informatics Journal","id":"ITEM-1","issue":"2","issued":{"date-parts":[["2014"]]},"page":"127-135","title":"“Willing but Unwilling”: Attitudinal barriers to adoption of home-based health information technology among older adults","type":"article-journal","volume":"20"},"uris":["http://www.mendeley.com/documents/?uuid=56d6495d-d03b-462a-af0b-42c11d5971ea"]}],"mendeley":{"formattedCitation":"(Young &lt;i&gt;et al.&lt;/i&gt;, 2014)","plainTextFormattedCitation":"(Young et al., 2014)","previouslyFormattedCitation":"(Young &lt;i&gt;et al.&lt;/i&gt;, 2014)"},"properties":{"noteIndex":0},"schema":"https://github.com/citation-style-language/schema/raw/master/csl-citation.json"}</w:instrText>
      </w:r>
      <w:r>
        <w:fldChar w:fldCharType="separate"/>
      </w:r>
      <w:r w:rsidRPr="00150B80">
        <w:rPr>
          <w:noProof/>
        </w:rPr>
        <w:t xml:space="preserve">(Young </w:t>
      </w:r>
      <w:r w:rsidRPr="00150B80">
        <w:rPr>
          <w:i/>
          <w:noProof/>
        </w:rPr>
        <w:t>et al.</w:t>
      </w:r>
      <w:r w:rsidRPr="00150B80">
        <w:rPr>
          <w:noProof/>
        </w:rPr>
        <w:t>, 2014)</w:t>
      </w:r>
      <w:r>
        <w:fldChar w:fldCharType="end"/>
      </w:r>
      <w:r>
        <w:t>.  Older adults are sceptical of the safety of computers, particularly the safety of information such as electronic health-care records.</w:t>
      </w:r>
      <w:r w:rsidR="0098700D">
        <w:t xml:space="preserve"> </w:t>
      </w:r>
      <w:r w:rsidRPr="00FA0D3E">
        <w:t xml:space="preserve"> </w:t>
      </w:r>
      <w:r>
        <w:t xml:space="preserve">Older adults have multiple privacy and security concerns regarding the use of computers for something as personal as medical records.  Physician computers within health-care providers are seen as being more secure and trustworthy retainers of sensitive information than personal computers </w:t>
      </w:r>
      <w:r w:rsidRPr="00000671">
        <w:fldChar w:fldCharType="begin" w:fldLock="1"/>
      </w:r>
      <w:r>
        <w:instrText>ADDIN CSL_CITATION {"citationItems":[{"id":"ITEM-1","itemData":{"DOI":"10.1177/1460458213486906","ISBN":"%(","ISSN":"1460-4582","PMID":"24056750","abstract":"While much research focuses on adoption of electronic health-care records and other information technology among health-care providers, less research explores patient attitudes. This qualitative study examines barriers to adoption of home-based health information technology, particularly personal electronic health records, among older adults. We conducted in-depth interviews (30-90 min duration) with 35 American adults, aged 46-72 years, to determine their perceptions of and attitudes toward home-based health information technology. Analysis of interview data revealed that most barriers to adoption fell under four themes: technological discomfort, privacy or security concerns, lack of relative advantage, and perceived distance from the user representation. Based on our findings, systems to promote home-based health information technology should incorporate familiar computer applications, alleviate privacy and security concerns, and align with older adults' active and engaged self-image.","author":[{"dropping-particle":"","family":"Young","given":"Rachel","non-dropping-particle":"","parse-names":false,"suffix":""},{"dropping-particle":"","family":"Willis","given":"Erin","non-dropping-particle":"","parse-names":false,"suffix":""},{"dropping-particle":"","family":"Cameron","given":"Glen","non-dropping-particle":"","parse-names":false,"suffix":""},{"dropping-particle":"","family":"Geana","given":"Mugur","non-dropping-particle":"","parse-names":false,"suffix":""}],"container-title":"Health Informatics Journal","id":"ITEM-1","issue":"2","issued":{"date-parts":[["2014"]]},"page":"127-135","title":"“Willing but Unwilling”: Attitudinal barriers to adoption of home-based health information technology among older adults","type":"article-journal","volume":"20"},"uris":["http://www.mendeley.com/documents/?uuid=56d6495d-d03b-462a-af0b-42c11d5971ea"]}],"mendeley":{"formattedCitation":"(Young &lt;i&gt;et al.&lt;/i&gt;, 2014)","plainTextFormattedCitation":"(Young et al., 2014)","previouslyFormattedCitation":"(Young &lt;i&gt;et al.&lt;/i&gt;, 2014)"},"properties":{"noteIndex":0},"schema":"https://github.com/citation-style-language/schema/raw/master/csl-citation.json"}</w:instrText>
      </w:r>
      <w:r w:rsidRPr="00000671">
        <w:fldChar w:fldCharType="separate"/>
      </w:r>
      <w:r w:rsidRPr="00150B80">
        <w:rPr>
          <w:noProof/>
        </w:rPr>
        <w:t xml:space="preserve">(Young </w:t>
      </w:r>
      <w:r w:rsidRPr="00150B80">
        <w:rPr>
          <w:i/>
          <w:noProof/>
        </w:rPr>
        <w:t>et al.</w:t>
      </w:r>
      <w:r w:rsidRPr="00150B80">
        <w:rPr>
          <w:noProof/>
        </w:rPr>
        <w:t>, 2014)</w:t>
      </w:r>
      <w:r w:rsidRPr="00000671">
        <w:fldChar w:fldCharType="end"/>
      </w:r>
      <w:r>
        <w:t>.  Participants in the</w:t>
      </w:r>
      <w:r w:rsidRPr="00087F6B">
        <w:rPr>
          <w:noProof/>
        </w:rPr>
        <w:t xml:space="preserve"> </w:t>
      </w:r>
      <w:r>
        <w:rPr>
          <w:noProof/>
        </w:rPr>
        <w:t>Young et al.</w:t>
      </w:r>
      <w:r>
        <w:t xml:space="preserve"> </w:t>
      </w:r>
      <w:r>
        <w:fldChar w:fldCharType="begin" w:fldLock="1"/>
      </w:r>
      <w:r>
        <w:instrText>ADDIN CSL_CITATION {"citationItems":[{"id":"ITEM-1","itemData":{"DOI":"10.1177/1460458213486906","ISBN":"%(","ISSN":"1460-4582","PMID":"24056750","abstract":"While much research focuses on adoption of electronic health-care records and other information technology among health-care providers, less research explores patient attitudes. This qualitative study examines barriers to adoption of home-based health information technology, particularly personal electronic health records, among older adults. We conducted in-depth interviews (30-90 min duration) with 35 American adults, aged 46-72 years, to determine their perceptions of and attitudes toward home-based health information technology. Analysis of interview data revealed that most barriers to adoption fell under four themes: technological discomfort, privacy or security concerns, lack of relative advantage, and perceived distance from the user representation. Based on our findings, systems to promote home-based health information technology should incorporate familiar computer applications, alleviate privacy and security concerns, and align with older adults' active and engaged self-image.","author":[{"dropping-particle":"","family":"Young","given":"Rachel","non-dropping-particle":"","parse-names":false,"suffix":""},{"dropping-particle":"","family":"Willis","given":"Erin","non-dropping-particle":"","parse-names":false,"suffix":""},{"dropping-particle":"","family":"Cameron","given":"Glen","non-dropping-particle":"","parse-names":false,"suffix":""},{"dropping-particle":"","family":"Geana","given":"Mugur","non-dropping-particle":"","parse-names":false,"suffix":""}],"container-title":"Health Informatics Journal","id":"ITEM-1","issue":"2","issued":{"date-parts":[["2014"]]},"page":"127-135","title":"“Willing but Unwilling”: Attitudinal barriers to adoption of home-based health information technology among older adults","type":"article-journal","volume":"20"},"uris":["http://www.mendeley.com/documents/?uuid=56d6495d-d03b-462a-af0b-42c11d5971ea"]}],"mendeley":{"formattedCitation":"(Young &lt;i&gt;et al.&lt;/i&gt;, 2014)","manualFormatting":"(2014)","plainTextFormattedCitation":"(Young et al., 2014)","previouslyFormattedCitation":"(Young &lt;i&gt;et al.&lt;/i&gt;, 2014)"},"properties":{"noteIndex":0},"schema":"https://github.com/citation-style-language/schema/raw/master/csl-citation.json"}</w:instrText>
      </w:r>
      <w:r>
        <w:fldChar w:fldCharType="separate"/>
      </w:r>
      <w:r w:rsidRPr="00FA0D3E">
        <w:rPr>
          <w:noProof/>
        </w:rPr>
        <w:t>(2014)</w:t>
      </w:r>
      <w:r>
        <w:fldChar w:fldCharType="end"/>
      </w:r>
      <w:r>
        <w:t xml:space="preserve"> study </w:t>
      </w:r>
      <w:r w:rsidRPr="00CB4787">
        <w:rPr>
          <w:noProof/>
        </w:rPr>
        <w:t>were also concerned</w:t>
      </w:r>
      <w:r>
        <w:t xml:space="preserve"> that the </w:t>
      </w:r>
      <w:r w:rsidRPr="00775941">
        <w:rPr>
          <w:noProof/>
        </w:rPr>
        <w:t>hea</w:t>
      </w:r>
      <w:r>
        <w:rPr>
          <w:noProof/>
        </w:rPr>
        <w:t>l</w:t>
      </w:r>
      <w:r w:rsidRPr="00775941">
        <w:rPr>
          <w:noProof/>
        </w:rPr>
        <w:t>th</w:t>
      </w:r>
      <w:r>
        <w:t xml:space="preserve"> data stored on health-care record systems could </w:t>
      </w:r>
      <w:r w:rsidRPr="00775941">
        <w:rPr>
          <w:noProof/>
        </w:rPr>
        <w:t>be used</w:t>
      </w:r>
      <w:r>
        <w:t xml:space="preserve"> against them either as evidence of pre-existing conditions or by profit-making private insurance companies.</w:t>
      </w:r>
      <w:r>
        <w:rPr>
          <w:noProof/>
        </w:rPr>
        <w:t xml:space="preserve">  </w:t>
      </w:r>
      <w:r w:rsidRPr="00CB4787">
        <w:rPr>
          <w:noProof/>
        </w:rPr>
        <w:t>When it comes to the concept of digital</w:t>
      </w:r>
      <w:r>
        <w:rPr>
          <w:noProof/>
        </w:rPr>
        <w:t xml:space="preserve"> storage, </w:t>
      </w:r>
      <w:r w:rsidRPr="00CB4787">
        <w:rPr>
          <w:noProof/>
        </w:rPr>
        <w:t>a large number of older adults fail to see the benefit</w:t>
      </w:r>
      <w:r w:rsidR="00554CB4">
        <w:rPr>
          <w:noProof/>
        </w:rPr>
        <w:t xml:space="preserve">.  </w:t>
      </w:r>
      <w:r>
        <w:t xml:space="preserve">Most are satisfied with storing records in a </w:t>
      </w:r>
      <w:r w:rsidRPr="00775941">
        <w:rPr>
          <w:noProof/>
        </w:rPr>
        <w:t>paper</w:t>
      </w:r>
      <w:r>
        <w:rPr>
          <w:noProof/>
        </w:rPr>
        <w:t>-</w:t>
      </w:r>
      <w:r w:rsidRPr="00775941">
        <w:rPr>
          <w:noProof/>
        </w:rPr>
        <w:t>based</w:t>
      </w:r>
      <w:r>
        <w:t xml:space="preserve"> system and believe paper copies represent security. </w:t>
      </w:r>
      <w:r w:rsidR="0098700D">
        <w:t xml:space="preserve"> </w:t>
      </w:r>
      <w:r>
        <w:t xml:space="preserve">Storing information on a computer is not seen as useful but complicated mainly due to users not having faith in a computer to do its job </w:t>
      </w:r>
      <w:r>
        <w:rPr>
          <w:noProof/>
        </w:rPr>
        <w:t>correct</w:t>
      </w:r>
      <w:r w:rsidRPr="00775941">
        <w:rPr>
          <w:noProof/>
        </w:rPr>
        <w:t>ly</w:t>
      </w:r>
      <w:r>
        <w:t xml:space="preserve"> </w:t>
      </w:r>
      <w:r w:rsidRPr="00087F6B">
        <w:fldChar w:fldCharType="begin" w:fldLock="1"/>
      </w:r>
      <w:r>
        <w:instrText>ADDIN CSL_CITATION {"citationItems":[{"id":"ITEM-1","itemData":{"DOI":"10.1177/1460458213486906","ISBN":"%(","ISSN":"1460-4582","PMID":"24056750","abstract":"While much research focuses on adoption of electronic health-care records and other information technology among health-care providers, less research explores patient attitudes. This qualitative study examines barriers to adoption of home-based health information technology, particularly personal electronic health records, among older adults. We conducted in-depth interviews (30-90 min duration) with 35 American adults, aged 46-72 years, to determine their perceptions of and attitudes toward home-based health information technology. Analysis of interview data revealed that most barriers to adoption fell under four themes: technological discomfort, privacy or security concerns, lack of relative advantage, and perceived distance from the user representation. Based on our findings, systems to promote home-based health information technology should incorporate familiar computer applications, alleviate privacy and security concerns, and align with older adults' active and engaged self-image.","author":[{"dropping-particle":"","family":"Young","given":"Rachel","non-dropping-particle":"","parse-names":false,"suffix":""},{"dropping-particle":"","family":"Willis","given":"Erin","non-dropping-particle":"","parse-names":false,"suffix":""},{"dropping-particle":"","family":"Cameron","given":"Glen","non-dropping-particle":"","parse-names":false,"suffix":""},{"dropping-particle":"","family":"Geana","given":"Mugur","non-dropping-particle":"","parse-names":false,"suffix":""}],"container-title":"Health Informatics Journal","id":"ITEM-1","issue":"2","issued":{"date-parts":[["2014"]]},"page":"127-135","title":"“Willing but Unwilling”: Attitudinal barriers to adoption of home-based health information technology among older adults","type":"article-journal","volume":"20"},"uris":["http://www.mendeley.com/documents/?uuid=56d6495d-d03b-462a-af0b-42c11d5971ea"]}],"mendeley":{"formattedCitation":"(Young &lt;i&gt;et al.&lt;/i&gt;, 2014)","plainTextFormattedCitation":"(Young et al., 2014)","previouslyFormattedCitation":"(Young &lt;i&gt;et al.&lt;/i&gt;, 2014)"},"properties":{"noteIndex":0},"schema":"https://github.com/citation-style-language/schema/raw/master/csl-citation.json"}</w:instrText>
      </w:r>
      <w:r w:rsidRPr="00087F6B">
        <w:fldChar w:fldCharType="separate"/>
      </w:r>
      <w:r w:rsidRPr="00150B80">
        <w:rPr>
          <w:noProof/>
        </w:rPr>
        <w:t xml:space="preserve">(Young </w:t>
      </w:r>
      <w:r w:rsidRPr="00150B80">
        <w:rPr>
          <w:i/>
          <w:noProof/>
        </w:rPr>
        <w:t>et al.</w:t>
      </w:r>
      <w:r w:rsidRPr="00150B80">
        <w:rPr>
          <w:noProof/>
        </w:rPr>
        <w:t>, 2014)</w:t>
      </w:r>
      <w:r w:rsidRPr="00087F6B">
        <w:fldChar w:fldCharType="end"/>
      </w:r>
      <w:r>
        <w:t>.</w:t>
      </w:r>
    </w:p>
    <w:p w14:paraId="575287B5" w14:textId="77777777" w:rsidR="00F94585" w:rsidRDefault="00F94585" w:rsidP="00F94585">
      <w:pPr>
        <w:pStyle w:val="Heading4"/>
        <w:numPr>
          <w:ilvl w:val="3"/>
          <w:numId w:val="29"/>
        </w:numPr>
      </w:pPr>
      <w:r>
        <w:t>Cognitive Issues</w:t>
      </w:r>
    </w:p>
    <w:p w14:paraId="660B373A" w14:textId="1D9A6605" w:rsidR="00F94585" w:rsidRPr="00F94585" w:rsidRDefault="00F94585" w:rsidP="001907A7">
      <w:r>
        <w:t xml:space="preserve">There are also a number of cognitive issues that older </w:t>
      </w:r>
      <w:proofErr w:type="gramStart"/>
      <w:r>
        <w:t>adults</w:t>
      </w:r>
      <w:proofErr w:type="gramEnd"/>
      <w:r>
        <w:t xml:space="preserve"> face that may impact on their use of computers. In particular, r</w:t>
      </w:r>
      <w:r w:rsidRPr="008D4B50">
        <w:t xml:space="preserve">esearch has shown that some aspects of memory can decline with age such as the ability to hold and manipulate information in working memory.  Aging is also associated with the slowing cognitive processing, a decrease in memory size, reduced attentional control, and difficulty in goal maintenance </w:t>
      </w:r>
      <w:r w:rsidRPr="008D4B50">
        <w:fldChar w:fldCharType="begin" w:fldLock="1"/>
      </w:r>
      <w:r>
        <w:instrText>ADDIN CSL_CITATION {"citationItems":[{"id":"ITEM-1","itemData":{"author":[{"dropping-particle":"","family":"Boot","given":"Neil Charness and Walter R","non-dropping-particle":"","parse-names":false,"suffix":""}],"container-title":"Current Directions in Psychological Science","id":"ITEM-1","issue":"253","issued":{"date-parts":[["2009"]]},"page":"253-258","title":"Aging and Information Technology Use: Potential and Barriers","type":"article-journal","volume":"18"},"uris":["http://www.mendeley.com/documents/?uuid=7ec2ba65-5ae1-4a69-83b5-418fcbc67d5e"]}],"mendeley":{"formattedCitation":"(Boot, 2009)","plainTextFormattedCitation":"(Boot, 2009)","previouslyFormattedCitation":"(Boot, 2009)"},"properties":{"noteIndex":0},"schema":"https://github.com/citation-style-language/schema/raw/master/csl-citation.json"}</w:instrText>
      </w:r>
      <w:r w:rsidRPr="008D4B50">
        <w:fldChar w:fldCharType="separate"/>
      </w:r>
      <w:r w:rsidRPr="008D4B50">
        <w:rPr>
          <w:noProof/>
        </w:rPr>
        <w:t>(Boot, 2009)</w:t>
      </w:r>
      <w:r w:rsidRPr="008D4B50">
        <w:fldChar w:fldCharType="end"/>
      </w:r>
      <w:r w:rsidRPr="008D4B50">
        <w:t xml:space="preserve">. </w:t>
      </w:r>
      <w:r>
        <w:t xml:space="preserve"> </w:t>
      </w:r>
      <w:r w:rsidRPr="008D4B50">
        <w:t xml:space="preserve">A reduction in these abilities may affect an older adults ability to use some technologies </w:t>
      </w:r>
      <w:r w:rsidRPr="008D4B50">
        <w:fldChar w:fldCharType="begin" w:fldLock="1"/>
      </w:r>
      <w:r w:rsidRPr="008D4B50">
        <w:instrText>ADDIN CSL_CITATION {"citationItems":[{"id":"ITEM-1","itemData":{"DOI":"10.1016/J.CHB.2010.03.029","ISSN":"0747-5632","abstract":"As the populations of most of the world’s developed nations experience an increase in average age, a similar trend is being observed in the population of computer and Internet users. In many cases, older adults are the fastest growing computer and Internet user group in both personal and workplace contexts. However, the needs and concerns of older adults as computer users differ from those of younger users as a result of the natural changes associated with the aging process. Much research has been conducted in a variety of fields in order to understand how these changes experienced by older adults impact their use of computers and the Internet. This article reviews this existing research and provides a holistic view of the field. Since the study of computer use by older adults is a multi-disciplinary topic by nature, we provide a synthesis of the findings across these many disciplines, and attempt to highlight any gaps that exist. We use Social Cognitive Theory as a lens to view and organize the literature, as well as illustrate means through which computer use by this user group can be encouraged. Finally, suggestions for future research are proposed, and implications for research and practice are discussed.","author":[{"dropping-particle":"","family":"Wagner","given":"Nicole","non-dropping-particle":"","parse-names":false,"suffix":""},{"dropping-particle":"","family":"Hassanein","given":"Khaled","non-dropping-particle":"","parse-names":false,"suffix":""},{"dropping-particle":"","family":"Head","given":"Milena","non-dropping-particle":"","parse-names":false,"suffix":""}],"container-title":"Computers in Human Behavior","id":"ITEM-1","issue":"5","issued":{"date-parts":[["2010","9","1"]]},"page":"870-882","publisher":"Pergamon","title":"Computer use by older adults: A multi-disciplinary review","type":"article-journal","volume":"26"},"uris":["http://www.mendeley.com/documents/?uuid=9ac98160-d2bd-33b6-b4e9-e7dcfb64546d"]}],"mendeley":{"formattedCitation":"(Wagner, Hassanein and Head, 2010)","plainTextFormattedCitation":"(Wagner, Hassanein and Head, 2010)","previouslyFormattedCitation":"(Wagner, Hassanein and Head, 2010)"},"properties":{"noteIndex":0},"schema":"https://github.com/citation-style-language/schema/raw/master/csl-citation.json"}</w:instrText>
      </w:r>
      <w:r w:rsidRPr="008D4B50">
        <w:fldChar w:fldCharType="separate"/>
      </w:r>
      <w:r w:rsidRPr="008D4B50">
        <w:rPr>
          <w:noProof/>
        </w:rPr>
        <w:t>(Wagner, Hassanein and Head, 2010)</w:t>
      </w:r>
      <w:r w:rsidRPr="008D4B50">
        <w:fldChar w:fldCharType="end"/>
      </w:r>
      <w:r>
        <w:t xml:space="preserve">.  Problem solving and short-term memory have been found to be predictors of web use </w:t>
      </w:r>
      <w:r>
        <w:fldChar w:fldCharType="begin" w:fldLock="1"/>
      </w:r>
      <w:r>
        <w:instrText>ADDIN CSL_CITATION {"citationItems":[{"id":"ITEM-1","itemData":{"DOI":"10.1037/0882-7974.21.2.333","ISSN":"0882-7974","PMID":"16768579","abstract":"The successful adoption of technology is becoming increasingly important to functional independence. The present article reports findings from the Center for Research and Education on Aging and Technology Enhancement (CREATE) on the use of technology among community-dwelling adults. The sample included 1,204 individuals ranging in age from 18-91 years. All participants completed a battery that included measures of demographic characteristics, self-rated health, experience with technology, attitudes toward computers, and component cognitive abilities. Findings indicate that the older adults were less likely than younger adults to use technology in general, computers, and the World Wide Web. The results also indicate that computer anxiety, fluid intelligence, and crystallized intelligence were important predictors of the use of technology. The relationship between age and adoption of technology was mediated by cognitive abilities, computer self-efficacy, and computer anxiety. These findings are discussed in terms of training strategies to promote technology adoption.","author":[{"dropping-particle":"","family":"Czaja","given":"Sara J","non-dropping-particle":"","parse-names":false,"suffix":""},{"dropping-particle":"","family":"Charness","given":"Neil","non-dropping-particle":"","parse-names":false,"suffix":""},{"dropping-particle":"","family":"Fisk","given":"Arthur D","non-dropping-particle":"","parse-names":false,"suffix":""},{"dropping-particle":"","family":"Hertzog","given":"Christopher","non-dropping-particle":"","parse-names":false,"suffix":""},{"dropping-particle":"","family":"Nair","given":"Sankaran N","non-dropping-particle":"","parse-names":false,"suffix":""},{"dropping-particle":"","family":"Rogers","given":"Wendy A","non-dropping-particle":"","parse-names":false,"suffix":""},{"dropping-particle":"","family":"Sharit","given":"Joseph","non-dropping-particle":"","parse-names":false,"suffix":""}],"container-title":"Psychology and aging","id":"ITEM-1","issue":"2","issued":{"date-parts":[["2006","6"]]},"page":"333-52","publisher":"NIH Public Access","title":"Factors predicting the use of technology: findings from the Center for Research and Education on Aging and Technology Enhancement (CREATE).","type":"article-journal","volume":"21"},"uris":["http://www.mendeley.com/documents/?uuid=4d35620f-b50a-3194-aa0c-0f24bb839947"]}],"mendeley":{"formattedCitation":"(Czaja &lt;i&gt;et al.&lt;/i&gt;, 2006)","plainTextFormattedCitation":"(Czaja et al., 2006)"},"properties":{"noteIndex":0},"schema":"https://github.com/citation-style-language/schema/raw/master/csl-citation.json"}</w:instrText>
      </w:r>
      <w:r>
        <w:fldChar w:fldCharType="separate"/>
      </w:r>
      <w:r w:rsidRPr="00734178">
        <w:rPr>
          <w:noProof/>
        </w:rPr>
        <w:t xml:space="preserve">(Czaja </w:t>
      </w:r>
      <w:r w:rsidRPr="00734178">
        <w:rPr>
          <w:i/>
          <w:noProof/>
        </w:rPr>
        <w:t>et al.</w:t>
      </w:r>
      <w:r w:rsidRPr="00734178">
        <w:rPr>
          <w:noProof/>
        </w:rPr>
        <w:t>, 2006)</w:t>
      </w:r>
      <w:r>
        <w:fldChar w:fldCharType="end"/>
      </w:r>
      <w:r>
        <w:t xml:space="preserve"> and</w:t>
      </w:r>
      <w:r w:rsidRPr="0065741F">
        <w:t xml:space="preserve"> lower cognitive functioning has been associated with </w:t>
      </w:r>
      <w:r>
        <w:t xml:space="preserve">not using the </w:t>
      </w:r>
      <w:r w:rsidRPr="0065741F">
        <w:t xml:space="preserve">Internet </w:t>
      </w:r>
      <w:r>
        <w:t xml:space="preserve">at all </w:t>
      </w:r>
      <w:r>
        <w:fldChar w:fldCharType="begin" w:fldLock="1"/>
      </w:r>
      <w:r>
        <w:instrText>ADDIN CSL_CITATION {"citationItems":[{"id":"ITEM-1","itemData":{"DOI":"10.1177/1460458212462151","ISSN":"1460-4582","PMID":"23715214","abstract":"The increased reliance on Internet use in social functions has presumably left out a part of the population: the oldest-older adults. These are people who have not kept themselves up to date with the technological developments for various reasons. There are, however, exceptions from whom we have something to learn. This study investigates the older people in Sweden who started to use the Internet over a period of 6 years. Cognition, extraversion, openness, functional disability, household economy, sex, age and education were investigated in relation to starting to use the Internet. A chi-square test, Spearman correlation and a logistic regression analysis were conducted. It was found that higher cognition, being male and being between the ages of 60 and 80 years were determining factors in starting to use the Internet for the Swedish older adult. Our results indicate that the oldest-older adults are slow to adapt to using the Internet and more attention should be paid on how to support this group.","author":[{"dropping-particle":"","family":"Berner","given":"Jessica S","non-dropping-particle":"","parse-names":false,"suffix":""},{"dropping-particle":"","family":"Rennemark","given":"Mikael","non-dropping-particle":"","parse-names":false,"suffix":""},{"dropping-particle":"","family":"Jogréus","given":"Claes","non-dropping-particle":"","parse-names":false,"suffix":""},{"dropping-particle":"","family":"Berglund","given":"Johan","non-dropping-particle":"","parse-names":false,"suffix":""}],"container-title":"Health Informatics Journal","id":"ITEM-1","issue":"2","issued":{"date-parts":[["2013","6","27"]]},"page":"152-162","title":"Factors associated with change in Internet usage of Swedish older adults (2004–2010)","type":"article-journal","volume":"19"},"uris":["http://www.mendeley.com/documents/?uuid=dd4605a3-07f6-3503-9549-d8222a118923"]}],"mendeley":{"formattedCitation":"(Berner &lt;i&gt;et al.&lt;/i&gt;, 2013)","plainTextFormattedCitation":"(Berner et al., 2013)","previouslyFormattedCitation":"(Berner &lt;i&gt;et al.&lt;/i&gt;, 2013)"},"properties":{"noteIndex":0},"schema":"https://github.com/citation-style-language/schema/raw/master/csl-citation.json"}</w:instrText>
      </w:r>
      <w:r>
        <w:fldChar w:fldCharType="separate"/>
      </w:r>
      <w:r w:rsidRPr="00704FB6">
        <w:rPr>
          <w:noProof/>
        </w:rPr>
        <w:t xml:space="preserve">(Berner </w:t>
      </w:r>
      <w:r w:rsidRPr="00704FB6">
        <w:rPr>
          <w:i/>
          <w:noProof/>
        </w:rPr>
        <w:t>et al.</w:t>
      </w:r>
      <w:r w:rsidRPr="00704FB6">
        <w:rPr>
          <w:noProof/>
        </w:rPr>
        <w:t>, 2013)</w:t>
      </w:r>
      <w:r>
        <w:fldChar w:fldCharType="end"/>
      </w:r>
      <w:r w:rsidRPr="0065741F">
        <w:t>.</w:t>
      </w:r>
    </w:p>
    <w:p w14:paraId="7A772396" w14:textId="77777777" w:rsidR="002B4CFD" w:rsidRDefault="002B4CFD" w:rsidP="002B4CFD">
      <w:pPr>
        <w:pStyle w:val="Heading2"/>
        <w:numPr>
          <w:ilvl w:val="1"/>
          <w:numId w:val="29"/>
        </w:numPr>
      </w:pPr>
      <w:bookmarkStart w:id="36" w:name="_Toc3538051"/>
      <w:r>
        <w:lastRenderedPageBreak/>
        <w:t>The Usability of E-therapy</w:t>
      </w:r>
      <w:bookmarkEnd w:id="36"/>
    </w:p>
    <w:p w14:paraId="479D34EB" w14:textId="5808E016" w:rsidR="002B4CFD" w:rsidRDefault="002B4CFD" w:rsidP="002B4CFD">
      <w:r w:rsidRPr="00471295">
        <w:rPr>
          <w:noProof/>
        </w:rPr>
        <w:t>There are two quality attributes that determine</w:t>
      </w:r>
      <w:r>
        <w:t xml:space="preserve"> whether e-therapy is useful: “utility” </w:t>
      </w:r>
      <w:r w:rsidRPr="00CB4787">
        <w:rPr>
          <w:noProof/>
        </w:rPr>
        <w:t>and</w:t>
      </w:r>
      <w:r>
        <w:t xml:space="preserve"> “usability”</w:t>
      </w:r>
      <w:r w:rsidR="0098700D">
        <w:t>.</w:t>
      </w:r>
      <w:r>
        <w:t xml:space="preserve"> </w:t>
      </w:r>
      <w:r w:rsidR="0098700D">
        <w:t xml:space="preserve"> </w:t>
      </w:r>
      <w:r w:rsidRPr="00CB4787">
        <w:rPr>
          <w:noProof/>
        </w:rPr>
        <w:t>Utility</w:t>
      </w:r>
      <w:r>
        <w:t xml:space="preserve"> is concerned with whether the program provides the user with the required functionality, while usability </w:t>
      </w:r>
      <w:r w:rsidRPr="00CB4787">
        <w:rPr>
          <w:noProof/>
        </w:rPr>
        <w:t>is focused</w:t>
      </w:r>
      <w:r>
        <w:t xml:space="preserve"> on how well that functionality can be access</w:t>
      </w:r>
      <w:r w:rsidR="00DA4CCD">
        <w:t>ed</w:t>
      </w:r>
      <w:r>
        <w:t xml:space="preserve"> by the user.  Both are required equally, as a program can be easy to use, </w:t>
      </w:r>
      <w:r w:rsidRPr="00CB4787">
        <w:rPr>
          <w:noProof/>
        </w:rPr>
        <w:t>but</w:t>
      </w:r>
      <w:r>
        <w:t xml:space="preserve"> lack functionality and on the flipside have functionality but be difficult to use.  </w:t>
      </w:r>
      <w:r w:rsidRPr="000E3A1B">
        <w:rPr>
          <w:noProof/>
        </w:rPr>
        <w:t>Nielsen</w:t>
      </w:r>
      <w:r>
        <w:t xml:space="preserve"> </w:t>
      </w:r>
      <w:r>
        <w:fldChar w:fldCharType="begin" w:fldLock="1"/>
      </w:r>
      <w:r>
        <w:instrText>ADDIN CSL_CITATION {"citationItems":[{"id":"ITEM-1","itemData":{"URL":"https://www.nngroup.com/articles/usability-101-introduction-to-usability/","accessed":{"date-parts":[["2018","10","3"]]},"author":[{"dropping-particle":"","family":"Nielsen","given":"Jakob","non-dropping-particle":"","parse-names":false,"suffix":""}],"container-title":"Nielsen Norman Group","id":"ITEM-1","issued":{"date-parts":[["2012"]]},"title":"Usability 101: Introduction to Usability","type":"webpage"},"uris":["http://www.mendeley.com/documents/?uuid=5cc65148-2ace-3865-88a3-12039992e3e7"]}],"mendeley":{"formattedCitation":"(Nielsen, 2012)","manualFormatting":"(2012)","plainTextFormattedCitation":"(Nielsen, 2012)","previouslyFormattedCitation":"(Nielsen, 2012)"},"properties":{"noteIndex":0},"schema":"https://github.com/citation-style-language/schema/raw/master/csl-citation.json"}</w:instrText>
      </w:r>
      <w:r>
        <w:fldChar w:fldCharType="separate"/>
      </w:r>
      <w:r w:rsidRPr="000E3A1B">
        <w:rPr>
          <w:noProof/>
        </w:rPr>
        <w:t>(2012)</w:t>
      </w:r>
      <w:r>
        <w:fldChar w:fldCharType="end"/>
      </w:r>
      <w:r>
        <w:t xml:space="preserve"> defines five quality components that </w:t>
      </w:r>
      <w:r w:rsidRPr="00471295">
        <w:rPr>
          <w:noProof/>
        </w:rPr>
        <w:t>make up</w:t>
      </w:r>
      <w:r>
        <w:t xml:space="preserve"> usability:</w:t>
      </w:r>
    </w:p>
    <w:p w14:paraId="7503E5EC" w14:textId="77777777" w:rsidR="002B4CFD" w:rsidRPr="000E3A1B" w:rsidRDefault="002B4CFD" w:rsidP="002B4CFD">
      <w:pPr>
        <w:pStyle w:val="ListParagraph"/>
        <w:numPr>
          <w:ilvl w:val="0"/>
          <w:numId w:val="28"/>
        </w:numPr>
        <w:rPr>
          <w:rFonts w:eastAsia="Times New Roman"/>
        </w:rPr>
      </w:pPr>
      <w:r w:rsidRPr="000E3A1B">
        <w:rPr>
          <w:rStyle w:val="Strong"/>
          <w:rFonts w:cs="Arial"/>
          <w:color w:val="222222"/>
          <w:sz w:val="21"/>
          <w:szCs w:val="21"/>
        </w:rPr>
        <w:t>Learnability</w:t>
      </w:r>
      <w:r>
        <w:t xml:space="preserve">: How </w:t>
      </w:r>
      <w:r w:rsidRPr="00471295">
        <w:rPr>
          <w:noProof/>
        </w:rPr>
        <w:t>easily</w:t>
      </w:r>
      <w:r>
        <w:t xml:space="preserve"> the user can accomplish basic tasks when they encounter the program for the first time?</w:t>
      </w:r>
    </w:p>
    <w:p w14:paraId="319884AC" w14:textId="07BE0417" w:rsidR="002B4CFD" w:rsidRDefault="002B4CFD" w:rsidP="002B4CFD">
      <w:pPr>
        <w:pStyle w:val="ListParagraph"/>
        <w:numPr>
          <w:ilvl w:val="0"/>
          <w:numId w:val="28"/>
        </w:numPr>
      </w:pPr>
      <w:r w:rsidRPr="000E3A1B">
        <w:rPr>
          <w:rStyle w:val="Strong"/>
          <w:rFonts w:cs="Arial"/>
          <w:color w:val="222222"/>
          <w:sz w:val="21"/>
          <w:szCs w:val="21"/>
        </w:rPr>
        <w:t>Efficiency</w:t>
      </w:r>
      <w:r>
        <w:t>: After a user has learnt the program</w:t>
      </w:r>
      <w:r w:rsidR="0079752D">
        <w:t>, h</w:t>
      </w:r>
      <w:r>
        <w:t>ow quickly can they perform tasks?</w:t>
      </w:r>
    </w:p>
    <w:p w14:paraId="432690BA" w14:textId="1FAF8886" w:rsidR="002B4CFD" w:rsidRDefault="002B4CFD" w:rsidP="002B4CFD">
      <w:pPr>
        <w:pStyle w:val="ListParagraph"/>
        <w:numPr>
          <w:ilvl w:val="0"/>
          <w:numId w:val="28"/>
        </w:numPr>
      </w:pPr>
      <w:r w:rsidRPr="000E3A1B">
        <w:rPr>
          <w:rStyle w:val="Strong"/>
          <w:rFonts w:cs="Arial"/>
          <w:color w:val="222222"/>
          <w:sz w:val="21"/>
          <w:szCs w:val="21"/>
        </w:rPr>
        <w:t>Memorability</w:t>
      </w:r>
      <w:r>
        <w:t>: When a user returns to the program after an extended period of not using it</w:t>
      </w:r>
      <w:r w:rsidR="0079752D">
        <w:t>,</w:t>
      </w:r>
      <w:r>
        <w:t xml:space="preserve"> how </w:t>
      </w:r>
      <w:r>
        <w:rPr>
          <w:noProof/>
        </w:rPr>
        <w:t>quick</w:t>
      </w:r>
      <w:r w:rsidRPr="00471295">
        <w:rPr>
          <w:noProof/>
        </w:rPr>
        <w:t>ly</w:t>
      </w:r>
      <w:r>
        <w:t xml:space="preserve"> they can re-establish proficiency?</w:t>
      </w:r>
    </w:p>
    <w:p w14:paraId="398B0C08" w14:textId="7AC86B16" w:rsidR="002B4CFD" w:rsidRDefault="002B4CFD" w:rsidP="002B4CFD">
      <w:pPr>
        <w:pStyle w:val="ListParagraph"/>
        <w:numPr>
          <w:ilvl w:val="0"/>
          <w:numId w:val="28"/>
        </w:numPr>
      </w:pPr>
      <w:r w:rsidRPr="000E3A1B">
        <w:rPr>
          <w:rStyle w:val="Strong"/>
          <w:rFonts w:cs="Arial"/>
          <w:color w:val="222222"/>
          <w:sz w:val="21"/>
          <w:szCs w:val="21"/>
        </w:rPr>
        <w:t>Errors</w:t>
      </w:r>
      <w:r>
        <w:t xml:space="preserve">: How many </w:t>
      </w:r>
      <w:proofErr w:type="gramStart"/>
      <w:r>
        <w:t>errors does</w:t>
      </w:r>
      <w:proofErr w:type="gramEnd"/>
      <w:r>
        <w:t xml:space="preserve"> the user make, how </w:t>
      </w:r>
      <w:r w:rsidRPr="00471295">
        <w:rPr>
          <w:noProof/>
        </w:rPr>
        <w:t>sev</w:t>
      </w:r>
      <w:r w:rsidR="000D2E6B">
        <w:rPr>
          <w:noProof/>
        </w:rPr>
        <w:t>ere</w:t>
      </w:r>
      <w:r>
        <w:t xml:space="preserve"> are those errors and can the user recover from those errors?</w:t>
      </w:r>
    </w:p>
    <w:p w14:paraId="26596E4B" w14:textId="77777777" w:rsidR="002B4CFD" w:rsidRDefault="002B4CFD" w:rsidP="002B4CFD">
      <w:pPr>
        <w:pStyle w:val="ListParagraph"/>
        <w:numPr>
          <w:ilvl w:val="0"/>
          <w:numId w:val="28"/>
        </w:numPr>
      </w:pPr>
      <w:r w:rsidRPr="000E3A1B">
        <w:rPr>
          <w:rStyle w:val="Strong"/>
          <w:rFonts w:cs="Arial"/>
          <w:color w:val="222222"/>
          <w:sz w:val="21"/>
          <w:szCs w:val="21"/>
        </w:rPr>
        <w:t>Satisfaction</w:t>
      </w:r>
      <w:r>
        <w:t>: How pleasing the design of the program is to the user?</w:t>
      </w:r>
    </w:p>
    <w:p w14:paraId="4FE8EF7D" w14:textId="20A783B5" w:rsidR="002B4CFD" w:rsidRPr="00711514" w:rsidRDefault="002B4CFD" w:rsidP="002B4CFD">
      <w:r>
        <w:rPr>
          <w:noProof/>
        </w:rPr>
        <w:t xml:space="preserve">There </w:t>
      </w:r>
      <w:proofErr w:type="gramStart"/>
      <w:r>
        <w:rPr>
          <w:noProof/>
        </w:rPr>
        <w:t>are a</w:t>
      </w:r>
      <w:r>
        <w:t xml:space="preserve"> number of the barriers older adults face</w:t>
      </w:r>
      <w:proofErr w:type="gramEnd"/>
      <w:r>
        <w:t xml:space="preserve"> when using e-therapy that tie directly to usability as it is, in essence, the ability to get things done </w:t>
      </w:r>
      <w:r w:rsidRPr="00471295">
        <w:rPr>
          <w:noProof/>
        </w:rPr>
        <w:t>e</w:t>
      </w:r>
      <w:r>
        <w:rPr>
          <w:noProof/>
        </w:rPr>
        <w:t>fficient</w:t>
      </w:r>
      <w:r w:rsidRPr="00471295">
        <w:rPr>
          <w:noProof/>
        </w:rPr>
        <w:t>ly</w:t>
      </w:r>
      <w:r>
        <w:t xml:space="preserve"> and in a way that ensures user satisfaction with the process.  </w:t>
      </w:r>
      <w:r w:rsidR="00480721">
        <w:t>So,</w:t>
      </w:r>
      <w:r>
        <w:t xml:space="preserve"> when designing e-therapy for older </w:t>
      </w:r>
      <w:r w:rsidRPr="00471295">
        <w:rPr>
          <w:noProof/>
        </w:rPr>
        <w:t>adults</w:t>
      </w:r>
      <w:r>
        <w:rPr>
          <w:noProof/>
        </w:rPr>
        <w:t>,</w:t>
      </w:r>
      <w:r>
        <w:t xml:space="preserve"> </w:t>
      </w:r>
      <w:r w:rsidRPr="00471295">
        <w:rPr>
          <w:noProof/>
        </w:rPr>
        <w:t>increased</w:t>
      </w:r>
      <w:r>
        <w:t xml:space="preserve"> emphasis needs to be placed on the perceived utility along with each of the five usability attributes.  Older adults may have difficulty in learning to use an e-therapy, especially if the instructions overload the user’s working memory and make it harder for them to integrate the information effectively </w:t>
      </w:r>
      <w:r>
        <w:fldChar w:fldCharType="begin" w:fldLock="1"/>
      </w:r>
      <w:r>
        <w:instrText>ADDIN CSL_CITATION {"citationItems":[{"id":"ITEM-1","itemData":{"DOI":"10.1201/9781420080681","ISBN":"978-1-4200-8055-1","author":[{"dropping-particle":"","family":"Fisk","given":"Arthur","non-dropping-particle":"","parse-names":false,"suffix":""},{"dropping-particle":"","family":"Rogers","given":"Wendy","non-dropping-particle":"","parse-names":false,"suffix":""},{"dropping-particle":"","family":"Charness","given":"Neil","non-dropping-particle":"","parse-names":false,"suffix":""},{"dropping-particle":"","family":"Czaja","given":"Sara","non-dropping-particle":"","parse-names":false,"suffix":""},{"dropping-particle":"","family":"Sharit","given":"Joseph","non-dropping-particle":"","parse-names":false,"suffix":""},{"dropping-particle":"","family":"Fisk","given":"Arthur D.","non-dropping-particle":"","parse-names":false,"suffix":""},{"dropping-particle":"","family":"Rogers","given":"Wendy A.","non-dropping-particle":"","parse-names":false,"suffix":""},{"dropping-particle":"","family":"Charness","given":"Neil","non-dropping-particle":"","parse-names":false,"suffix":""},{"dropping-particle":"","family":"Sharit","given":"Joseph","non-dropping-particle":"","parse-names":false,"suffix":""}],"collection-title":"Human Factors and Aging Series","id":"ITEM-1","issued":{"date-parts":[["2009","3","26"]]},"publisher":"CRC Press","title":"Designing for Older Adults","type":"book"},"uris":["http://www.mendeley.com/documents/?uuid=665acd2a-ec36-3a22-9e18-84a947951666"]}],"mendeley":{"formattedCitation":"(Fisk &lt;i&gt;et al.&lt;/i&gt;, 2009)","plainTextFormattedCitation":"(Fisk et al., 2009)","previouslyFormattedCitation":"(Fisk &lt;i&gt;et al.&lt;/i&gt;, 2009)"},"properties":{"noteIndex":0},"schema":"https://github.com/citation-style-language/schema/raw/master/csl-citation.json"}</w:instrText>
      </w:r>
      <w:r>
        <w:fldChar w:fldCharType="separate"/>
      </w:r>
      <w:r w:rsidRPr="000E3A1B">
        <w:rPr>
          <w:noProof/>
        </w:rPr>
        <w:t xml:space="preserve">(Fisk </w:t>
      </w:r>
      <w:r w:rsidRPr="000E3A1B">
        <w:rPr>
          <w:i/>
          <w:noProof/>
        </w:rPr>
        <w:t>et al.</w:t>
      </w:r>
      <w:r w:rsidRPr="000E3A1B">
        <w:rPr>
          <w:noProof/>
        </w:rPr>
        <w:t>, 2009)</w:t>
      </w:r>
      <w:r>
        <w:fldChar w:fldCharType="end"/>
      </w:r>
      <w:r>
        <w:t xml:space="preserve">.  It is also not uncommon for older adults to struggle with memory-related </w:t>
      </w:r>
      <w:proofErr w:type="gramStart"/>
      <w:r>
        <w:t>problems which makes</w:t>
      </w:r>
      <w:proofErr w:type="gramEnd"/>
      <w:r>
        <w:t xml:space="preserve"> it essential that carrying out interactions with an e-therapy are easy to remember after periods of non-use.  </w:t>
      </w:r>
      <w:r w:rsidRPr="00B65967">
        <w:rPr>
          <w:noProof/>
        </w:rPr>
        <w:t>Otherwise</w:t>
      </w:r>
      <w:r>
        <w:rPr>
          <w:noProof/>
        </w:rPr>
        <w:t>,</w:t>
      </w:r>
      <w:r>
        <w:t xml:space="preserve"> the frustration brought about by continually having to relearn elements of the program are likely to </w:t>
      </w:r>
      <w:r>
        <w:rPr>
          <w:noProof/>
        </w:rPr>
        <w:t>reduce</w:t>
      </w:r>
      <w:r>
        <w:t xml:space="preserve"> the e-therapy’s adoption </w:t>
      </w:r>
      <w:r>
        <w:fldChar w:fldCharType="begin" w:fldLock="1"/>
      </w:r>
      <w:r>
        <w:instrText>ADDIN CSL_CITATION {"citationItems":[{"id":"ITEM-1","itemData":{"DOI":"10.1201/9781420080681","ISBN":"978-1-4200-8055-1","author":[{"dropping-particle":"","family":"Fisk","given":"Arthur","non-dropping-particle":"","parse-names":false,"suffix":""},{"dropping-particle":"","family":"Rogers","given":"Wendy","non-dropping-particle":"","parse-names":false,"suffix":""},{"dropping-particle":"","family":"Charness","given":"Neil","non-dropping-particle":"","parse-names":false,"suffix":""},{"dropping-particle":"","family":"Czaja","given":"Sara","non-dropping-particle":"","parse-names":false,"suffix":""},{"dropping-particle":"","family":"Sharit","given":"Joseph","non-dropping-particle":"","parse-names":false,"suffix":""},{"dropping-particle":"","family":"Fisk","given":"Arthur D.","non-dropping-particle":"","parse-names":false,"suffix":""},{"dropping-particle":"","family":"Rogers","given":"Wendy A.","non-dropping-particle":"","parse-names":false,"suffix":""},{"dropping-particle":"","family":"Charness","given":"Neil","non-dropping-particle":"","parse-names":false,"suffix":""},{"dropping-particle":"","family":"Sharit","given":"Joseph","non-dropping-particle":"","parse-names":false,"suffix":""}],"collection-title":"Human Factors and Aging Series","id":"ITEM-1","issued":{"date-parts":[["2009","3","26"]]},"publisher":"CRC Press","title":"Designing for Older Adults","type":"book"},"uris":["http://www.mendeley.com/documents/?uuid=665acd2a-ec36-3a22-9e18-84a947951666"]}],"mendeley":{"formattedCitation":"(Fisk &lt;i&gt;et al.&lt;/i&gt;, 2009)","plainTextFormattedCitation":"(Fisk et al., 2009)","previouslyFormattedCitation":"(Fisk &lt;i&gt;et al.&lt;/i&gt;, 2009)"},"properties":{"noteIndex":0},"schema":"https://github.com/citation-style-language/schema/raw/master/csl-citation.json"}</w:instrText>
      </w:r>
      <w:r>
        <w:fldChar w:fldCharType="separate"/>
      </w:r>
      <w:r w:rsidRPr="000E3A1B">
        <w:rPr>
          <w:noProof/>
        </w:rPr>
        <w:t xml:space="preserve">(Fisk </w:t>
      </w:r>
      <w:r w:rsidRPr="000E3A1B">
        <w:rPr>
          <w:i/>
          <w:noProof/>
        </w:rPr>
        <w:t>et al.</w:t>
      </w:r>
      <w:r w:rsidRPr="000E3A1B">
        <w:rPr>
          <w:noProof/>
        </w:rPr>
        <w:t>, 2009)</w:t>
      </w:r>
      <w:r>
        <w:fldChar w:fldCharType="end"/>
      </w:r>
      <w:r>
        <w:t xml:space="preserve">.  A clinical risk is also created when older adults with anxiety and depression accessing an e-therapy are unable to use it due to poor usability and as a result disengage from services. </w:t>
      </w:r>
      <w:r w:rsidR="0098700D">
        <w:t xml:space="preserve"> </w:t>
      </w:r>
      <w:r>
        <w:t xml:space="preserve">From all these examples it is clear that usability may play a </w:t>
      </w:r>
      <w:r>
        <w:rPr>
          <w:noProof/>
        </w:rPr>
        <w:t>significant</w:t>
      </w:r>
      <w:r>
        <w:t xml:space="preserve"> role in how e-therapies </w:t>
      </w:r>
      <w:r w:rsidRPr="00471295">
        <w:rPr>
          <w:noProof/>
        </w:rPr>
        <w:t>are developed</w:t>
      </w:r>
      <w:r>
        <w:t xml:space="preserve">.  In this body of </w:t>
      </w:r>
      <w:r w:rsidRPr="00471295">
        <w:rPr>
          <w:noProof/>
        </w:rPr>
        <w:t>work</w:t>
      </w:r>
      <w:r>
        <w:rPr>
          <w:noProof/>
        </w:rPr>
        <w:t>,</w:t>
      </w:r>
      <w:r>
        <w:t xml:space="preserve"> the author attempts to explore how usability intrinsically ties with e-therapy and how usability </w:t>
      </w:r>
      <w:r>
        <w:rPr>
          <w:noProof/>
        </w:rPr>
        <w:t>a</w:t>
      </w:r>
      <w:r w:rsidRPr="00471295">
        <w:rPr>
          <w:noProof/>
        </w:rPr>
        <w:t>ffects</w:t>
      </w:r>
      <w:r>
        <w:t xml:space="preserve"> other dimensions of e-therapy such as acceptability and effectiveness.</w:t>
      </w:r>
    </w:p>
    <w:p w14:paraId="363869C0" w14:textId="1AD41115" w:rsidR="002B4CFD" w:rsidRDefault="002B4CFD" w:rsidP="002B4CFD">
      <w:pPr>
        <w:pStyle w:val="Heading2"/>
        <w:numPr>
          <w:ilvl w:val="1"/>
          <w:numId w:val="29"/>
        </w:numPr>
      </w:pPr>
      <w:bookmarkStart w:id="37" w:name="_Toc3538052"/>
      <w:r>
        <w:t xml:space="preserve">Overview of </w:t>
      </w:r>
      <w:r>
        <w:rPr>
          <w:noProof/>
        </w:rPr>
        <w:t>T</w:t>
      </w:r>
      <w:r w:rsidRPr="00900A00">
        <w:rPr>
          <w:noProof/>
        </w:rPr>
        <w:t xml:space="preserve">his </w:t>
      </w:r>
      <w:r>
        <w:rPr>
          <w:noProof/>
        </w:rPr>
        <w:t>B</w:t>
      </w:r>
      <w:r w:rsidRPr="00900A00">
        <w:rPr>
          <w:noProof/>
        </w:rPr>
        <w:t>ody</w:t>
      </w:r>
      <w:r>
        <w:t xml:space="preserve"> of Work</w:t>
      </w:r>
      <w:bookmarkEnd w:id="37"/>
    </w:p>
    <w:p w14:paraId="2D3DAE56" w14:textId="6FB77BC8" w:rsidR="002B4CFD" w:rsidRDefault="002B4CFD" w:rsidP="002B4CFD">
      <w:pPr>
        <w:rPr>
          <w:b/>
          <w:u w:val="single"/>
        </w:rPr>
      </w:pPr>
      <w:r>
        <w:t xml:space="preserve">This brief introduction has highlighted that there are key challenges to the development, research and service implementation of e-therapies for older adults.  </w:t>
      </w:r>
      <w:r w:rsidRPr="00A3600B">
        <w:t xml:space="preserve">There </w:t>
      </w:r>
      <w:r>
        <w:t>has been little</w:t>
      </w:r>
      <w:r w:rsidRPr="00A3600B">
        <w:t xml:space="preserve"> </w:t>
      </w:r>
      <w:r>
        <w:t>focus on the</w:t>
      </w:r>
      <w:r w:rsidRPr="00A3600B">
        <w:t xml:space="preserve"> suitability of e-therapies for older adults </w:t>
      </w:r>
      <w:r>
        <w:t xml:space="preserve"> and, as a consequence, little evidence of this </w:t>
      </w:r>
      <w:r>
        <w:fldChar w:fldCharType="begin" w:fldLock="1"/>
      </w:r>
      <w:r>
        <w:instrText>ADDIN CSL_CITATION {"citationItems":[{"id":"ITEM-1","itemData":{"DOI":"10.1111/j.2044-8260.2012.02038.x","ISBN":"0144-6657","ISSN":"01446657","PMID":"23078214","abstract":"OBJECTIVE: Computerized cognitive-behavioural therapy (CCBT) may enhance older adults' access to evidence-based depression treatment. Our objective was to determine the extent to which adults aged 65 years and older are represented in existing studies of CCBT for depression and describe available data on recruitment, retention, and outcomes. METHODS: We retrieved all controlled and uncontrolled trials of CCBT for depression published between 2000 and 2010. We obtained data on older adults via the article text or correspondence with authors. RESULTS: Older adults comprised approximately 3% of study participants in reviewed studies. Authors reported that older participants may be less likely than younger adults to drop out, but more likely to experience technical challenges. CONCLUSIONS: Older adults are under-represented in studies of CCBT for depression.","author":[{"dropping-particle":"","family":"Crabb","given":"Rebecca M.","non-dropping-particle":"","parse-names":false,"suffix":""},{"dropping-particle":"","family":"Cavanagh","given":"Kate","non-dropping-particle":"","parse-names":false,"suffix":""},{"dropping-particle":"","family":"Proudfoot","given":"Judy","non-dropping-particle":"","parse-names":false,"suffix":""},{"dropping-particle":"","family":"Learmonth","given":"Despina","non-dropping-particle":"","parse-names":false,"suffix":""},{"dropping-particle":"","family":"Rafie","given":"Samantha","non-dropping-particle":"","parse-names":false,"suffix":""},{"dropping-particle":"","family":"Weingardt","given":"Kenneth R.","non-dropping-particle":"","parse-names":false,"suffix":""}],"container-title":"British Journal of Clinical Psychology","id":"ITEM-1","issue":"4","issued":{"date-parts":[["2012","11"]]},"page":"459-464","title":"Is computerized cognitive-behavioural therapy a treatment option for depression in late-life? A systematic review","type":"article-journal","volume":"51"},"uris":["http://www.mendeley.com/documents/?uuid=ab531bbc-4a54-448f-99e7-f9f53cac7c48"]}],"mendeley":{"formattedCitation":"(Crabb &lt;i&gt;et al.&lt;/i&gt;, 2012)","plainTextFormattedCitation":"(Crabb et al., 2012)","previouslyFormattedCitation":"(Crabb &lt;i&gt;et al.&lt;/i&gt;, 2012)"},"properties":{"noteIndex":0},"schema":"https://github.com/citation-style-language/schema/raw/master/csl-citation.json"}</w:instrText>
      </w:r>
      <w:r>
        <w:fldChar w:fldCharType="separate"/>
      </w:r>
      <w:r w:rsidRPr="00150B80">
        <w:rPr>
          <w:noProof/>
        </w:rPr>
        <w:t xml:space="preserve">(Crabb </w:t>
      </w:r>
      <w:r w:rsidRPr="00150B80">
        <w:rPr>
          <w:i/>
          <w:noProof/>
        </w:rPr>
        <w:t>et al.</w:t>
      </w:r>
      <w:r w:rsidRPr="00150B80">
        <w:rPr>
          <w:noProof/>
        </w:rPr>
        <w:t>, 2012)</w:t>
      </w:r>
      <w:r>
        <w:fldChar w:fldCharType="end"/>
      </w:r>
      <w:r>
        <w:t xml:space="preserve">.  The </w:t>
      </w:r>
      <w:r w:rsidRPr="00A3600B">
        <w:t>evidence</w:t>
      </w:r>
      <w:r>
        <w:t xml:space="preserve"> that does</w:t>
      </w:r>
      <w:r w:rsidRPr="00A3600B">
        <w:t xml:space="preserve"> </w:t>
      </w:r>
      <w:r>
        <w:t>exist indicate the untapped clinical</w:t>
      </w:r>
      <w:r w:rsidRPr="00A3600B">
        <w:t xml:space="preserve"> potential </w:t>
      </w:r>
      <w:r>
        <w:t xml:space="preserve">that e-therapies hold with older adults </w:t>
      </w:r>
      <w:r>
        <w:fldChar w:fldCharType="begin" w:fldLock="1"/>
      </w:r>
      <w:r w:rsidR="00277777">
        <w:instrText>ADDIN CSL_CITATION {"citationItems":[{"id":"ITEM-1","itemData":{"DOI":"10.1016/j.beth.2014.09.007","ISBN":"0005-7894","ISSN":"18781888","PMID":"25645169","abstract":"There is preliminary support for internet-delivered cognitive behaviour therapy (iCBT) as a way of improving access to treatment among older adults with anxiety. The aim of this randomized controlled trial (RCT) was to examine the efficacy, long-term outcomes, and cost-effectiveness of an iCBT program for adults over 60. years of age with anxiety. Successful applicants were randomly allocated to either the treatment group (n= 35) or the waitlist control group (n= 37). The online treatment course was delivered over 8. weeks and provided with brief weekly contact with a clinical psychologist via telephone or secure email. Eighty-four percent of participants completed the iCBT course within the 8. weeks and 90% provided data at posttreatment. Significantly lower scores on measures of anxiety (Cohen's d=. 1.43; 95% CI: 0.89 - 1.93) and depression (Cohen's d=. 1.79; 95% CI: 1.21 - 2.32) were found among the treatment group compared to the control group at posttreatment. These lower scores were maintained at 3-month and 12-month follow-up and the treatment group rated the iCBT treatment as acceptable. The treatment group had slightly higher costs ($92.2; 95% CI: $38.7 to $149.2) and Quality-Adjusted Life-Years (QALYs. =. 0.010; 95% CI: 0.003 to 0.018) than the control group at posttreatment and the intervention was found to have a greater than 95% probability of being cost-effective. The results support iCBT as an efficacious and cost-effective treatment option for older adults with symptoms of anxiety.","author":[{"dropping-particle":"","family":"Dear","given":"Blake F.","non-dropping-particle":"","parse-names":false,"suffix":""},{"dropping-particle":"","family":"Zou","given":"Judy B.","non-dropping-particle":"","parse-names":false,"suffix":""},{"dropping-particle":"","family":"Ali","given":"Shehzad","non-dropping-particle":"","parse-names":false,"suffix":""},{"dropping-particle":"","family":"Lorian","given":"Carolyn N.","non-dropping-particle":"","parse-names":false,"suffix":""},{"dropping-particle":"","family":"Johnston","given":"Luke","non-dropping-particle":"","parse-names":false,"suffix":""},{"dropping-particle":"","family":"Sheehan","given":"Joanne","non-dropping-particle":"","parse-names":false,"suffix":""},{"dropping-particle":"","family":"Staples","given":"Lauren G.","non-dropping-particle":"","parse-names":false,"suffix":""},{"dropping-particle":"","family":"Gandy","given":"Milena","non-dropping-particle":"","parse-names":false,"suffix":""},{"dropping-particle":"","family":"Fogliati","given":"Vincent J.","non-dropping-particle":"","parse-names":false,"suffix":""},{"dropping-particle":"","family":"Klein","given":"Britt","non-dropping-particle":"","parse-names":false,"suffix":""},{"dropping-particle":"","family":"Titov","given":"Nickolai","non-dropping-particle":"","parse-names":false,"suffix":""}],"container-title":"Behavior Therapy","id":"ITEM-1","issue":"2","issued":{"date-parts":[["2015"]]},"page":"206-217","publisher":"Elsevier B.V.","title":"Clinical and Cost-Effectiveness of Therapist-Guided Internet-Delivered Cognitive Behavior Therapy for Older Adults With Symptoms of Anxiety: A Randomized Controlled Trial","type":"article-journal","volume":"46"},"uris":["http://www.mendeley.com/documents/?uuid=c821cd16-7046-4134-9f64-be9bd1c44408"]},{"id":"ITEM-2","itemData":{"DOI":"10.1016/j.beth.2014.09.008","ISBN":"0005-7894","ISSN":"18781888","PMID":"25645168","abstract":"Depression is a common and significant health problem among older adults. Unfortunately, while effective psychological treatments exist, few older adults access treatment. The aim of the present randomized controlled trial (RCT) was to examine the efficacy, long-term outcomes, and cost-effectiveness of a therapist-guided internet-delivered cognitive behavior therapy (iCBT) intervention for Australian adults over 60. years of age with symptoms of depression. Participants were randomly allocated to either a treatment group (n= 29) or a delayed-treatment waitlist control group (n=. 25). Twenty-seven treatment group participants started the iCBT treatment and 70% completed the treatment within the 8-week course, with 85% of participants providing data at posttreatment. Treatment comprised an online 5-lesson iCBT course with brief weekly contact with a clinical psychologist, delivered over 8. weeks. The primary outcome measure was the Patient Health Questionnaire-9 Item (PHQ-9), a measure of symptoms and severity of depression. Significantly lower scores on the PHQ-9 (Cohen's d=. 2.08; 95% CI: 1.38 - 2.72) and on a measure of anxiety (Generalized Anxiety Disorder-7 Item) (Cohen's d=. 1.22; 95% CI: 0.61 - 1.79) were observed in the treatment group compared to the control group at posttreatment. The treatment group maintained these lower scores at the 3-month and 12-month follow-up time points and the iCBT treatment was rated as acceptable by participants. The treatment group had slightly higher Quality-Adjusted Life-Years (QALYs) than the control group at posttreatment (estimate: 0.012; 95% CI: 0.004 to 0.020) and, while being a higher cost (estimate $52.9. l 95% CI: -. 23.8 to 128.2), the intervention was cost-effective according to commonly used willingness-to-pay thresholds in Australia. The results support the potential efficacy and cost-effectiveness of therapist-guided iCBT as a treatment for older adults with symptoms of depression.","author":[{"dropping-particle":"","family":"Titov","given":"Nickolai","non-dropping-particle":"","parse-names":false,"suffix":""},{"dropping-particle":"","family":"Dear","given":"Blake F.","non-dropping-particle":"","parse-names":false,"suffix":""},{"dropping-particle":"","family":"Ali","given":"Shehzad","non-dropping-particle":"","parse-names":false,"suffix":""},{"dropping-particle":"","family":"Zou","given":"Judy B.","non-dropping-particle":"","parse-names":false,"suffix":""},{"dropping-particle":"","family":"Lorian","given":"Carolyn N.","non-dropping-particle":"","parse-names":false,"suffix":""},{"dropping-particle":"","family":"Johnston","given":"Luke","non-dropping-particle":"","parse-names":false,"suffix":""},{"dropping-particle":"","family":"Terides","given":"Matthew D.","non-dropping-particle":"","parse-names":false,"suffix":""},{"dropping-particle":"","family":"Kayrouz","given":"Rony","non-dropping-particle":"","parse-names":false,"suffix":""},{"dropping-particle":"","family":"Klein","given":"Britt","non-dropping-particle":"","parse-names":false,"suffix":""},{"dropping-particle":"","family":"Gandy","given":"Milena","non-dropping-particle":"","parse-names":false,"suffix":""},{"dropping-particle":"","family":"Fogliati","given":"Vincent J.","non-dropping-particle":"","parse-names":false,"suffix":""}],"container-title":"Behavior Therapy","id":"ITEM-2","issue":"2","issued":{"date-parts":[["2015"]]},"note":"The present study was designed to examine the\nefficacy, longer-term outcomes, and cost-effectiveness of a new iCBT intervention, the Managing Your Mood Course","page":"193-205","publisher":"Elsevier B.V.","title":"Clinical and Cost-Effectiveness of Therapist-Guided Internet-Delivered Cognitive Behavior Therapy for Older Adults With Symptoms of Depression: A Randomized Controlled Trial","type":"article-journal","volume":"46"},"uris":["http://www.mendeley.com/documents/?uuid=8f40ff72-3e15-4993-9547-eb426e4a2a82"]},{"id":"ITEM-3","itemData":{"DOI":"10.1017/S0033291707000542","ISBN":"1469-8978","ISSN":"00332917","PMID":"17466110","abstract":"BACKGROUND: Subthreshold depression is a highly prevalent condition and a risk factor for developing a major depressive episode. Internet-based cognitive behaviour therapy may be a promising approach for the treatment of subthreshold depression. The current study had two aims: (1) to determine whether an internet-based cognitive behaviour therapy intervention and a group cognitive behaviour therapy intervention are more effective than a waiting-list control group; and (2) to determine whether the effect of the internet-based cognitive behaviour therapy differs from the group cognitive behaviour therapy intervention. METHOD: A total of 191 women and 110 men with subthreshold depression were randomized into internet-based treatment, group cognitive behaviour therapy (Lewinsohn's Coping With Depression course), or a waiting-list control condition. The main outcome measure was treatment response after 10 weeks, defined as the difference in pre- and post-treatment scores on the Beck Depression Inventory (BDI). Missing data, a major limitation of this study, were imputed using the Multiple Imputation (MI) procedure Data Augmentation. RESULTS: In the waiting-list control group, we found a pre- to post-improvement effect size of 0.45, which was 0.65 in the group cognitive behaviour therapy condition and 1.00 within the internet-based treatment condition. Helmert contrasts showed a significant difference between the waiting-list condition and the two treatment conditions (p=0.04) and no significant difference between both treatment conditions (p=0.62). CONCLUSIONS: An internet-based intervention may be at least as effective as a commonly used group cognitive behaviour therapy intervention for subthreshold depression in people over 50 years of age.","author":[{"dropping-particle":"","family":"Spek","given":"Viola","non-dropping-particle":"","parse-names":false,"suffix":""},{"dropping-particle":"","family":"Nyklíček","given":"Ivan","non-dropping-particle":"","parse-names":false,"suffix":""},{"dropping-particle":"","family":"Smits","given":"Niels","non-dropping-particle":"","parse-names":false,"suffix":""},{"dropping-particle":"","family":"Cuijpers","given":"Pim","non-dropping-particle":"","parse-names":false,"suffix":""},{"dropping-particle":"","family":"Riper","given":"Heleen","non-dropping-particle":"","parse-names":false,"suffix":""},{"dropping-particle":"","family":"Keyzer","given":"Jules","non-dropping-particle":"","parse-names":false,"suffix":""},{"dropping-particle":"","family":"Pop","given":"Victor","non-dropping-particle":"","parse-names":false,"suffix":""}],"container-title":"Psychological Medicine","id":"ITEM-3","issue":"12","issued":{"date-parts":[["2007","12"]]},"note":"First, we wanted to determine whether internet-based cognitive behaviour therapy and group cognitive behaviour therapy were more effective than a waiting-list condition. Second, we tested whether the two inter- ventions differed regarding their effectivenes","page":"1797-1806","title":"Internet-based cognitive behavioural therapy for subthreshold depression in people over 50 years old: A randomized controlled clinical trial","type":"article-journal","volume":"37"},"uris":["http://www.mendeley.com/documents/?uuid=e03629d4-ea3a-4776-bf45-aa95bc3dd3dc"]},{"id":"ITEM-4","itemData":{"DOI":"10.1017/S0033291707002590","ISBN":"0033-2917","ISSN":"0033-2917","PMID":"18205965","abstract":"BACKGROUND: Internet-based cognitive behaviour therapy (CBT) is a promising new approach for the treatment of depressive symptoms. The current study had two aims: (1) to determine whether, after 1 year, an internet-based CBT intervention was more effective than a waiting-list control group; and (2) to determine whether the effect of the internet-based CBT differed from the group CBT intervention, 1 year after the start of treatment.\\n\\nMETHOD: A total of 191 women and 110 men (mean age=55 years, s.d.=4.6) with subthreshold depression were randomized into internet-based treatment, group CBT (Lewinsohn's Coping with Depression Course), or a waiting-list control condition. The main outcome measure was treatment response after 1 year, defined as the difference in pretreatment and follow-up scores on the Beck Depression Inventory (BDI). Missing data were imputed using the multiple imputation procedure of data augmentation. Analyses were performed using multiple imputation inference.\\n\\nRESULTS: In the waiting-list control group, we found a pretreatment to follow-up improvement effect size of 0.69, which was 0.62 in the group CBT condition and 1.22 with the internet-based treatment condition. Simple contrasts showed a significant difference between the waiting-list condition and internet-based treatment (p=0.03) and no difference between both treatment conditions (p=0.08).\\n\\nCONCLUSIONS: People aged over 50 years with subthreshold depression can still benefit from internet-based CBT 1 year after the start of treatment.","author":[{"dropping-particle":"","family":"Spek","given":"V.","non-dropping-particle":"","parse-names":false,"suffix":""},{"dropping-particle":"","family":"Cuijpers","given":"P.","non-dropping-particle":"","parse-names":false,"suffix":""},{"dropping-particle":"","family":"Nyklíček","given":"I.","non-dropping-particle":"","parse-names":false,"suffix":""},{"dropping-particle":"","family":"Smits","given":"N.","non-dropping-particle":"","parse-names":false,"suffix":""},{"dropping-particle":"","family":"Riper","given":"H.","non-dropping-particle":"","parse-names":false,"suffix":""},{"dropping-particle":"","family":"Keyzer","given":"J.","non-dropping-particle":"","parse-names":false,"suffix":""},{"dropping-particle":"","family":"Pop","given":"V.","non-dropping-particle":"","parse-names":false,"suffix":""}],"container-title":"Psychological Medicine","id":"ITEM-4","issue":"05","issued":{"date-parts":[["2008"]]},"note":"The current study evaluated the 1-year follow-up\neffects of internet-based CBT for subthreshold de- pression in people aged over 50 years. We compared the effect of internet-based therapy with a waiting-list condition and with group CBT.","page":"635-639","title":"One-year follow-up results of a randomized controlled clinical trial on internet-based cognitive behavioural therapy for subthreshold depression in people over 50 years","type":"article-journal","volume":"38"},"uris":["http://www.mendeley.com/documents/?uuid=de224a8e-ed48-4112-8600-e634a71cccd2"]}],"mendeley":{"formattedCitation":"(Spek, Nyklíček, &lt;i&gt;et al.&lt;/i&gt;, 2007a; V. Spek &lt;i&gt;et al.&lt;/i&gt;, 2008; Dear &lt;i&gt;et al.&lt;/i&gt;, 2015; Titov &lt;i&gt;et al.&lt;/i&gt;, 2015)","plainTextFormattedCitation":"(Spek, Nyklíček, et al., 2007a; V. Spek et al., 2008; Dear et al., 2015; Titov et al., 2015)","previouslyFormattedCitation":"(Spek, Nyklíček, &lt;i&gt;et al.&lt;/i&gt;, 2007a; V. Spek &lt;i&gt;et al.&lt;/i&gt;, 2008; Dear &lt;i&gt;et al.&lt;/i&gt;, 2015; Titov &lt;i&gt;et al.&lt;/i&gt;, 2015)"},"properties":{"noteIndex":0},"schema":"https://github.com/citation-style-language/schema/raw/master/csl-citation.json"}</w:instrText>
      </w:r>
      <w:r>
        <w:fldChar w:fldCharType="separate"/>
      </w:r>
      <w:r w:rsidR="006C6716" w:rsidRPr="006C6716">
        <w:rPr>
          <w:noProof/>
        </w:rPr>
        <w:t xml:space="preserve">(Spek, Nyklíček, </w:t>
      </w:r>
      <w:r w:rsidR="006C6716" w:rsidRPr="006C6716">
        <w:rPr>
          <w:i/>
          <w:noProof/>
        </w:rPr>
        <w:t>et al.</w:t>
      </w:r>
      <w:r w:rsidR="006C6716" w:rsidRPr="006C6716">
        <w:rPr>
          <w:noProof/>
        </w:rPr>
        <w:t xml:space="preserve">, 2007a; V. Spek </w:t>
      </w:r>
      <w:r w:rsidR="006C6716" w:rsidRPr="006C6716">
        <w:rPr>
          <w:i/>
          <w:noProof/>
        </w:rPr>
        <w:t>et al.</w:t>
      </w:r>
      <w:r w:rsidR="006C6716" w:rsidRPr="006C6716">
        <w:rPr>
          <w:noProof/>
        </w:rPr>
        <w:t xml:space="preserve">, 2008; Dear </w:t>
      </w:r>
      <w:r w:rsidR="006C6716" w:rsidRPr="006C6716">
        <w:rPr>
          <w:i/>
          <w:noProof/>
        </w:rPr>
        <w:t>et al.</w:t>
      </w:r>
      <w:r w:rsidR="006C6716" w:rsidRPr="006C6716">
        <w:rPr>
          <w:noProof/>
        </w:rPr>
        <w:t xml:space="preserve">, 2015; Titov </w:t>
      </w:r>
      <w:r w:rsidR="006C6716" w:rsidRPr="006C6716">
        <w:rPr>
          <w:i/>
          <w:noProof/>
        </w:rPr>
        <w:t>et al.</w:t>
      </w:r>
      <w:r w:rsidR="006C6716" w:rsidRPr="006C6716">
        <w:rPr>
          <w:noProof/>
        </w:rPr>
        <w:t>, 2015)</w:t>
      </w:r>
      <w:r>
        <w:fldChar w:fldCharType="end"/>
      </w:r>
      <w:r>
        <w:t>.</w:t>
      </w:r>
    </w:p>
    <w:p w14:paraId="3255ECF0" w14:textId="1A3968ED" w:rsidR="002B4CFD" w:rsidRDefault="002B4CFD" w:rsidP="002B4CFD">
      <w:r>
        <w:lastRenderedPageBreak/>
        <w:t>The primary aim of this work is to explore ways in which the user interface (UI) of an e-therapy could be enhanced to</w:t>
      </w:r>
      <w:r>
        <w:rPr>
          <w:shd w:val="clear" w:color="auto" w:fill="FFFFFF"/>
        </w:rPr>
        <w:t xml:space="preserve"> improve usability and promote acceptability in older adults.</w:t>
      </w:r>
      <w:r w:rsidR="00A559D9">
        <w:rPr>
          <w:shd w:val="clear" w:color="auto" w:fill="FFFFFF"/>
        </w:rPr>
        <w:t xml:space="preserve"> </w:t>
      </w:r>
      <w:r>
        <w:rPr>
          <w:shd w:val="clear" w:color="auto" w:fill="FFFFFF"/>
        </w:rPr>
        <w:t xml:space="preserve"> Secondary aims are to examine whether usability is associated with other therapeutic factors such as credibility, pre-expectancy and the therapeutic relationship.</w:t>
      </w:r>
    </w:p>
    <w:p w14:paraId="256F88E8" w14:textId="13CC7CD5" w:rsidR="002B4CFD" w:rsidRDefault="002B4CFD" w:rsidP="002B4CFD">
      <w:r>
        <w:rPr>
          <w:rFonts w:ascii="Calibri" w:hAnsi="Calibri" w:cs="Times New Roman"/>
          <w:color w:val="000000"/>
        </w:rPr>
        <w:t>Phase 1 of this work is described over the course of the following three chapters, in which the author sketches a picture of real-world e</w:t>
      </w:r>
      <w:r>
        <w:rPr>
          <w:rFonts w:ascii="Calibri" w:hAnsi="Calibri" w:cs="Times New Roman"/>
          <w:color w:val="000000"/>
        </w:rPr>
        <w:noBreakHyphen/>
        <w:t>therapy use within the NHS in order to determine: what e</w:t>
      </w:r>
      <w:r>
        <w:rPr>
          <w:rFonts w:ascii="Calibri" w:hAnsi="Calibri" w:cs="Times New Roman"/>
          <w:color w:val="000000"/>
        </w:rPr>
        <w:noBreakHyphen/>
        <w:t xml:space="preserve">therapies are used; what (if any) evidence exists for them, and whether they are suitable for older adults. </w:t>
      </w:r>
      <w:r w:rsidR="00A559D9">
        <w:rPr>
          <w:rFonts w:ascii="Calibri" w:hAnsi="Calibri" w:cs="Times New Roman"/>
          <w:color w:val="000000"/>
        </w:rPr>
        <w:t xml:space="preserve"> </w:t>
      </w:r>
      <w:r w:rsidR="004C4A0A">
        <w:rPr>
          <w:rFonts w:ascii="Calibri" w:hAnsi="Calibri" w:cs="Times New Roman"/>
          <w:color w:val="000000"/>
        </w:rPr>
        <w:t>C</w:t>
      </w:r>
      <w:r>
        <w:t xml:space="preserve">hapter </w:t>
      </w:r>
      <w:r w:rsidR="004C4A0A">
        <w:t>t</w:t>
      </w:r>
      <w:r>
        <w:t xml:space="preserve">wo </w:t>
      </w:r>
      <w:r>
        <w:rPr>
          <w:rFonts w:ascii="Calibri" w:hAnsi="Calibri" w:cs="Times New Roman"/>
          <w:color w:val="000000"/>
        </w:rPr>
        <w:t xml:space="preserve">(Study I) </w:t>
      </w:r>
      <w:r>
        <w:t>explores the question of what e-therapies are currently being used within NHS mental health services</w:t>
      </w:r>
      <w:r w:rsidR="00554CB4">
        <w:t xml:space="preserve">.  </w:t>
      </w:r>
      <w:r>
        <w:t>This is important for the issue of developing e-therapies that are acceptable to older adults because it tells us what is presently in use within the NHS and in turn enables us to examine what evidence of effectiveness these e-therapies have with older adults.</w:t>
      </w:r>
      <w:r w:rsidR="00A559D9">
        <w:t xml:space="preserve"> </w:t>
      </w:r>
      <w:r>
        <w:t xml:space="preserve"> Using Freedom of Information (FOI) requests and systematic web searches we collected information on NHS use and recommendation of e-therapies</w:t>
      </w:r>
      <w:r w:rsidR="00554CB4">
        <w:t xml:space="preserve">.  </w:t>
      </w:r>
      <w:r>
        <w:t>We complied the first ever list of all the e-therapies being used and recommended in the NHS in England (Bennion et al., 2017).</w:t>
      </w:r>
      <w:r w:rsidR="00A559D9">
        <w:t xml:space="preserve"> </w:t>
      </w:r>
      <w:r>
        <w:t xml:space="preserve"> This list enables us to examine the effectiveness of NHS e-therapies, and specifically, whether age moderate’s effectiveness.</w:t>
      </w:r>
    </w:p>
    <w:p w14:paraId="42E3FE54" w14:textId="3DE784D5" w:rsidR="002B4CFD" w:rsidRDefault="004C4A0A" w:rsidP="002B4CFD">
      <w:r>
        <w:t>C</w:t>
      </w:r>
      <w:r w:rsidR="002B4CFD">
        <w:t xml:space="preserve">hapter </w:t>
      </w:r>
      <w:r>
        <w:t>t</w:t>
      </w:r>
      <w:r w:rsidR="002B4CFD">
        <w:t>hree investigates the development and research background of each of these apps, in order to begin to evaluate the evidence base supporting their use.</w:t>
      </w:r>
      <w:r w:rsidR="00A559D9">
        <w:t xml:space="preserve"> </w:t>
      </w:r>
      <w:r w:rsidR="002B4CFD">
        <w:t xml:space="preserve"> The issues associated with evaluating apps are discussed, as are the different forms that ‘evidence’ might take.  The study described (Study II) used a survey to examine 6 elements of app development: what clinical and academic involvement the apps had, whether the apps had any research evidence published or forthcoming, other evidence to prove effectiveness, whether the app applied a psychological approach or theory.  Findings were that 68% of NHS e-therapies had clinical involvement</w:t>
      </w:r>
      <w:r w:rsidR="00043C21">
        <w:t xml:space="preserve">, but that </w:t>
      </w:r>
      <w:r w:rsidR="002B4CFD">
        <w:t>elements were present in less than 50% of e-therapies.  This could indicate that little research is done into the effectiveness of apps, and that fewer than half of the e-therapies used by the NHS use any psychological approach or theory.</w:t>
      </w:r>
    </w:p>
    <w:p w14:paraId="06456C8E" w14:textId="51F595B3" w:rsidR="00371DCC" w:rsidRDefault="002B4CFD" w:rsidP="002B4CFD">
      <w:pPr>
        <w:sectPr w:rsidR="00371DCC" w:rsidSect="00452C07">
          <w:footerReference w:type="default" r:id="rId10"/>
          <w:pgSz w:w="11906" w:h="16838"/>
          <w:pgMar w:top="851" w:right="851" w:bottom="851" w:left="1134" w:header="0" w:footer="0" w:gutter="0"/>
          <w:cols w:space="720"/>
          <w:formProt w:val="0"/>
          <w:docGrid w:linePitch="360" w:charSpace="-2049"/>
        </w:sectPr>
      </w:pPr>
      <w:r>
        <w:t xml:space="preserve">Chapter </w:t>
      </w:r>
      <w:r w:rsidR="004C4A0A">
        <w:t>f</w:t>
      </w:r>
      <w:r>
        <w:t>our follows on from these findings by examining the state of the published evidence for these apps via a systematic review and meta-analysis (Study III).</w:t>
      </w:r>
      <w:r w:rsidR="00A559D9">
        <w:t xml:space="preserve"> </w:t>
      </w:r>
      <w:r>
        <w:t xml:space="preserve"> The meta-analysis identifies the extent to which these apps are effective, and, if possible, with the publications available, the extent to which they are effective with older adults specifically.  This knowledge is an important starting point for developing e-therapies that are acceptable to older adults.  Systematic searches were carried out on Web of Science, </w:t>
      </w:r>
      <w:proofErr w:type="spellStart"/>
      <w:r>
        <w:t>PsychInfo</w:t>
      </w:r>
      <w:proofErr w:type="spellEnd"/>
      <w:r>
        <w:t xml:space="preserve">, </w:t>
      </w:r>
      <w:proofErr w:type="spellStart"/>
      <w:r>
        <w:t>Pubmed</w:t>
      </w:r>
      <w:proofErr w:type="spellEnd"/>
      <w:r>
        <w:t xml:space="preserve"> for each e-therapies identified in </w:t>
      </w:r>
      <w:r w:rsidR="004C4A0A">
        <w:t>Chapter</w:t>
      </w:r>
      <w:r>
        <w:t xml:space="preserve"> </w:t>
      </w:r>
      <w:r w:rsidR="004C4A0A">
        <w:t>t</w:t>
      </w:r>
      <w:r>
        <w:t xml:space="preserve">wo.  These results were supplemented by papers identified in </w:t>
      </w:r>
      <w:r w:rsidR="004C4A0A">
        <w:t>Chapter</w:t>
      </w:r>
      <w:r>
        <w:t xml:space="preserve"> </w:t>
      </w:r>
      <w:r w:rsidR="004C4A0A">
        <w:t>t</w:t>
      </w:r>
      <w:r>
        <w:t xml:space="preserve">hree.  After the removal of duplicates and applying inclusion/exclusion criteria, 17 papers were left.  These </w:t>
      </w:r>
      <w:r w:rsidRPr="005E7852">
        <w:t xml:space="preserve">papers were evaluated for </w:t>
      </w:r>
      <w:r>
        <w:t>r</w:t>
      </w:r>
      <w:r w:rsidRPr="005E7852">
        <w:t xml:space="preserve">isk of </w:t>
      </w:r>
      <w:r>
        <w:t>b</w:t>
      </w:r>
      <w:r w:rsidRPr="005E7852">
        <w:t xml:space="preserve">ias and data </w:t>
      </w:r>
      <w:r>
        <w:t xml:space="preserve">were </w:t>
      </w:r>
      <w:r w:rsidRPr="005E7852">
        <w:t xml:space="preserve">extracted and </w:t>
      </w:r>
      <w:r>
        <w:t>meta-analysed</w:t>
      </w:r>
      <w:r w:rsidRPr="005E7852">
        <w:t xml:space="preserve">.  Findings were that e-therapies are less effective </w:t>
      </w:r>
      <w:r>
        <w:t>for older adults.</w:t>
      </w:r>
      <w:r w:rsidRPr="005E7852">
        <w:t xml:space="preserve">  Because so little research has been done regarding the effectiveness of NHS e-therapies with older adults</w:t>
      </w:r>
      <w:r>
        <w:t>, t</w:t>
      </w:r>
      <w:r w:rsidRPr="005E7852">
        <w:t xml:space="preserve">he </w:t>
      </w:r>
      <w:r>
        <w:t>remainder</w:t>
      </w:r>
      <w:r w:rsidRPr="005E7852">
        <w:t xml:space="preserve"> of this thesis examine</w:t>
      </w:r>
      <w:r>
        <w:t>s</w:t>
      </w:r>
      <w:r w:rsidRPr="005E7852">
        <w:t xml:space="preserve"> the acceptability/usability of e-therapy</w:t>
      </w:r>
      <w:r>
        <w:t xml:space="preserve"> for this group. </w:t>
      </w:r>
      <w:r w:rsidR="00A559D9">
        <w:t xml:space="preserve"> </w:t>
      </w:r>
      <w:r>
        <w:t xml:space="preserve">Three studies are described in </w:t>
      </w:r>
      <w:r w:rsidR="004C4A0A">
        <w:t>Chapter</w:t>
      </w:r>
      <w:r>
        <w:t>s five and six combined.</w:t>
      </w:r>
      <w:r w:rsidR="00A559D9">
        <w:t xml:space="preserve"> </w:t>
      </w:r>
      <w:r>
        <w:t xml:space="preserve"> These studies use an e-therapy called MYLO, which is based on Method of Levels therapy (explained in </w:t>
      </w:r>
      <w:r w:rsidR="004C4A0A">
        <w:t>Chapter</w:t>
      </w:r>
      <w:r>
        <w:t xml:space="preserve"> </w:t>
      </w:r>
      <w:r w:rsidR="004C4A0A">
        <w:t>f</w:t>
      </w:r>
      <w:r w:rsidR="00361FA1">
        <w:t>ive</w:t>
      </w:r>
      <w:r>
        <w:t>).</w:t>
      </w:r>
    </w:p>
    <w:p w14:paraId="5D7B3582" w14:textId="76F412A3" w:rsidR="002B4CFD" w:rsidRDefault="00371DCC" w:rsidP="00371DCC">
      <w:pPr>
        <w:pStyle w:val="Caption"/>
      </w:pPr>
      <w:bookmarkStart w:id="38" w:name="_Toc530684645"/>
      <w:proofErr w:type="gramStart"/>
      <w:r>
        <w:lastRenderedPageBreak/>
        <w:t xml:space="preserve">Figure </w:t>
      </w:r>
      <w:r>
        <w:fldChar w:fldCharType="begin"/>
      </w:r>
      <w:r>
        <w:instrText xml:space="preserve"> STYLEREF 1 \s </w:instrText>
      </w:r>
      <w:r>
        <w:fldChar w:fldCharType="separate"/>
      </w:r>
      <w:r w:rsidR="00574650">
        <w:rPr>
          <w:noProof/>
        </w:rPr>
        <w:t>1</w:t>
      </w:r>
      <w:r>
        <w:fldChar w:fldCharType="end"/>
      </w:r>
      <w:r>
        <w:t>.</w:t>
      </w:r>
      <w:proofErr w:type="gramEnd"/>
      <w:r>
        <w:fldChar w:fldCharType="begin"/>
      </w:r>
      <w:r>
        <w:instrText xml:space="preserve"> SEQ Figure \* ARABIC \s 1 </w:instrText>
      </w:r>
      <w:r>
        <w:fldChar w:fldCharType="separate"/>
      </w:r>
      <w:r w:rsidR="00574650">
        <w:rPr>
          <w:noProof/>
        </w:rPr>
        <w:t>1</w:t>
      </w:r>
      <w:r>
        <w:fldChar w:fldCharType="end"/>
      </w:r>
      <w:r>
        <w:t xml:space="preserve"> </w:t>
      </w:r>
      <w:r w:rsidR="002B4CFD">
        <w:t>Thesis Structure</w:t>
      </w:r>
      <w:bookmarkEnd w:id="38"/>
    </w:p>
    <w:p w14:paraId="5AC0A114" w14:textId="77777777" w:rsidR="002B4CFD" w:rsidRDefault="002B4CFD" w:rsidP="002B4CFD">
      <w:r>
        <w:rPr>
          <w:noProof/>
          <w:lang w:eastAsia="en-GB"/>
        </w:rPr>
        <w:drawing>
          <wp:inline distT="0" distB="0" distL="0" distR="0" wp14:anchorId="3EA111CD" wp14:editId="4434CB9A">
            <wp:extent cx="3584385" cy="252013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esis Diagram.png"/>
                    <pic:cNvPicPr/>
                  </pic:nvPicPr>
                  <pic:blipFill>
                    <a:blip r:embed="rId11"/>
                    <a:stretch>
                      <a:fillRect/>
                    </a:stretch>
                  </pic:blipFill>
                  <pic:spPr>
                    <a:xfrm>
                      <a:off x="0" y="0"/>
                      <a:ext cx="3584385" cy="2520137"/>
                    </a:xfrm>
                    <a:prstGeom prst="rect">
                      <a:avLst/>
                    </a:prstGeom>
                  </pic:spPr>
                </pic:pic>
              </a:graphicData>
            </a:graphic>
          </wp:inline>
        </w:drawing>
      </w:r>
    </w:p>
    <w:p w14:paraId="2AF068D7" w14:textId="2C891E6D" w:rsidR="002B4CFD" w:rsidRDefault="002B4CFD" w:rsidP="002B4CFD">
      <w:r>
        <w:t xml:space="preserve">Chapter </w:t>
      </w:r>
      <w:r w:rsidR="004C4A0A">
        <w:t>f</w:t>
      </w:r>
      <w:r>
        <w:t xml:space="preserve">ive explores whether usability and expectancies of e-therapies are related to older adult acceptability of e-therapy. </w:t>
      </w:r>
      <w:r w:rsidR="00A559D9">
        <w:t xml:space="preserve"> </w:t>
      </w:r>
      <w:r>
        <w:t xml:space="preserve">This is important for the issue of developing e-therapies that are acceptable to older adults as we can establish if system usability and expectancies need more consideration during development.  The study described in </w:t>
      </w:r>
      <w:r w:rsidR="004C4A0A">
        <w:t>Chapter</w:t>
      </w:r>
      <w:r>
        <w:t xml:space="preserve"> </w:t>
      </w:r>
      <w:r w:rsidR="004C4A0A">
        <w:t>f</w:t>
      </w:r>
      <w:r>
        <w:t xml:space="preserve">ive (Study IV) replicated the method of an earlier study (Gaffney et al., 2013), but with an older sample.  The acceptability of MYLO was compared with that of ELIZA a computer program users converse with via typed input that simulates the behaviour of a psychotherapist </w:t>
      </w:r>
      <w:r>
        <w:fldChar w:fldCharType="begin" w:fldLock="1"/>
      </w:r>
      <w:r>
        <w:instrText>ADDIN CSL_CITATION {"citationItems":[{"id":"ITEM-1","itemData":{"ISBN":"0716704641","author":[{"dropping-particle":"","family":"Weizenbaum","given":"Joseph","non-dropping-particle":"","parse-names":false,"suffix":""}],"id":"ITEM-1","issued":{"date-parts":[["1976","1","1"]]},"publisher":"W. H. Freeman &amp; Co.","title":"Computer Power and Human Reason: From Judgment to Calculation","type":"article-journal"},"uris":["http://www.mendeley.com/documents/?uuid=48ae0208-aaf5-4a0f-b0c1-849b4bc5b107"]}],"mendeley":{"formattedCitation":"(Weizenbaum, 1976)","plainTextFormattedCitation":"(Weizenbaum, 1976)","previouslyFormattedCitation":"(Weizenbaum, 1976)"},"properties":{"noteIndex":0},"schema":"https://github.com/citation-style-language/schema/raw/master/csl-citation.json"}</w:instrText>
      </w:r>
      <w:r>
        <w:fldChar w:fldCharType="separate"/>
      </w:r>
      <w:r w:rsidRPr="00DC4ACF">
        <w:rPr>
          <w:noProof/>
        </w:rPr>
        <w:t>(Weizenbaum, 1976)</w:t>
      </w:r>
      <w:r>
        <w:fldChar w:fldCharType="end"/>
      </w:r>
      <w:r>
        <w:t>, among older adults unlike Gaffney et al., which used undergraduate volunteers</w:t>
      </w:r>
      <w:r w:rsidR="00B63F5C">
        <w:t>.</w:t>
      </w:r>
      <w:r>
        <w:t xml:space="preserve"> </w:t>
      </w:r>
      <w:r w:rsidR="001F5564">
        <w:t xml:space="preserve"> </w:t>
      </w:r>
      <w:r>
        <w:t>Measures were taken at pre and post a single session of either MYLO or ELIZA, and at 2-week follow-up, for problem-related distress, problem resolution, depression, anxiety and stress.  A single point measure was taken for System Usability (SUS) at post</w:t>
      </w:r>
      <w:r w:rsidR="00554CB4">
        <w:t xml:space="preserve">.  </w:t>
      </w:r>
      <w:r>
        <w:t>Ninety-four participants, recruited via the University of the Third Age, completed the study.</w:t>
      </w:r>
    </w:p>
    <w:p w14:paraId="63F2BB26" w14:textId="77777777" w:rsidR="002B4CFD" w:rsidRDefault="002B4CFD" w:rsidP="002B4CFD">
      <w:r>
        <w:t>Findings were that both systems were effective over time and that in the MYLO group there was a relationship between system usability and their likelihood to continue using MYLO.  The next chapter follows on from these findings by examining which enhancements older adults believe could potentially help improve MYLOs system usability.</w:t>
      </w:r>
    </w:p>
    <w:p w14:paraId="72027FBC" w14:textId="0F6346BE" w:rsidR="002B4CFD" w:rsidRDefault="002B4CFD" w:rsidP="002B4CFD">
      <w:r>
        <w:t xml:space="preserve">Chapter </w:t>
      </w:r>
      <w:r w:rsidR="004C4A0A">
        <w:t>s</w:t>
      </w:r>
      <w:r>
        <w:t>ix describes two studies.  It firstly explores older adult opinions of new technology and views on the application of different possible enhancements to MYLO (Study V).  This is important for developing MYLO further as it establishes which enhancements may be most appealing and beneficial to older adult users of MYLO</w:t>
      </w:r>
      <w:r w:rsidR="00554CB4">
        <w:t xml:space="preserve">.  </w:t>
      </w:r>
      <w:r>
        <w:t>Using mixed methods, participants were asked to pretend they had an issue and then use MYLO to deal with it.  They were then shown a series of video clips of possible technological enhancements that could be applied to MYLO, before being given a final survey containing a system usability scale and a set of questions to indicate how much they agreed/disagreed that adding each technology to MYLO would make it more acceptable to older adults.</w:t>
      </w:r>
    </w:p>
    <w:p w14:paraId="64EB54D1" w14:textId="7A5DC207" w:rsidR="002B4CFD" w:rsidRDefault="002B4CFD" w:rsidP="002B4CFD">
      <w:r>
        <w:t xml:space="preserve">Study VI follows on from these findings by examining whether implementing speech technology helps to improve MYLO’s acceptability among older adults. </w:t>
      </w:r>
      <w:r w:rsidR="00A559D9">
        <w:t xml:space="preserve"> </w:t>
      </w:r>
      <w:r>
        <w:t xml:space="preserve">This is important for developing e-therapies as it </w:t>
      </w:r>
      <w:r>
        <w:lastRenderedPageBreak/>
        <w:t>establishes whether applying enhancements preferred by a particular demographic actually improves acceptability.</w:t>
      </w:r>
    </w:p>
    <w:p w14:paraId="3321CA24" w14:textId="0E6992CF" w:rsidR="002B4CFD" w:rsidRDefault="002B4CFD" w:rsidP="002B4CFD">
      <w:r>
        <w:t>Study VI randomly allocated participants to one of 3 interventions:  a standard MYLO, a guided MYLO and a guided MYLO with speech.</w:t>
      </w:r>
      <w:r w:rsidR="00A559D9">
        <w:t xml:space="preserve"> </w:t>
      </w:r>
      <w:r>
        <w:t xml:space="preserve"> Measures of expectancy/credibility, therapeutic alliance, system usability, depression, anxiety, distress, problem resolution, and loyalty were used</w:t>
      </w:r>
      <w:r w:rsidR="00554CB4">
        <w:t xml:space="preserve">.  </w:t>
      </w:r>
      <w:r>
        <w:t xml:space="preserve">Sixty-three participants, recruited through the University of the Third Age, completed the study.  </w:t>
      </w:r>
      <w:bookmarkStart w:id="39" w:name="_Hlk530676765"/>
      <w:r>
        <w:t>While no between group differences were found, findings highlighted the potentially important role of system usability in both therapeutic alliance and perceptions of credibility.</w:t>
      </w:r>
    </w:p>
    <w:bookmarkEnd w:id="39"/>
    <w:p w14:paraId="3254965A" w14:textId="793AC9C0" w:rsidR="002B4CFD" w:rsidRPr="00DB77BA" w:rsidRDefault="002B4CFD" w:rsidP="002B4CFD">
      <w:r w:rsidRPr="00DB77BA">
        <w:rPr>
          <w:color w:val="000000"/>
          <w:shd w:val="clear" w:color="auto" w:fill="FFFFFF"/>
        </w:rPr>
        <w:t xml:space="preserve">These findings are interesting as emphasis is generally placed on the role of therapist support since reviews have indicated that guided self-help leads to better outcomes than unguided e-therapy </w:t>
      </w:r>
      <w:r w:rsidRPr="00DB77BA">
        <w:rPr>
          <w:color w:val="000000"/>
          <w:shd w:val="clear" w:color="auto" w:fill="FFFFFF"/>
        </w:rPr>
        <w:fldChar w:fldCharType="begin" w:fldLock="1"/>
      </w:r>
      <w:r w:rsidRPr="00DB77BA">
        <w:rPr>
          <w:color w:val="000000"/>
          <w:shd w:val="clear" w:color="auto" w:fill="FFFFFF"/>
        </w:rPr>
        <w:instrText>ADDIN CSL_CITATION {"citationItems":[{"id":"ITEM-1","itemData":{"DOI":"10.1080/16506070903318960","ISSN":"1650-6073","abstract":"Computerized and, more recently, Internet-based treatments for depression have been developed and tested in controlled trials. The aim of this meta-analysis was to summarize the effects of these treatments and investigate characteristics of studies that may be related to the effects. In particular, the authors were interested in the role of personal support when completing a computerized treatment. Following a literature search and coding, the authors included 12 studies, with a total of 2446 participants. Ten of the 12 studies were delivered via the Internet. The mean effect size of the 15 comparisons between Internet-based and other computerized psychological treatments vs. control groups at posttest was d = 0.41 (95% confidence interval [CI]: 0.29–0.54). However, this estimate was moderated by a significant difference between supported (d = 0.61; 95% CI: 0.45–0.77) and unsupported (d = 0.25; 95% CI: 0.14–0.35) treatments. The authors conclude that although more studies are needed, Internet and other co...","author":[{"dropping-particle":"","family":"Andersson","given":"Gerhard","non-dropping-particle":"","parse-names":false,"suffix":""},{"dropping-particle":"","family":"Cuijpers","given":"Pim","non-dropping-particle":"","parse-names":false,"suffix":""}],"container-title":"Cognitive Behaviour Therapy","id":"ITEM-1","issue":"4","issued":{"date-parts":[["2009","12","15"]]},"page":"196-205","publisher":" Taylor &amp; Francis Group ","title":"Internet-Based and Other Computerized Psychological Treatments for Adult Depression: A Meta-Analysis","type":"article-journal","volume":"38"},"uris":["http://www.mendeley.com/documents/?uuid=241d25ac-1ee0-39c7-92e9-9f5dbd156474"]},{"id":"ITEM-2","itemData":{"DOI":"10.1016/j.cpr.2012.02.004","ISSN":"1873-7811","PMID":"22466510","abstract":"The aim of the paper was to systematically review the literature on computer-based psychological treatments for depression and conduct a meta-analysis of the RCT studies, including examining variables which may effect outcomes. Database and hand searches were made using specific search terms and inclusion criteria. The review included a total of 40 studies (45 published papers), and 19 RCTs (23 published papers) were included in a standard meta-analysis. The review describes the different computer-based treatments for depression, their design, communication types employed: synchronous, asynchronous, and face-to-face (F:F); alongside various types and frequency of support delivered. The evidence supports their effectiveness and highlights participant satisfaction. However, pertinent limitations are noted. Across 19 studies the meta-analysis revealed a moderate post-treatment pooled effect size d=.56 (95% confidence interval [CI] -.71, -.41), Z=7.48, p&lt;.001). Supported interventions yielded better outcomes, along with greater retention. The results reported statistically significant clinical improvement and recovery post-treatment. The review and meta-analysis support the efficacy and effectiveness of computer-based psychological treatments for depression, in diverse settings and with different populations. Further research is needed, in particular to investigate the influence of therapist factors in supported treatments, the reasons for dropout, and the maintenance of gains post-treatment.","author":[{"dropping-particle":"","family":"Richards","given":"Derek","non-dropping-particle":"","parse-names":false,"suffix":""},{"dropping-particle":"","family":"Richardson","given":"Thomas","non-dropping-particle":"","parse-names":false,"suffix":""}],"container-title":"Clinical psychology review","id":"ITEM-2","issue":"4","issued":{"date-parts":[["2012","6"]]},"page":"329-42","publisher":"Elsevier Ltd","title":"Computer-based psychological treatments for depression: a systematic review and meta-analysis.","type":"article-journal","volume":"32"},"uris":["http://www.mendeley.com/documents/?uuid=afd284fc-def6-47c0-aa60-b9c60868fbf3"]},{"id":"ITEM-3","itemData":{"DOI":"10.1017/S0033291706008944","ISBN":"0033-2917 (Print)\\n0033-2917 (Linking)","ISSN":"00332917","PMID":"17112400","abstract":"BACKGROUND: We studied to what extent internet-based cognitive behaviour therapy (CBT) programs for symptoms of depression and anxiety are effective. METHOD: A meta-analysis of 12 randomized controlled trials. RESULTS: The effects of internet-based CBT were compared to control conditions in 13 contrast groups with a total number of 2334 participants. A meta-analysis on treatment contrasts resulted in a moderate to large mean effect size [fixed effects analysis (FEA) d=0.40, mixed effects analysis (MEA) d=0.60] and significant heterogeneity. Therefore, two sets of post hoc subgroup analyses were carried out. Analyses on the type of symptoms revealed that interventions for symptoms of depression had a small mean effect size (FEA d=0.27, MEA d=0.32) and significant heterogeneity. Further analyses showed that one study could be regarded as an outlier. Analyses without this study showed a small mean effect size and moderate, non-significant heterogeneity. Interventions for anxiety had a large mean effect size (FEA and MEA d=0.96) and very low heterogeneity. When examining the second set of subgroups, based on therapist assistance, no significant heterogeneity was found. Interventions with therapist support (n=5) had a large mean effect size, while interventions without therapist support (n=6) had a small mean effect size (FEA d=0.24, MEA d=0.26). CONCLUSIONS: In general, effect sizes of internet-based interventions for symptoms of anxiety were larger than effect sizes for depressive symptoms; however, this might be explained by differences in the amount of therapist support.","author":[{"dropping-particle":"","family":"Spek","given":"Viola","non-dropping-particle":"","parse-names":false,"suffix":""},{"dropping-particle":"","family":"Cuijpers","given":"Pim","non-dropping-particle":"","parse-names":false,"suffix":""},{"dropping-particle":"","family":"NykIíček","given":"Ivan","non-dropping-particle":"","parse-names":false,"suffix":""},{"dropping-particle":"","family":"Riper","given":"Heleen","non-dropping-particle":"","parse-names":false,"suffix":""},{"dropping-particle":"","family":"Keyzer","given":"Jules","non-dropping-particle":"","parse-names":false,"suffix":""},{"dropping-particle":"","family":"Pop","given":"Victor","non-dropping-particle":"","parse-names":false,"suffix":""}],"container-title":"Psychological Medicine","id":"ITEM-3","issue":"3","issued":{"date-parts":[["2007","3","20"]]},"page":"319-328","publisher":"Cambridge University Press","title":"Internet-based cognitive behaviour therapy for symptoms of depression and anxiety: A meta-analysis","type":"article-journal","volume":"37"},"uris":["http://www.mendeley.com/documents/?uuid=5a94b2eb-ed70-4728-a4c7-ba2b8e93c115"]}],"mendeley":{"formattedCitation":"(Spek, Cuijpers, &lt;i&gt;et al.&lt;/i&gt;, 2007; Andersson and Cuijpers, 2009; Richards and Richardson, 2012)","plainTextFormattedCitation":"(Spek, Cuijpers, et al., 2007; Andersson and Cuijpers, 2009; Richards and Richardson, 2012)","previouslyFormattedCitation":"(Spek, Cuijpers, &lt;i&gt;et al.&lt;/i&gt;, 2007; Andersson and Cuijpers, 2009; Richards and Richardson, 2012)"},"properties":{"noteIndex":0},"schema":"https://github.com/citation-style-language/schema/raw/master/csl-citation.json"}</w:instrText>
      </w:r>
      <w:r w:rsidRPr="00DB77BA">
        <w:rPr>
          <w:color w:val="000000"/>
          <w:shd w:val="clear" w:color="auto" w:fill="FFFFFF"/>
        </w:rPr>
        <w:fldChar w:fldCharType="separate"/>
      </w:r>
      <w:r w:rsidRPr="00DB77BA">
        <w:rPr>
          <w:noProof/>
          <w:color w:val="000000"/>
          <w:shd w:val="clear" w:color="auto" w:fill="FFFFFF"/>
        </w:rPr>
        <w:t xml:space="preserve">(Spek, Cuijpers, </w:t>
      </w:r>
      <w:r w:rsidRPr="00DB77BA">
        <w:rPr>
          <w:i/>
          <w:noProof/>
          <w:color w:val="000000"/>
          <w:shd w:val="clear" w:color="auto" w:fill="FFFFFF"/>
        </w:rPr>
        <w:t>et al.</w:t>
      </w:r>
      <w:r w:rsidRPr="00DB77BA">
        <w:rPr>
          <w:noProof/>
          <w:color w:val="000000"/>
          <w:shd w:val="clear" w:color="auto" w:fill="FFFFFF"/>
        </w:rPr>
        <w:t>, 2007; Andersson and Cuijpers, 2009; Richards and Richardson, 2012)</w:t>
      </w:r>
      <w:r w:rsidRPr="00DB77BA">
        <w:rPr>
          <w:color w:val="000000"/>
          <w:shd w:val="clear" w:color="auto" w:fill="FFFFFF"/>
        </w:rPr>
        <w:fldChar w:fldCharType="end"/>
      </w:r>
      <w:r w:rsidRPr="00DB77BA">
        <w:rPr>
          <w:color w:val="000000"/>
          <w:shd w:val="clear" w:color="auto" w:fill="FFFFFF"/>
        </w:rPr>
        <w:t xml:space="preserve"> and that the therapeutic alliance has been highlighted as one of the mechanisms for this </w:t>
      </w:r>
      <w:r w:rsidRPr="00DB77BA">
        <w:rPr>
          <w:color w:val="000000"/>
          <w:shd w:val="clear" w:color="auto" w:fill="FFFFFF"/>
        </w:rPr>
        <w:fldChar w:fldCharType="begin" w:fldLock="1"/>
      </w:r>
      <w:r w:rsidRPr="00DB77BA">
        <w:rPr>
          <w:color w:val="000000"/>
          <w:shd w:val="clear" w:color="auto" w:fill="FFFFFF"/>
        </w:rPr>
        <w:instrText>ADDIN CSL_CITATION {"citationItems":[{"id":"ITEM-1","itemData":{"DOI":"10.1111/j.2044-8260.2012.02035.x","ISBN":"0144-6657","ISSN":"01446657","PMID":"23078210","abstract":"OBJECTIVES: Computerized cognitive behavioural therapy (cCBT) for depression has a growing evidence base, and is recommended as a treatment choice for depression in recent National Institute for Health and Clinical Excellence (NICE, 2009) guidelines to health services in England and Wales. cCBT programs are designed to translate the evidence-based tasks and techniques of CBT into an accessible, multimedia format, but it is less clear whether they also translate critical common factors of therapy, which may be necessary for engagement and associated with therapeutic outcomes. This study investigates whether and to what extent three widely used cCBT programs for depression incorporate and convey key features that serve to establish, develop, and maintain a therapeutic alliance with program users. DESIGN: This study adopted a qualitative approach to develop a thematic framework of alliance features specific to cCBT. METHOD: Three online cCBT programs designed to treat mild-to-moderate depression were investigated for alliance-related themes and sub-themes. RESULTS: The analysis revealed substantial evidence of therapeutic alliance features across the sample of cCBT programs, the prevalence and quality of which varied across relational stages. CONCLUSIONS: cCBT programs build on traditional self-help tools, offering unique relational features. Findings raise theoretical implications, in addition to guidance for future cCBT program development and service provision.","author":[{"dropping-particle":"","family":"Barazzone","given":"Natalie","non-dropping-particle":"","parse-names":false,"suffix":""},{"dropping-particle":"","family":"Cavanagh","given":"Kate","non-dropping-particle":"","parse-names":false,"suffix":""},{"dropping-particle":"","family":"Richards","given":"David A.","non-dropping-particle":"","parse-names":false,"suffix":""}],"container-title":"British Journal of Clinical Psychology","id":"ITEM-1","issue":"4","issued":{"date-parts":[["2012","11","1"]]},"page":"396-417","publisher":"Wiley/Blackwell (10.1111)","title":"Computerized cognitive behavioural therapy and the therapeutic alliance: A qualitative enquiry","type":"article-journal","volume":"51"},"uris":["http://www.mendeley.com/documents/?uuid=8730275c-ae5f-3ec6-8e11-3e8c63d77560"]}],"mendeley":{"formattedCitation":"(Barazzone, Cavanagh and Richards, 2012)","plainTextFormattedCitation":"(Barazzone, Cavanagh and Richards, 2012)","previouslyFormattedCitation":"(Barazzone, Cavanagh and Richards, 2012)"},"properties":{"noteIndex":0},"schema":"https://github.com/citation-style-language/schema/raw/master/csl-citation.json"}</w:instrText>
      </w:r>
      <w:r w:rsidRPr="00DB77BA">
        <w:rPr>
          <w:color w:val="000000"/>
          <w:shd w:val="clear" w:color="auto" w:fill="FFFFFF"/>
        </w:rPr>
        <w:fldChar w:fldCharType="separate"/>
      </w:r>
      <w:r w:rsidRPr="00DB77BA">
        <w:rPr>
          <w:noProof/>
          <w:color w:val="000000"/>
          <w:shd w:val="clear" w:color="auto" w:fill="FFFFFF"/>
        </w:rPr>
        <w:t>(Barazzone, Cavanagh and Richards, 2012)</w:t>
      </w:r>
      <w:r w:rsidRPr="00DB77BA">
        <w:rPr>
          <w:color w:val="000000"/>
          <w:shd w:val="clear" w:color="auto" w:fill="FFFFFF"/>
        </w:rPr>
        <w:fldChar w:fldCharType="end"/>
      </w:r>
      <w:r w:rsidRPr="00DB77BA">
        <w:rPr>
          <w:color w:val="000000"/>
          <w:shd w:val="clear" w:color="auto" w:fill="FFFFFF"/>
        </w:rPr>
        <w:t xml:space="preserve">. </w:t>
      </w:r>
      <w:r>
        <w:rPr>
          <w:color w:val="000000"/>
          <w:shd w:val="clear" w:color="auto" w:fill="FFFFFF"/>
        </w:rPr>
        <w:t xml:space="preserve"> </w:t>
      </w:r>
      <w:r w:rsidRPr="00DB77BA">
        <w:rPr>
          <w:color w:val="000000"/>
          <w:shd w:val="clear" w:color="auto" w:fill="FFFFFF"/>
        </w:rPr>
        <w:t>Future research is needed to establish whether increasing usability has the effect of also increasing the strength of the alliance.</w:t>
      </w:r>
    </w:p>
    <w:p w14:paraId="7218DB46" w14:textId="5D8E0684" w:rsidR="002B4CFD" w:rsidRDefault="002B4CFD" w:rsidP="002B4CFD">
      <w:r w:rsidRPr="00DB77BA">
        <w:t xml:space="preserve">Chapter </w:t>
      </w:r>
      <w:r w:rsidR="004C4A0A">
        <w:t>s</w:t>
      </w:r>
      <w:r w:rsidRPr="00DB77BA">
        <w:t xml:space="preserve">even, the final chapter, provides a general discussion regarding how the work presented in this thesis has highlighted </w:t>
      </w:r>
      <w:r>
        <w:t>that</w:t>
      </w:r>
      <w:r w:rsidRPr="00DB77BA">
        <w:t xml:space="preserve"> this field is still in its infancy, and how there remains much work to be done in order to fully understand how the potential offered by the internet, the web and connected devices can be harnessed to improve the mental health of </w:t>
      </w:r>
      <w:r>
        <w:t>older adults</w:t>
      </w:r>
      <w:r w:rsidRPr="00DB77BA">
        <w:t xml:space="preserve">. </w:t>
      </w:r>
      <w:r w:rsidR="00A559D9">
        <w:t xml:space="preserve"> </w:t>
      </w:r>
      <w:r>
        <w:t>The main</w:t>
      </w:r>
      <w:r w:rsidRPr="00DB77BA">
        <w:t xml:space="preserve"> discussion points in the final chapter concern how NHS England records e-therapy use, how it is not presently possible to track which e-therapies are in use, where and by whom, and how by making minor modifications to the existing method of recording this information could be recorded.  The chapter also discusses the differences between web and phone apps, and how these might have come about; the neglect of older adults in e-therapy research, with few studies focused purely on older adults and limited efforts to recruit them into general studies; and </w:t>
      </w:r>
      <w:r w:rsidR="00A559D9" w:rsidRPr="00DB77BA">
        <w:t>finally,</w:t>
      </w:r>
      <w:r w:rsidRPr="00DB77BA">
        <w:t xml:space="preserve"> the importance of usability for problem resolution and the likelihood of future use, as well as working alliance and credibility.</w:t>
      </w:r>
      <w:r w:rsidR="00A559D9">
        <w:t xml:space="preserve"> </w:t>
      </w:r>
      <w:r w:rsidRPr="00DB77BA">
        <w:t xml:space="preserve"> It is hoped that this body of work can serve as a springboard for future research into usability, how usability affects the use of e-therapies and whether the relationships reported within this thesis are corroborated across other therapies and populations.</w:t>
      </w:r>
    </w:p>
    <w:p w14:paraId="428AD0A6" w14:textId="46A43410" w:rsidR="00B72980" w:rsidRPr="00CB2377" w:rsidRDefault="00B72980" w:rsidP="00CB2377">
      <w:pPr>
        <w:sectPr w:rsidR="00B72980" w:rsidRPr="00CB2377" w:rsidSect="00452C07">
          <w:pgSz w:w="11906" w:h="16838"/>
          <w:pgMar w:top="851" w:right="851" w:bottom="851" w:left="1134" w:header="0" w:footer="0" w:gutter="0"/>
          <w:cols w:space="720"/>
          <w:formProt w:val="0"/>
          <w:docGrid w:linePitch="360" w:charSpace="-2049"/>
        </w:sectPr>
      </w:pPr>
    </w:p>
    <w:p w14:paraId="1716C588" w14:textId="204F5AE0" w:rsidR="00E30483" w:rsidRPr="00310B1E" w:rsidRDefault="00E30483" w:rsidP="00E31AB0">
      <w:pPr>
        <w:pStyle w:val="Heading1"/>
        <w:numPr>
          <w:ilvl w:val="0"/>
          <w:numId w:val="12"/>
        </w:numPr>
      </w:pPr>
      <w:bookmarkStart w:id="40" w:name="_Toc530598099"/>
      <w:bookmarkStart w:id="41" w:name="_Toc530660452"/>
      <w:bookmarkStart w:id="42" w:name="_Toc3538053"/>
      <w:r w:rsidRPr="00E30483">
        <w:lastRenderedPageBreak/>
        <w:t xml:space="preserve">NHS Service </w:t>
      </w:r>
      <w:r w:rsidR="00455598">
        <w:t>Provision Panorama Part 1 (NHS</w:t>
      </w:r>
      <w:r w:rsidR="003C58A2">
        <w:t xml:space="preserve"> </w:t>
      </w:r>
      <w:r w:rsidR="00816B9A">
        <w:t>E</w:t>
      </w:r>
      <w:r w:rsidR="003C58A2">
        <w:t>-</w:t>
      </w:r>
      <w:r w:rsidRPr="00E30483">
        <w:t xml:space="preserve">therapies </w:t>
      </w:r>
      <w:r w:rsidR="003C58A2">
        <w:t>S</w:t>
      </w:r>
      <w:r w:rsidRPr="00E30483">
        <w:t>urvey)</w:t>
      </w:r>
      <w:bookmarkEnd w:id="40"/>
      <w:bookmarkEnd w:id="41"/>
      <w:bookmarkEnd w:id="42"/>
    </w:p>
    <w:p w14:paraId="5FA4BA43" w14:textId="77777777" w:rsidR="00E30483" w:rsidRDefault="00E30483" w:rsidP="005E60F7">
      <w:pPr>
        <w:pStyle w:val="Heading2"/>
      </w:pPr>
      <w:bookmarkStart w:id="43" w:name="_Toc530598100"/>
      <w:bookmarkStart w:id="44" w:name="_Toc530660453"/>
      <w:bookmarkStart w:id="45" w:name="_Toc3538054"/>
      <w:r>
        <w:t>Introduction</w:t>
      </w:r>
      <w:bookmarkEnd w:id="43"/>
      <w:bookmarkEnd w:id="44"/>
      <w:bookmarkEnd w:id="45"/>
    </w:p>
    <w:p w14:paraId="4D8A7D99" w14:textId="66568C2E" w:rsidR="00E30483" w:rsidRPr="00172C39" w:rsidRDefault="00E30483" w:rsidP="00E30483">
      <w:pPr>
        <w:rPr>
          <w:rFonts w:cs="Times New Roman"/>
          <w:szCs w:val="24"/>
        </w:rPr>
      </w:pPr>
      <w:r w:rsidRPr="00172C39">
        <w:rPr>
          <w:rFonts w:cs="Times New Roman"/>
          <w:szCs w:val="24"/>
        </w:rPr>
        <w:t xml:space="preserve">The combination of increased demand and financial pressures has forced health services to explore new and innovative </w:t>
      </w:r>
      <w:r>
        <w:rPr>
          <w:rFonts w:cs="Times New Roman"/>
          <w:szCs w:val="24"/>
        </w:rPr>
        <w:t>methods of</w:t>
      </w:r>
      <w:r w:rsidRPr="00172C39">
        <w:rPr>
          <w:rFonts w:cs="Times New Roman"/>
          <w:szCs w:val="24"/>
        </w:rPr>
        <w:t xml:space="preserve"> deliver</w:t>
      </w:r>
      <w:r>
        <w:rPr>
          <w:rFonts w:cs="Times New Roman"/>
          <w:szCs w:val="24"/>
        </w:rPr>
        <w:t>y</w:t>
      </w:r>
      <w:r w:rsidRPr="00172C39">
        <w:rPr>
          <w:rFonts w:cs="Times New Roman"/>
          <w:szCs w:val="24"/>
        </w:rPr>
        <w:t xml:space="preserve"> at minimum cost. </w:t>
      </w:r>
      <w:r w:rsidR="00455598">
        <w:rPr>
          <w:rFonts w:cs="Times New Roman"/>
          <w:szCs w:val="24"/>
        </w:rPr>
        <w:t xml:space="preserve"> </w:t>
      </w:r>
      <w:r w:rsidRPr="00172C39">
        <w:rPr>
          <w:rFonts w:cs="Times New Roman"/>
          <w:szCs w:val="24"/>
        </w:rPr>
        <w:t>The internet and connected devices offer one potential solution to this challenge</w:t>
      </w:r>
      <w:r>
        <w:rPr>
          <w:rFonts w:cs="Times New Roman"/>
          <w:szCs w:val="24"/>
        </w:rPr>
        <w:t xml:space="preserve">, </w:t>
      </w:r>
      <w:r w:rsidRPr="00015934">
        <w:rPr>
          <w:rFonts w:cs="Times New Roman"/>
          <w:noProof/>
          <w:szCs w:val="24"/>
        </w:rPr>
        <w:t>which</w:t>
      </w:r>
      <w:r w:rsidRPr="00083FD3">
        <w:rPr>
          <w:rFonts w:cs="Times New Roman"/>
          <w:noProof/>
          <w:szCs w:val="24"/>
        </w:rPr>
        <w:t xml:space="preserve"> governments</w:t>
      </w:r>
      <w:r w:rsidRPr="00172C39">
        <w:rPr>
          <w:rFonts w:cs="Times New Roman"/>
          <w:szCs w:val="24"/>
        </w:rPr>
        <w:t xml:space="preserve"> have begun to recognise</w:t>
      </w:r>
      <w:r>
        <w:rPr>
          <w:rFonts w:cs="Times New Roman"/>
          <w:szCs w:val="24"/>
        </w:rPr>
        <w:t>,</w:t>
      </w:r>
      <w:r w:rsidRPr="00172C39">
        <w:rPr>
          <w:rFonts w:cs="Times New Roman"/>
          <w:szCs w:val="24"/>
        </w:rPr>
        <w:t xml:space="preserve"> encourag</w:t>
      </w:r>
      <w:r>
        <w:rPr>
          <w:rFonts w:cs="Times New Roman"/>
          <w:szCs w:val="24"/>
        </w:rPr>
        <w:t xml:space="preserve">ing </w:t>
      </w:r>
      <w:r w:rsidRPr="00172C39">
        <w:rPr>
          <w:rFonts w:cs="Times New Roman"/>
          <w:szCs w:val="24"/>
        </w:rPr>
        <w:t>the use of digital services (see Australia’s digital hospital</w:t>
      </w:r>
      <w:r>
        <w:rPr>
          <w:rFonts w:cs="Times New Roman"/>
          <w:szCs w:val="24"/>
        </w:rPr>
        <w:t xml:space="preserve">, </w:t>
      </w:r>
      <w:r>
        <w:rPr>
          <w:rFonts w:cs="Times New Roman"/>
          <w:szCs w:val="24"/>
        </w:rPr>
        <w:fldChar w:fldCharType="begin" w:fldLock="1"/>
      </w:r>
      <w:r w:rsidR="00140546">
        <w:rPr>
          <w:rFonts w:cs="Times New Roman"/>
          <w:szCs w:val="24"/>
        </w:rPr>
        <w:instrText>ADDIN CSL_CITATION {"citationItems":[{"id":"ITEM-1","itemData":{"URL":"http://www.health.gov.au/internet/ministers/publishing.nsf/Content/health-mediarel-yr2014-dutton109.htm","abstract":"Australia’s first hospital with fully integrated, digital eHealth capability has been officially opened.","accessed":{"date-parts":[["2016","9","9"]]},"author":[{"dropping-particle":"","family":"Dutton","given":"Peter","non-dropping-particle":"","parse-names":false,"suffix":""}],"id":"ITEM-1","issued":{"date-parts":[["2014"]]},"language":"en","publisher":"Australian Government Department of Health","title":"Australia’s First Digital Hospital","type":"webpage"},"uris":["http://www.mendeley.com/documents/?uuid=18f7cd41-6e6b-4b8f-bbb0-1f11d3db9a16"]}],"mendeley":{"formattedCitation":"(Dutton, 2014)","manualFormatting":"Dutton, 2014,","plainTextFormattedCitation":"(Dutton, 2014)","previouslyFormattedCitation":"(Dutton, 2014)"},"properties":{"noteIndex":0},"schema":"https://github.com/citation-style-language/schema/raw/master/csl-citation.json"}</w:instrText>
      </w:r>
      <w:r>
        <w:rPr>
          <w:rFonts w:cs="Times New Roman"/>
          <w:szCs w:val="24"/>
        </w:rPr>
        <w:fldChar w:fldCharType="separate"/>
      </w:r>
      <w:r w:rsidRPr="00967ACC">
        <w:rPr>
          <w:rFonts w:cs="Times New Roman"/>
          <w:noProof/>
          <w:szCs w:val="24"/>
        </w:rPr>
        <w:t>Dutton, 2014</w:t>
      </w:r>
      <w:r>
        <w:rPr>
          <w:rFonts w:cs="Times New Roman"/>
          <w:noProof/>
          <w:szCs w:val="24"/>
        </w:rPr>
        <w:t>,</w:t>
      </w:r>
      <w:r>
        <w:rPr>
          <w:rFonts w:cs="Times New Roman"/>
          <w:szCs w:val="24"/>
        </w:rPr>
        <w:fldChar w:fldCharType="end"/>
      </w:r>
      <w:r>
        <w:rPr>
          <w:rFonts w:cs="Times New Roman"/>
          <w:szCs w:val="24"/>
        </w:rPr>
        <w:t xml:space="preserve"> </w:t>
      </w:r>
      <w:r w:rsidRPr="00172C39">
        <w:rPr>
          <w:rFonts w:cs="Times New Roman"/>
          <w:szCs w:val="24"/>
        </w:rPr>
        <w:t>and internet mental health services in Norway and Sweden</w:t>
      </w:r>
      <w:r>
        <w:rPr>
          <w:rFonts w:cs="Times New Roman"/>
          <w:szCs w:val="24"/>
        </w:rPr>
        <w:t>,</w:t>
      </w:r>
      <w:r w:rsidRPr="00172C39">
        <w:rPr>
          <w:rFonts w:cs="Times New Roman"/>
          <w:szCs w:val="24"/>
        </w:rPr>
        <w:t xml:space="preserve"> </w:t>
      </w:r>
      <w:r w:rsidRPr="00172C39">
        <w:rPr>
          <w:rFonts w:cs="Times New Roman"/>
          <w:szCs w:val="24"/>
        </w:rPr>
        <w:fldChar w:fldCharType="begin" w:fldLock="1"/>
      </w:r>
      <w:r w:rsidR="00FE37B5">
        <w:rPr>
          <w:rFonts w:cs="Times New Roman"/>
          <w:szCs w:val="24"/>
        </w:rPr>
        <w:instrText>ADDIN CSL_CITATION {"citationItems":[{"id":"ITEM-1","itemData":{"DOI":"10.1007/s10488-011-0388-2","ISBN":"0894-587X","ISSN":"0894587X","PMID":"22109838","abstract":"Internet-based mental health services increase rapidly. However, national surveys are incomplete and the consequences for such services are poorly discussed. This study describes characteristics of 60 Internet-based mental health services in Norway and Sweden and discusses their social consequences. More than half of the services were offered by voluntary organisations and targeted towards young people. Professionals answered service users' questions in 60% of the services. Eight major themes were identified. These characteristics may indicate a shift in the delivery of mental health services in both countries, and imply changes in the understanding of mental health.","author":[{"dropping-particle":"","family":"Andersen","given":"Anders Johan W","non-dropping-particle":"","parse-names":false,"suffix":""},{"dropping-particle":"","family":"Svensson","given":"Tommy","non-dropping-particle":"","parse-names":false,"suffix":""}],"container-title":"Administration and Policy in Mental Health and Mental Health Services Research","id":"ITEM-1","issued":{"date-parts":[["2013"]]},"page":"145-153","title":"Internet-based mental health services in Norway and Sweden: Characteristics and consequences","type":"article-journal","volume":"40"},"uris":["http://www.mendeley.com/documents/?uuid=704fa96a-0c29-4c77-8b0d-fbddf19370dd"]}],"mendeley":{"formattedCitation":"(Andersen and Svensson, 2013)","manualFormatting":"Andersen and Svensson, 2013)","plainTextFormattedCitation":"(Andersen and Svensson, 2013)","previouslyFormattedCitation":"(Andersen and Svensson, 2013)"},"properties":{"noteIndex":0},"schema":"https://github.com/citation-style-language/schema/raw/master/csl-citation.json"}</w:instrText>
      </w:r>
      <w:r w:rsidRPr="00172C39">
        <w:rPr>
          <w:rFonts w:cs="Times New Roman"/>
          <w:szCs w:val="24"/>
        </w:rPr>
        <w:fldChar w:fldCharType="separate"/>
      </w:r>
      <w:r w:rsidRPr="00967ACC">
        <w:rPr>
          <w:rFonts w:cs="Times New Roman"/>
          <w:noProof/>
          <w:szCs w:val="24"/>
        </w:rPr>
        <w:t>Andersen and Svensson, 2013)</w:t>
      </w:r>
      <w:r w:rsidRPr="00172C39">
        <w:rPr>
          <w:rFonts w:cs="Times New Roman"/>
          <w:szCs w:val="24"/>
        </w:rPr>
        <w:fldChar w:fldCharType="end"/>
      </w:r>
      <w:r w:rsidRPr="00172C39">
        <w:rPr>
          <w:rFonts w:cs="Times New Roman"/>
          <w:szCs w:val="24"/>
        </w:rPr>
        <w:t xml:space="preserve">. </w:t>
      </w:r>
      <w:r w:rsidR="00455598">
        <w:rPr>
          <w:rFonts w:cs="Times New Roman"/>
          <w:szCs w:val="24"/>
        </w:rPr>
        <w:t xml:space="preserve"> </w:t>
      </w:r>
      <w:r w:rsidRPr="00172C39">
        <w:rPr>
          <w:rFonts w:cs="Times New Roman"/>
          <w:szCs w:val="24"/>
        </w:rPr>
        <w:t xml:space="preserve">However, it is unclear to what extent these initial steps are exploiting the digital potential </w:t>
      </w:r>
      <w:r>
        <w:rPr>
          <w:rFonts w:cs="Times New Roman"/>
          <w:szCs w:val="24"/>
        </w:rPr>
        <w:t xml:space="preserve">in some countries. </w:t>
      </w:r>
      <w:r w:rsidRPr="00172C39">
        <w:rPr>
          <w:rFonts w:cs="Times New Roman"/>
          <w:szCs w:val="24"/>
        </w:rPr>
        <w:t xml:space="preserve"> In the UK, according to a survey published in 2014</w:t>
      </w:r>
      <w:r>
        <w:rPr>
          <w:rFonts w:cs="Times New Roman"/>
          <w:szCs w:val="24"/>
        </w:rPr>
        <w:t>,</w:t>
      </w:r>
      <w:r w:rsidRPr="00172C39">
        <w:rPr>
          <w:rFonts w:cs="Times New Roman"/>
          <w:szCs w:val="24"/>
        </w:rPr>
        <w:t xml:space="preserve"> only 2% of the population reported any digitally enabled transaction with the National Health Service (NHS) despite an estimated 59% of UK citizens possessing a smartphone and 84% of adults using the internet</w:t>
      </w:r>
      <w:r>
        <w:rPr>
          <w:rFonts w:cs="Times New Roman"/>
          <w:szCs w:val="24"/>
        </w:rPr>
        <w:t xml:space="preserve"> </w:t>
      </w:r>
      <w:r>
        <w:rPr>
          <w:rFonts w:cs="Times New Roman"/>
          <w:szCs w:val="24"/>
        </w:rPr>
        <w:fldChar w:fldCharType="begin" w:fldLock="1"/>
      </w:r>
      <w:r>
        <w:rPr>
          <w:rFonts w:cs="Times New Roman"/>
          <w:szCs w:val="24"/>
        </w:rPr>
        <w:instrText>ADDIN CSL_CITATION {"citationItems":[{"id":"ITEM-1","itemData":{"URL":"https://www.gov.uk/government/uploads/system/uploads/attachment_data/file/384650/NIB_Report.pdf","author":[{"dropping-particle":"","family":"National Information Board","given":"","non-dropping-particle":"","parse-names":false,"suffix":""}],"id":"ITEM-1","issue":"November","issued":{"date-parts":[["2014"]]},"title":"Personalised Health and Care 2020, Using Data and Technology to Transform Outcomes for Patients and Citizens, A Framework for Action","type":"webpage"},"uris":["http://www.mendeley.com/documents/?uuid=82b9769e-5a21-4ede-acc5-6562d5381ab8"]}],"mendeley":{"formattedCitation":"(National Information Board, 2014)","plainTextFormattedCitation":"(National Information Board, 2014)","previouslyFormattedCitation":"(National Information Board, 2014)"},"properties":{"noteIndex":0},"schema":"https://github.com/citation-style-language/schema/raw/master/csl-citation.json"}</w:instrText>
      </w:r>
      <w:r>
        <w:rPr>
          <w:rFonts w:cs="Times New Roman"/>
          <w:szCs w:val="24"/>
        </w:rPr>
        <w:fldChar w:fldCharType="separate"/>
      </w:r>
      <w:r w:rsidRPr="00967ACC">
        <w:rPr>
          <w:rFonts w:cs="Times New Roman"/>
          <w:noProof/>
          <w:szCs w:val="24"/>
        </w:rPr>
        <w:t>(National Information Board, 2014)</w:t>
      </w:r>
      <w:r>
        <w:rPr>
          <w:rFonts w:cs="Times New Roman"/>
          <w:szCs w:val="24"/>
        </w:rPr>
        <w:fldChar w:fldCharType="end"/>
      </w:r>
      <w:r w:rsidRPr="00172C39">
        <w:rPr>
          <w:rFonts w:cs="Times New Roman"/>
          <w:szCs w:val="24"/>
        </w:rPr>
        <w:t>.</w:t>
      </w:r>
      <w:r>
        <w:rPr>
          <w:rFonts w:cs="Times New Roman"/>
          <w:szCs w:val="24"/>
        </w:rPr>
        <w:t xml:space="preserve">  </w:t>
      </w:r>
      <w:r>
        <w:t xml:space="preserve">Older adult internet users aged 65 and over are most likely to agree that the benefits of </w:t>
      </w:r>
      <w:r w:rsidRPr="00083FD3">
        <w:rPr>
          <w:noProof/>
        </w:rPr>
        <w:t>being online outweigh</w:t>
      </w:r>
      <w:r>
        <w:rPr>
          <w:noProof/>
        </w:rPr>
        <w:t>ed</w:t>
      </w:r>
      <w:r>
        <w:t xml:space="preserve"> any disadvantages and </w:t>
      </w:r>
      <w:r>
        <w:rPr>
          <w:rFonts w:cs="Times New Roman"/>
          <w:szCs w:val="24"/>
        </w:rPr>
        <w:t xml:space="preserve">an estimated 86% of older adults </w:t>
      </w:r>
      <w:r>
        <w:t xml:space="preserve">aged 75 and over have access to a mobile phone </w:t>
      </w:r>
      <w:r>
        <w:fldChar w:fldCharType="begin" w:fldLock="1"/>
      </w:r>
      <w:r>
        <w:instrText>ADDIN CSL_CITATION {"citationItems":[{"id":"ITEM-1","itemData":{"DOI":"10.1016/j.csi.2015.08.004","ISBN":"9781450327688","ISSN":"09758887","PMID":"25246403","abstract":"There has been a significant increase in the self-reported volume of internet use since 2011. Overall estimated weekly volume of use of the internet among users has increased to an average of just under 17 hours per week (16.8 vs. 15.1 hours in 2011). Over half (53%) of UK adults now use a mobile phone to go online, rising to 86% among smartphone users, and more than one in ten use a tablet computer (16%), games console/ player (16%), or a portable media player (12%), all significant increases since 2011. On average, UK adult internet users claim to visit 19 websites in a typical week. There are considerable differences between demographic groups; for example, those over 75 estimate that they visit on average seven websites and ‘narrow users’ 1 six. This compares to people in AB households, and men, who estimate that they visit on average 27 and 24 respectively. Some 22% UK adult internet users say they visit fewer than five websites in a typical week.","author":[{"dropping-particle":"","family":"Ofcom","given":"","non-dropping-particle":"","parse-names":false,"suffix":""}],"id":"ITEM-1","issue":"April","issued":{"date-parts":[["2016"]]},"page":"182","title":"Adults’ media use and attitudes report","type":"article-journal"},"uris":["http://www.mendeley.com/documents/?uuid=70e95cfd-0e6f-3611-9088-ce6d7e044ec7"]}],"mendeley":{"formattedCitation":"(Ofcom, 2016)","plainTextFormattedCitation":"(Ofcom, 2016)","previouslyFormattedCitation":"(Ofcom, 2016)"},"properties":{"noteIndex":0},"schema":"https://github.com/citation-style-language/schema/raw/master/csl-citation.json"}</w:instrText>
      </w:r>
      <w:r>
        <w:fldChar w:fldCharType="separate"/>
      </w:r>
      <w:r w:rsidRPr="00842E19">
        <w:rPr>
          <w:noProof/>
        </w:rPr>
        <w:t>(Ofcom, 2016)</w:t>
      </w:r>
      <w:r>
        <w:fldChar w:fldCharType="end"/>
      </w:r>
      <w:r>
        <w:t>.</w:t>
      </w:r>
      <w:r w:rsidR="00455598">
        <w:t xml:space="preserve"> </w:t>
      </w:r>
      <w:r>
        <w:t xml:space="preserve"> </w:t>
      </w:r>
      <w:r w:rsidRPr="00172C39">
        <w:rPr>
          <w:rFonts w:cs="Times New Roman"/>
          <w:szCs w:val="24"/>
        </w:rPr>
        <w:t>In England</w:t>
      </w:r>
      <w:r>
        <w:rPr>
          <w:rFonts w:cs="Times New Roman"/>
          <w:szCs w:val="24"/>
        </w:rPr>
        <w:t>,</w:t>
      </w:r>
      <w:r w:rsidRPr="00172C39">
        <w:rPr>
          <w:rFonts w:cs="Times New Roman"/>
          <w:szCs w:val="24"/>
        </w:rPr>
        <w:t xml:space="preserve"> the under-use of digital platforms in the NHS has been recognised </w:t>
      </w:r>
      <w:r>
        <w:rPr>
          <w:rFonts w:cs="Times New Roman"/>
          <w:szCs w:val="24"/>
        </w:rPr>
        <w:t>by</w:t>
      </w:r>
      <w:r w:rsidRPr="00172C39">
        <w:rPr>
          <w:rFonts w:cs="Times New Roman"/>
          <w:szCs w:val="24"/>
        </w:rPr>
        <w:t xml:space="preserve"> the publication of a five-year plan to reshape care delivery and utilise technology in the delivery of all kinds of </w:t>
      </w:r>
      <w:r w:rsidRPr="00083FD3">
        <w:rPr>
          <w:rFonts w:cs="Times New Roman"/>
          <w:noProof/>
          <w:szCs w:val="24"/>
        </w:rPr>
        <w:t>healthcare</w:t>
      </w:r>
      <w:r w:rsidRPr="00172C39">
        <w:rPr>
          <w:rFonts w:cs="Times New Roman"/>
          <w:szCs w:val="24"/>
        </w:rPr>
        <w:t xml:space="preserve"> </w:t>
      </w:r>
      <w:r w:rsidRPr="00172C39">
        <w:rPr>
          <w:rFonts w:cs="Times New Roman"/>
          <w:szCs w:val="24"/>
        </w:rPr>
        <w:fldChar w:fldCharType="begin" w:fldLock="1"/>
      </w:r>
      <w:r>
        <w:rPr>
          <w:rFonts w:cs="Times New Roman"/>
          <w:szCs w:val="24"/>
        </w:rPr>
        <w:instrText>ADDIN CSL_CITATION {"citationItems":[{"id":"ITEM-1","itemData":{"URL":"https://www.england.nhs.uk/wp-content/uploads/2014/10/5yfv-web.pdf","accessed":{"date-parts":[["2016","9","9"]]},"author":[{"dropping-particle":"","family":"NHS England","given":"","non-dropping-particle":"","parse-names":false,"suffix":""}],"id":"ITEM-1","issued":{"date-parts":[["2014"]]},"title":"Five year forward view","type":"webpage"},"uris":["http://www.mendeley.com/documents/?uuid=519b3100-0903-4661-b201-7be2a691494e"]}],"mendeley":{"formattedCitation":"(NHS England, 2014)","plainTextFormattedCitation":"(NHS England, 2014)","previouslyFormattedCitation":"(NHS England, 2014)"},"properties":{"noteIndex":0},"schema":"https://github.com/citation-style-language/schema/raw/master/csl-citation.json"}</w:instrText>
      </w:r>
      <w:r w:rsidRPr="00172C39">
        <w:rPr>
          <w:rFonts w:cs="Times New Roman"/>
          <w:szCs w:val="24"/>
        </w:rPr>
        <w:fldChar w:fldCharType="separate"/>
      </w:r>
      <w:r w:rsidRPr="00967ACC">
        <w:rPr>
          <w:rFonts w:cs="Times New Roman"/>
          <w:noProof/>
          <w:szCs w:val="24"/>
        </w:rPr>
        <w:t>(NHS England, 2014)</w:t>
      </w:r>
      <w:r w:rsidRPr="00172C39">
        <w:rPr>
          <w:rFonts w:cs="Times New Roman"/>
          <w:szCs w:val="24"/>
        </w:rPr>
        <w:fldChar w:fldCharType="end"/>
      </w:r>
      <w:r w:rsidRPr="00172C39">
        <w:rPr>
          <w:rFonts w:cs="Times New Roman"/>
          <w:szCs w:val="24"/>
        </w:rPr>
        <w:t>.</w:t>
      </w:r>
      <w:r w:rsidRPr="005E3EA0">
        <w:rPr>
          <w:rFonts w:cs="Times New Roman"/>
          <w:szCs w:val="24"/>
        </w:rPr>
        <w:t xml:space="preserve"> </w:t>
      </w:r>
      <w:r>
        <w:rPr>
          <w:rFonts w:cs="Times New Roman"/>
          <w:szCs w:val="24"/>
        </w:rPr>
        <w:t xml:space="preserve"> Older adults warrant particular attention, however</w:t>
      </w:r>
      <w:r w:rsidR="00C6021E">
        <w:rPr>
          <w:rFonts w:cs="Times New Roman"/>
          <w:szCs w:val="24"/>
        </w:rPr>
        <w:t>,</w:t>
      </w:r>
      <w:r>
        <w:rPr>
          <w:rFonts w:cs="Times New Roman"/>
          <w:szCs w:val="24"/>
        </w:rPr>
        <w:t xml:space="preserve"> as a</w:t>
      </w:r>
      <w:r>
        <w:t xml:space="preserve">round two in five indicate having a health condition that makes reading difficult or challenging to them or that they have a disability, handicap or chronic condition that makes it unfeasible for them to participate in many general daily activities which could include using technology </w:t>
      </w:r>
      <w:r>
        <w:fldChar w:fldCharType="begin" w:fldLock="1"/>
      </w:r>
      <w:r>
        <w:instrText>ADDIN CSL_CITATION {"citationItems":[{"id":"ITEM-1","itemData":{"DOI":"202.419.4500","abstract":"America’s seniors have historically been late adopters to the world of technology compared to their younger compatriots, but their movement into digital life continues to deepen, according to newly released data from the Pew Research Center. In this report, we take advantage of a particularly large survey to conduct a unique exploration not only of technology use between Americans ages 65 or older and the rest of the population, but within the senior population as well.","author":[{"dropping-particle":"","family":"Smith","given":"Aaron","non-dropping-particle":"","parse-names":false,"suffix":""}],"container-title":"Pew Research Center","id":"ITEM-1","issue":"April","issued":{"date-parts":[["2014"]]},"page":"1-26","title":"Older Adults and Technology Use","type":"article-journal"},"uris":["http://www.mendeley.com/documents/?uuid=4e8d47f9-76d8-49cc-acf6-6b60edfb8c25"]}],"mendeley":{"formattedCitation":"(Smith, 2014)","plainTextFormattedCitation":"(Smith, 2014)","previouslyFormattedCitation":"(Smith, 2014)"},"properties":{"noteIndex":0},"schema":"https://github.com/citation-style-language/schema/raw/master/csl-citation.json"}</w:instrText>
      </w:r>
      <w:r>
        <w:fldChar w:fldCharType="separate"/>
      </w:r>
      <w:r>
        <w:rPr>
          <w:noProof/>
        </w:rPr>
        <w:t>(Smith, 2014)</w:t>
      </w:r>
      <w:r>
        <w:fldChar w:fldCharType="end"/>
      </w:r>
      <w:r>
        <w:rPr>
          <w:rFonts w:cs="Times New Roman"/>
          <w:szCs w:val="24"/>
        </w:rPr>
        <w:t>.</w:t>
      </w:r>
    </w:p>
    <w:p w14:paraId="55012794" w14:textId="1E4071D6" w:rsidR="00E30483" w:rsidRPr="00172C39" w:rsidRDefault="00E30483" w:rsidP="00E30483">
      <w:pPr>
        <w:rPr>
          <w:rFonts w:cs="Times New Roman"/>
          <w:szCs w:val="24"/>
        </w:rPr>
      </w:pPr>
      <w:r w:rsidRPr="00172C39">
        <w:rPr>
          <w:rFonts w:cs="Times New Roman"/>
          <w:szCs w:val="24"/>
        </w:rPr>
        <w:t xml:space="preserve">The current </w:t>
      </w:r>
      <w:r>
        <w:rPr>
          <w:rFonts w:cs="Times New Roman"/>
          <w:szCs w:val="24"/>
        </w:rPr>
        <w:t>chapter</w:t>
      </w:r>
      <w:r w:rsidRPr="00172C39">
        <w:rPr>
          <w:rFonts w:cs="Times New Roman"/>
          <w:szCs w:val="24"/>
        </w:rPr>
        <w:t xml:space="preserve"> focuses on </w:t>
      </w:r>
      <w:r>
        <w:rPr>
          <w:rFonts w:cs="Times New Roman"/>
          <w:szCs w:val="24"/>
        </w:rPr>
        <w:t xml:space="preserve">the delivery of </w:t>
      </w:r>
      <w:r w:rsidRPr="00172C39">
        <w:rPr>
          <w:rFonts w:cs="Times New Roman"/>
          <w:szCs w:val="24"/>
        </w:rPr>
        <w:t xml:space="preserve">e-therapy in England, where the landscape of digital mental health service provision is not well delineated. </w:t>
      </w:r>
      <w:r w:rsidR="00455598">
        <w:rPr>
          <w:rFonts w:cs="Times New Roman"/>
          <w:szCs w:val="24"/>
        </w:rPr>
        <w:t xml:space="preserve"> </w:t>
      </w:r>
      <w:r w:rsidRPr="00172C39">
        <w:rPr>
          <w:rFonts w:cs="Times New Roman"/>
          <w:szCs w:val="24"/>
        </w:rPr>
        <w:t xml:space="preserve">This can be attributed to several factors: inadequate reporting; changing service recommendations; nationwide reorganisations of service </w:t>
      </w:r>
      <w:r w:rsidRPr="00083FD3">
        <w:rPr>
          <w:rFonts w:cs="Times New Roman"/>
          <w:noProof/>
          <w:szCs w:val="24"/>
        </w:rPr>
        <w:t>provision</w:t>
      </w:r>
      <w:r w:rsidRPr="00172C39">
        <w:rPr>
          <w:rFonts w:cs="Times New Roman"/>
          <w:szCs w:val="24"/>
        </w:rPr>
        <w:t xml:space="preserve"> infrastructure; and the rapid development and growth of the digital sphere itself.</w:t>
      </w:r>
      <w:r w:rsidR="00455598">
        <w:rPr>
          <w:rFonts w:cs="Times New Roman"/>
          <w:szCs w:val="24"/>
        </w:rPr>
        <w:t xml:space="preserve"> </w:t>
      </w:r>
      <w:r w:rsidRPr="00172C39">
        <w:rPr>
          <w:rFonts w:cs="Times New Roman"/>
          <w:szCs w:val="24"/>
        </w:rPr>
        <w:t xml:space="preserve"> What is clear, though, is the increasing need for such services: a 2014 survey suggested that one in ten people in England wait more than a year for mental health </w:t>
      </w:r>
      <w:r>
        <w:rPr>
          <w:rFonts w:cs="Times New Roman"/>
          <w:szCs w:val="24"/>
        </w:rPr>
        <w:t xml:space="preserve">assessment </w:t>
      </w:r>
      <w:r>
        <w:rPr>
          <w:rFonts w:cs="Times New Roman"/>
          <w:szCs w:val="24"/>
        </w:rPr>
        <w:fldChar w:fldCharType="begin" w:fldLock="1"/>
      </w:r>
      <w:r>
        <w:rPr>
          <w:rFonts w:cs="Times New Roman"/>
          <w:szCs w:val="24"/>
        </w:rPr>
        <w:instrText>ADDIN CSL_CITATION {"citationItems":[{"id":"ITEM-1","itemData":{"author":[{"dropping-particle":"","family":"We Need to Talk coalition","given":"","non-dropping-particle":"","parse-names":false,"suffix":""}],"id":"ITEM-1","issued":{"date-parts":[["2013"]]},"number-of-pages":"38","title":"We still need to talk: a report on access to talking therapies","type":"report"},"uris":["http://www.mendeley.com/documents/?uuid=d2560b90-709f-42eb-aadb-58c9dfc6842a"]}],"mendeley":{"formattedCitation":"(We Need to Talk coalition, 2013)","plainTextFormattedCitation":"(We Need to Talk coalition, 2013)","previouslyFormattedCitation":"(We Need to Talk coalition, 2013)"},"properties":{"noteIndex":0},"schema":"https://github.com/citation-style-language/schema/raw/master/csl-citation.json"}</w:instrText>
      </w:r>
      <w:r>
        <w:rPr>
          <w:rFonts w:cs="Times New Roman"/>
          <w:szCs w:val="24"/>
        </w:rPr>
        <w:fldChar w:fldCharType="separate"/>
      </w:r>
      <w:r w:rsidRPr="00967ACC">
        <w:rPr>
          <w:rFonts w:cs="Times New Roman"/>
          <w:noProof/>
          <w:szCs w:val="24"/>
        </w:rPr>
        <w:t>(We Need to Talk coalition, 2013)</w:t>
      </w:r>
      <w:r>
        <w:rPr>
          <w:rFonts w:cs="Times New Roman"/>
          <w:szCs w:val="24"/>
        </w:rPr>
        <w:fldChar w:fldCharType="end"/>
      </w:r>
      <w:r w:rsidRPr="00172C39">
        <w:rPr>
          <w:rFonts w:cs="Times New Roman"/>
          <w:szCs w:val="24"/>
        </w:rPr>
        <w:t>, and in the UK as a whole it is estimated that by 2030 there will be 2 million more adu</w:t>
      </w:r>
      <w:r w:rsidR="00455598">
        <w:rPr>
          <w:rFonts w:cs="Times New Roman"/>
          <w:szCs w:val="24"/>
        </w:rPr>
        <w:t>lts with mental health problems</w:t>
      </w:r>
      <w:r w:rsidRPr="00172C39">
        <w:rPr>
          <w:rFonts w:cs="Times New Roman"/>
          <w:szCs w:val="24"/>
        </w:rPr>
        <w:t xml:space="preserve"> </w:t>
      </w:r>
      <w:r w:rsidRPr="00172C39">
        <w:rPr>
          <w:rFonts w:cs="Times New Roman"/>
          <w:szCs w:val="24"/>
        </w:rPr>
        <w:fldChar w:fldCharType="begin" w:fldLock="1"/>
      </w:r>
      <w:r>
        <w:rPr>
          <w:rFonts w:cs="Times New Roman"/>
          <w:szCs w:val="24"/>
        </w:rPr>
        <w:instrText>ADDIN CSL_CITATION {"citationItems":[{"id":"ITEM-1","itemData":{"URL":"http://www.nhsconfed.org/~/media/Confederation/Files/Publications/Documents/the-futures-digital.pdf","author":[{"dropping-particle":"","family":"Mental Health Network","given":"","non-dropping-particle":"","parse-names":false,"suffix":""}],"id":"ITEM-1","issued":{"date-parts":[["2014"]]},"title":"The future's digital Mental health and technology","type":"webpage"},"uris":["http://www.mendeley.com/documents/?uuid=d56ec986-ad31-4157-a867-cd8af2a90f7f"]}],"mendeley":{"formattedCitation":"(Mental Health Network, 2014)","plainTextFormattedCitation":"(Mental Health Network, 2014)","previouslyFormattedCitation":"(Mental Health Network, 2014)"},"properties":{"noteIndex":0},"schema":"https://github.com/citation-style-language/schema/raw/master/csl-citation.json"}</w:instrText>
      </w:r>
      <w:r w:rsidRPr="00172C39">
        <w:rPr>
          <w:rFonts w:cs="Times New Roman"/>
          <w:szCs w:val="24"/>
        </w:rPr>
        <w:fldChar w:fldCharType="separate"/>
      </w:r>
      <w:r w:rsidRPr="00967ACC">
        <w:rPr>
          <w:rFonts w:cs="Times New Roman"/>
          <w:noProof/>
          <w:szCs w:val="24"/>
        </w:rPr>
        <w:t>(Mental Health Network, 2014)</w:t>
      </w:r>
      <w:r w:rsidRPr="00172C39">
        <w:rPr>
          <w:rFonts w:cs="Times New Roman"/>
          <w:szCs w:val="24"/>
        </w:rPr>
        <w:fldChar w:fldCharType="end"/>
      </w:r>
      <w:r>
        <w:rPr>
          <w:rFonts w:cs="Times New Roman"/>
          <w:szCs w:val="24"/>
        </w:rPr>
        <w:t xml:space="preserve">.  </w:t>
      </w:r>
      <w:r>
        <w:rPr>
          <w:noProof/>
        </w:rPr>
        <w:t>S</w:t>
      </w:r>
      <w:r w:rsidRPr="00026589">
        <w:rPr>
          <w:noProof/>
        </w:rPr>
        <w:t xml:space="preserve">tatistics </w:t>
      </w:r>
      <w:r>
        <w:rPr>
          <w:noProof/>
        </w:rPr>
        <w:t xml:space="preserve">indicate that </w:t>
      </w:r>
      <w:r w:rsidRPr="00026589">
        <w:rPr>
          <w:noProof/>
        </w:rPr>
        <w:t>between 8% and 10% of those aged over 60 experienc</w:t>
      </w:r>
      <w:r>
        <w:rPr>
          <w:noProof/>
        </w:rPr>
        <w:t>e</w:t>
      </w:r>
      <w:r w:rsidRPr="00026589">
        <w:rPr>
          <w:noProof/>
        </w:rPr>
        <w:t xml:space="preserve"> clinically significant symptoms of </w:t>
      </w:r>
      <w:r w:rsidR="00455598">
        <w:rPr>
          <w:noProof/>
        </w:rPr>
        <w:t>a mental health issue</w:t>
      </w:r>
      <w:r w:rsidRPr="00026589">
        <w:rPr>
          <w:noProof/>
        </w:rPr>
        <w:t xml:space="preserve"> </w:t>
      </w:r>
      <w:r w:rsidRPr="00026589">
        <w:rPr>
          <w:noProof/>
        </w:rPr>
        <w:fldChar w:fldCharType="begin" w:fldLock="1"/>
      </w:r>
      <w:r>
        <w:rPr>
          <w:noProof/>
        </w:rPr>
        <w:instrText>ADDIN CSL_CITATION {"citationItems":[{"id":"ITEM-1","itemData":{"DOI":"10.1016/j.jad.2008.08.014","ISBN":"0165-0327","ISSN":"01650327","PMID":"18817976","abstract":"Objective: To estimate the prevalence of depression among older adults in Australia. Method: All general practitioners in Australia's five most populous states who satisfied certain eligibility criteria (e.g., sufficient weekly working hours, sufficient numbers of elderly patients) were invited to participate. Those who consented were asked to identify all of their patients aged 60+ and invite them (either directly or via the study team) to complete a questionnaire. The questionnaire identified those who had experienced 'clinically significant depression' and those who had experienced a 'major depressive episode' in the past two weeks, via the Patient Health Questionnaire (PHQ-9). Consenting patients completed the questionnaire and returned it to the study team in a reply-paid envelope. Results: In total, 22,251 patients returned questionnaires. Overall, the age-adjusted rate of clinically significant depression was 8.2% (95%CI = 7.8%-8.6%), with the age-adjusted rates for males being 8.6% (95%CI = 7.9%-9.2%) and for females being 7.9% (95%CI = 7.4%-8.4%). The overall, male and female age-adjusted rates for a major depressive episode were 1.8% (95%CI = 1.6%-2.0%), 1.9% (95%CI = 1.6%-2.2%) and 1.7% (95%CI = 1.5%-2.0%), respectively. Discussion: Our study suggests that depression among older people is a major public health problem. The above estimates provide guidance for efficient planning of services, and establish a baseline against which preventive and treatment interventions can be assessed. Armed with this information, we can progress efforts at reducing this major health problem and its consequences. ?? 2008 Elsevier B.V. All rights reserved.","author":[{"dropping-particle":"","family":"Pirkis","given":"Jane","non-dropping-particle":"","parse-names":false,"suffix":""},{"dropping-particle":"","family":"Pfaff","given":"Jon","non-dropping-particle":"","parse-names":false,"suffix":""},{"dropping-particle":"","family":"Williamson","given":"Michelle","non-dropping-particle":"","parse-names":false,"suffix":""},{"dropping-particle":"","family":"Tyson","given":"Orla","non-dropping-particle":"","parse-names":false,"suffix":""},{"dropping-particle":"","family":"Stocks","given":"Nigel","non-dropping-particle":"","parse-names":false,"suffix":""},{"dropping-particle":"","family":"Goldney","given":"Robert","non-dropping-particle":"","parse-names":false,"suffix":""},{"dropping-particle":"","family":"Draper","given":"Brian","non-dropping-particle":"","parse-names":false,"suffix":""},{"dropping-particle":"","family":"Snowdon","given":"John","non-dropping-particle":"","parse-names":false,"suffix":""},{"dropping-particle":"","family":"Lautenschlager","given":"Nicola","non-dropping-particle":"","parse-names":false,"suffix":""},{"dropping-particle":"","family":"Almeida","given":"Osvaldo P.","non-dropping-particle":"","parse-names":false,"suffix":""}],"container-title":"Journal of Affective Disorders","id":"ITEM-1","issue":"1-2","issued":{"date-parts":[["2009"]]},"language":"English","page":"54-61","title":"The community prevalence of depression in older Australians","type":"article-journal","volume":"115"},"uris":["http://www.mendeley.com/documents/?uuid=b10446fe-17dc-4dba-8194-994b174e4fbe"]}],"mendeley":{"formattedCitation":"(Pirkis &lt;i&gt;et al.&lt;/i&gt;, 2009)","plainTextFormattedCitation":"(Pirkis et al., 2009)","previouslyFormattedCitation":"(Pirkis &lt;i&gt;et al.&lt;/i&gt;, 2009)"},"properties":{"noteIndex":0},"schema":"https://github.com/citation-style-language/schema/raw/master/csl-citation.json"}</w:instrText>
      </w:r>
      <w:r w:rsidRPr="00026589">
        <w:rPr>
          <w:noProof/>
        </w:rPr>
        <w:fldChar w:fldCharType="separate"/>
      </w:r>
      <w:r w:rsidRPr="00026589">
        <w:rPr>
          <w:noProof/>
        </w:rPr>
        <w:t xml:space="preserve">(Pirkis </w:t>
      </w:r>
      <w:r w:rsidRPr="00026589">
        <w:rPr>
          <w:i/>
          <w:noProof/>
        </w:rPr>
        <w:t>et al.</w:t>
      </w:r>
      <w:r w:rsidRPr="00026589">
        <w:rPr>
          <w:noProof/>
        </w:rPr>
        <w:t>, 2009)</w:t>
      </w:r>
      <w:r w:rsidRPr="00026589">
        <w:rPr>
          <w:noProof/>
        </w:rPr>
        <w:fldChar w:fldCharType="end"/>
      </w:r>
      <w:r w:rsidRPr="00172C39">
        <w:rPr>
          <w:rFonts w:cs="Times New Roman"/>
          <w:szCs w:val="24"/>
        </w:rPr>
        <w:t xml:space="preserve">.  E-therapy </w:t>
      </w:r>
      <w:r>
        <w:rPr>
          <w:rFonts w:cs="Times New Roman"/>
          <w:szCs w:val="24"/>
        </w:rPr>
        <w:t>has</w:t>
      </w:r>
      <w:r w:rsidRPr="00172C39">
        <w:rPr>
          <w:rFonts w:cs="Times New Roman"/>
          <w:szCs w:val="24"/>
        </w:rPr>
        <w:t xml:space="preserve"> the potential to reduce waiting lists, make treatment more </w:t>
      </w:r>
      <w:r w:rsidRPr="00083FD3">
        <w:rPr>
          <w:rFonts w:cs="Times New Roman"/>
          <w:noProof/>
          <w:szCs w:val="24"/>
        </w:rPr>
        <w:t>cost</w:t>
      </w:r>
      <w:r>
        <w:rPr>
          <w:rFonts w:cs="Times New Roman"/>
          <w:noProof/>
          <w:szCs w:val="24"/>
        </w:rPr>
        <w:t>-</w:t>
      </w:r>
      <w:r w:rsidRPr="00083FD3">
        <w:rPr>
          <w:rFonts w:cs="Times New Roman"/>
          <w:noProof/>
          <w:szCs w:val="24"/>
        </w:rPr>
        <w:t>effective</w:t>
      </w:r>
      <w:r w:rsidRPr="00172C39">
        <w:rPr>
          <w:rFonts w:cs="Times New Roman"/>
          <w:szCs w:val="24"/>
        </w:rPr>
        <w:t xml:space="preserve">, reduce the time and expense of travel, stimulate self-management </w:t>
      </w:r>
      <w:r w:rsidRPr="00172C39">
        <w:rPr>
          <w:rFonts w:cs="Times New Roman"/>
          <w:szCs w:val="24"/>
        </w:rPr>
        <w:fldChar w:fldCharType="begin" w:fldLock="1"/>
      </w:r>
      <w:r w:rsidR="003E44DA">
        <w:rPr>
          <w:rFonts w:cs="Times New Roman"/>
          <w:szCs w:val="24"/>
        </w:rPr>
        <w:instrText>ADDIN CSL_CITATION {"citationItems":[{"id":"ITEM-1","itemData":{"DOI":"10.1192/bjp.183.1.57","ISBN":"0007-1250 (Print)","ISSN":"00071250","PMID":"12835245","abstract":"BACKGROUND: Most anxiety/depression is not effectively treated. Aims Open evaluation of a free clinic giving immediate computer-aided cognitive-behavioural therapy (CBT) self-help plus brief advice from a therapist. METHOD: Test of outcome of self-referrals who used one of four computer-aided CBT systems for depression, phobia/panic, general anxiety or obsessive-compulsive disorder. RESULTS: The equivalent of one full-time clinician managed 355 referrals over a year. Of the 266 who had a screening interview 79% were suitable. Completers and non-completers of computer-aided CBT had similar pre-treatment features, with very chronic, moderately severe problems. Completers of the computer-aided self-help had a mean total of an hour's live therapist support over 12 weeks. They improved significantly and clinically meaningfully with three of the four systems and felt 'fairly satisfied'. Improvement resembled that in controlled and other trials of computer-aided CBT. CONCLUSIONS: Computer-aided self-help is a 'clinician extender'that greatly cuts per-patient therapist time without impairing improvement. It could reduce the per-patient cost of CBT.","author":[{"dropping-particle":"","family":"Marks","given":"Isaac M.","non-dropping-particle":"","parse-names":false,"suffix":""},{"dropping-particle":"","family":"Mataix-Cols","given":"David","non-dropping-particle":"","parse-names":false,"suffix":""},{"dropping-particle":"","family":"Kenwright","given":"Mark","non-dropping-particle":"","parse-names":false,"suffix":""},{"dropping-particle":"","family":"Cameron","given":"Rachel","non-dropping-particle":"","parse-names":false,"suffix":""},{"dropping-particle":"","family":"Hirsch","given":"Steven","non-dropping-particle":"","parse-names":false,"suffix":""},{"dropping-particle":"","family":"Gega","given":"Lina","non-dropping-particle":"","parse-names":false,"suffix":""}],"container-title":"British Journal of Psychiatry","id":"ITEM-1","issue":"JULY","issued":{"date-parts":[["2003"]]},"page":"57-65","title":"Pragmatic evaluation of computer-aided self-help for anxiety and depression","type":"article-journal","volume":"183"},"uris":["http://www.mendeley.com/documents/?uuid=7bd9bb40-fd64-46cc-ba1c-c34a6a71eb15"]},{"id":"ITEM-2","itemData":{"DOI":"http://dx.doi.org/10.5944/rppc.vol.19.num.3.2014.13902","author":[{"dropping-particle":"","family":"Cuijpers","given":"P.","non-dropping-particle":"","parse-names":false,"suffix":""},{"dropping-particle":"","family":"Riper","given":"H.","non-dropping-particle":"","parse-names":false,"suffix":""}],"container-title":"Revista de Psicopatología y Psicología Clínica","id":"ITEM-2","issued":{"date-parts":[["2014"]]},"page":"209-216","title":"Internet interventions for depressive disorders : An overview","type":"article-journal","volume":"19"},"uris":["http://www.mendeley.com/documents/?uuid=ca37cb4d-0a9c-4304-a28f-56793c7c4e1d","http://www.mendeley.com/documents/?uuid=963df65e-e333-4a81-9451-1a0f47182393"]}],"mendeley":{"formattedCitation":"(Marks &lt;i&gt;et al.&lt;/i&gt;, 2003; P. Cuijpers and Riper, 2014)","plainTextFormattedCitation":"(Marks et al., 2003; P. Cuijpers and Riper, 2014)","previouslyFormattedCitation":"(Marks &lt;i&gt;et al.&lt;/i&gt;, 2003; P. Cuijpers and Riper, 2014)"},"properties":{"noteIndex":0},"schema":"https://github.com/citation-style-language/schema/raw/master/csl-citation.json"}</w:instrText>
      </w:r>
      <w:r w:rsidRPr="00172C39">
        <w:rPr>
          <w:rFonts w:cs="Times New Roman"/>
          <w:szCs w:val="24"/>
        </w:rPr>
        <w:fldChar w:fldCharType="separate"/>
      </w:r>
      <w:r w:rsidR="003E44DA" w:rsidRPr="003E44DA">
        <w:rPr>
          <w:rFonts w:cs="Times New Roman"/>
          <w:noProof/>
          <w:szCs w:val="24"/>
        </w:rPr>
        <w:t xml:space="preserve">(Marks </w:t>
      </w:r>
      <w:r w:rsidR="003E44DA" w:rsidRPr="003E44DA">
        <w:rPr>
          <w:rFonts w:cs="Times New Roman"/>
          <w:i/>
          <w:noProof/>
          <w:szCs w:val="24"/>
        </w:rPr>
        <w:t>et al.</w:t>
      </w:r>
      <w:r w:rsidR="003E44DA" w:rsidRPr="003E44DA">
        <w:rPr>
          <w:rFonts w:cs="Times New Roman"/>
          <w:noProof/>
          <w:szCs w:val="24"/>
        </w:rPr>
        <w:t>, 2003; P. Cuijpers and Riper, 2014)</w:t>
      </w:r>
      <w:r w:rsidRPr="00172C39">
        <w:rPr>
          <w:rFonts w:cs="Times New Roman"/>
          <w:szCs w:val="24"/>
        </w:rPr>
        <w:fldChar w:fldCharType="end"/>
      </w:r>
      <w:r w:rsidRPr="00172C39">
        <w:rPr>
          <w:rFonts w:cs="Times New Roman"/>
          <w:szCs w:val="24"/>
        </w:rPr>
        <w:t xml:space="preserve"> and decrease the workload of mental health professionals </w:t>
      </w:r>
      <w:r w:rsidRPr="00172C39">
        <w:rPr>
          <w:rFonts w:cs="Times New Roman"/>
          <w:szCs w:val="24"/>
        </w:rPr>
        <w:fldChar w:fldCharType="begin" w:fldLock="1"/>
      </w:r>
      <w:r>
        <w:rPr>
          <w:rFonts w:cs="Times New Roman"/>
          <w:szCs w:val="24"/>
        </w:rPr>
        <w:instrText>ADDIN CSL_CITATION {"citationItems":[{"id":"ITEM-1","itemData":{"DOI":"10.1080/00048670601109873","ISBN":"0004-8674","ISSN":"00048674","PMID":"17464688","abstract":"A growing body of evidence supports the efficacy of computerized cognitive behavioural therapy (CCBT). This technology has the potential to increase the capacity of mental health services, and to overcome some of the barriers to accessing mental health services, including stigma, traveling time for rural patients, treatment delays, and the low availability of skilled clinicians. This review discusses key issues around the implementation of CCBT in current mental health services, and summarizes recent evidence for the efficacy of CCBT in anxiety and depression. Many CCBT systems exist, and the evidence for each varies in quality and quantity. It is concluded that CCBT, particularly guided by a therapist, represents a promising resource. However, considerable work needs to be done to develop CCBT techniques that are appropriate to Australasian populations, acceptable to patients and clinicians, easy to use, and are clinically and cost effective. Suggestions are made for further research and useful website addresses are provided to assist clinicians in familiarizing themselves with CCBT","author":[{"dropping-particle":"","family":"Titov","given":"Nickolai","non-dropping-particle":"","parse-names":false,"suffix":""}],"container-title":"Australian and New Zealand Journal of Psychiatry","id":"ITEM-1","issue":"2","issued":{"date-parts":[["2007","2"]]},"page":"95-114","title":"Status of computerized cognitive behavioural therapy for adults","type":"article-journal","volume":"41"},"uris":["http://www.mendeley.com/documents/?uuid=e2791a05-74d3-4d3d-91be-e5777e9030df"]},{"id":"ITEM-2","itemData":{"DOI":"10.1007/s11920-010-0152-4","ISBN":"1192001001","ISSN":"15233812","PMID":"20872100","abstract":"There has been a recent acceleration in the development and testing of programs for computer-assisted cognitive-behavioral therapy (CCBT). Programs are now available for treatment of depression, anxiety disorders, and other psychiatric conditions. Technology for delivery of CCBT includes multimedia programs, virtual reality, and handheld devices. Research on CCBT generally has supported the efficacy of computer-assisted therapy and has shown patient acceptance of computer tools for psychotherapy. Completion rates and treatment efficacy typically have been higher when clinicians prescribe and support the use of psychotherapeutic computer programs than when programs are delivered in a self-help format without clinician involvement. CCBT seems to have the potential to improve access to evidence-based therapies while reducing the demand for clinician time.","author":[{"dropping-particle":"","family":"Spurgeon","given":"Joyce A.","non-dropping-particle":"","parse-names":false,"suffix":""},{"dropping-particle":"","family":"Wright","given":"Jesse H.","non-dropping-particle":"","parse-names":false,"suffix":""}],"container-title":"Current Psychiatry Reports","id":"ITEM-2","issue":"6","issued":{"date-parts":[["2010"]]},"page":"547-552","title":"Computer-assisted cognitive-behavioral therapy","type":"article-journal","volume":"12"},"uris":["http://www.mendeley.com/documents/?uuid=f3b3944d-ff1c-4caf-a4ac-9244c571465b"]}],"mendeley":{"formattedCitation":"(Titov, 2007; Spurgeon and Wright, 2010)","plainTextFormattedCitation":"(Titov, 2007; Spurgeon and Wright, 2010)","previouslyFormattedCitation":"(Titov, 2007; Spurgeon and Wright, 2010)"},"properties":{"noteIndex":0},"schema":"https://github.com/citation-style-language/schema/raw/master/csl-citation.json"}</w:instrText>
      </w:r>
      <w:r w:rsidRPr="00172C39">
        <w:rPr>
          <w:rFonts w:cs="Times New Roman"/>
          <w:szCs w:val="24"/>
        </w:rPr>
        <w:fldChar w:fldCharType="separate"/>
      </w:r>
      <w:r w:rsidRPr="00967ACC">
        <w:rPr>
          <w:rFonts w:cs="Times New Roman"/>
          <w:noProof/>
          <w:szCs w:val="24"/>
        </w:rPr>
        <w:t>(Titov, 2007; Spurgeon and Wright, 2010)</w:t>
      </w:r>
      <w:r w:rsidRPr="00172C39">
        <w:rPr>
          <w:rFonts w:cs="Times New Roman"/>
          <w:szCs w:val="24"/>
        </w:rPr>
        <w:fldChar w:fldCharType="end"/>
      </w:r>
      <w:r>
        <w:rPr>
          <w:rFonts w:cs="Times New Roman"/>
          <w:szCs w:val="24"/>
        </w:rPr>
        <w:t xml:space="preserve">, but this potential can only </w:t>
      </w:r>
      <w:r w:rsidRPr="00083FD3">
        <w:rPr>
          <w:rFonts w:cs="Times New Roman"/>
          <w:noProof/>
          <w:szCs w:val="24"/>
        </w:rPr>
        <w:t>be realised</w:t>
      </w:r>
      <w:r>
        <w:rPr>
          <w:rFonts w:cs="Times New Roman"/>
          <w:szCs w:val="24"/>
        </w:rPr>
        <w:t xml:space="preserve"> if the e-therapies cater for all demographics with which they </w:t>
      </w:r>
      <w:r w:rsidRPr="00083FD3">
        <w:rPr>
          <w:rFonts w:cs="Times New Roman"/>
          <w:noProof/>
          <w:szCs w:val="24"/>
        </w:rPr>
        <w:t>are used</w:t>
      </w:r>
      <w:r w:rsidR="00554CB4">
        <w:rPr>
          <w:rFonts w:cs="Times New Roman"/>
          <w:szCs w:val="24"/>
        </w:rPr>
        <w:t xml:space="preserve">.  </w:t>
      </w:r>
      <w:r>
        <w:rPr>
          <w:rFonts w:cs="Times New Roman"/>
          <w:szCs w:val="24"/>
        </w:rPr>
        <w:t>In this chapter, we examine identify which e-therapies are used and recommended across the NHS in England, in order that we can subsequently identify the suitability of these e-therapies for the over 65s.</w:t>
      </w:r>
    </w:p>
    <w:p w14:paraId="2858402B" w14:textId="03B8B8FD" w:rsidR="00E30483" w:rsidRPr="00172C39" w:rsidRDefault="00E30483" w:rsidP="00E30483">
      <w:pPr>
        <w:rPr>
          <w:rFonts w:cs="Times New Roman"/>
          <w:szCs w:val="24"/>
        </w:rPr>
      </w:pPr>
      <w:r w:rsidRPr="00172C39">
        <w:rPr>
          <w:rFonts w:cs="Times New Roman"/>
          <w:szCs w:val="24"/>
        </w:rPr>
        <w:lastRenderedPageBreak/>
        <w:t xml:space="preserve">The </w:t>
      </w:r>
      <w:r>
        <w:rPr>
          <w:rFonts w:cs="Times New Roman"/>
          <w:szCs w:val="24"/>
        </w:rPr>
        <w:t xml:space="preserve">current </w:t>
      </w:r>
      <w:r w:rsidRPr="00172C39">
        <w:rPr>
          <w:rFonts w:cs="Times New Roman"/>
          <w:szCs w:val="24"/>
        </w:rPr>
        <w:t xml:space="preserve">study </w:t>
      </w:r>
      <w:r w:rsidRPr="00083FD3">
        <w:rPr>
          <w:rFonts w:cs="Times New Roman"/>
          <w:noProof/>
          <w:szCs w:val="24"/>
        </w:rPr>
        <w:t>is based</w:t>
      </w:r>
      <w:r w:rsidRPr="00172C39">
        <w:rPr>
          <w:rFonts w:cs="Times New Roman"/>
          <w:szCs w:val="24"/>
        </w:rPr>
        <w:t xml:space="preserve"> on requests made under the provisions of the UK Freedom of Information Act </w:t>
      </w:r>
      <w:r>
        <w:rPr>
          <w:rFonts w:cs="Times New Roman"/>
          <w:szCs w:val="24"/>
        </w:rPr>
        <w:t>(</w:t>
      </w:r>
      <w:r w:rsidRPr="00172C39">
        <w:rPr>
          <w:rFonts w:cs="Times New Roman"/>
          <w:szCs w:val="24"/>
        </w:rPr>
        <w:t>2000</w:t>
      </w:r>
      <w:r>
        <w:rPr>
          <w:rFonts w:cs="Times New Roman"/>
          <w:szCs w:val="24"/>
        </w:rPr>
        <w:t xml:space="preserve">) </w:t>
      </w:r>
      <w:r w:rsidRPr="00172C39">
        <w:rPr>
          <w:rFonts w:cs="Times New Roman"/>
          <w:szCs w:val="24"/>
        </w:rPr>
        <w:t>in 2015</w:t>
      </w:r>
      <w:r>
        <w:rPr>
          <w:rFonts w:cs="Times New Roman"/>
          <w:szCs w:val="24"/>
        </w:rPr>
        <w:t>,</w:t>
      </w:r>
      <w:r w:rsidRPr="00172C39">
        <w:rPr>
          <w:rFonts w:cs="Times New Roman"/>
          <w:szCs w:val="24"/>
        </w:rPr>
        <w:t xml:space="preserve"> </w:t>
      </w:r>
      <w:r>
        <w:rPr>
          <w:rFonts w:cs="Times New Roman"/>
          <w:szCs w:val="24"/>
        </w:rPr>
        <w:t>and</w:t>
      </w:r>
      <w:r w:rsidRPr="00172C39">
        <w:rPr>
          <w:rFonts w:cs="Times New Roman"/>
          <w:szCs w:val="24"/>
        </w:rPr>
        <w:t xml:space="preserve"> systematic enquiries on NHS websites.</w:t>
      </w:r>
      <w:r w:rsidR="00455598">
        <w:rPr>
          <w:rFonts w:cs="Times New Roman"/>
          <w:szCs w:val="24"/>
        </w:rPr>
        <w:t xml:space="preserve"> </w:t>
      </w:r>
      <w:r w:rsidRPr="00172C39">
        <w:rPr>
          <w:rFonts w:cs="Times New Roman"/>
          <w:szCs w:val="24"/>
        </w:rPr>
        <w:t xml:space="preserve"> Under the Freedom of Information (FOI) </w:t>
      </w:r>
      <w:r>
        <w:rPr>
          <w:rFonts w:cs="Times New Roman"/>
          <w:noProof/>
          <w:szCs w:val="24"/>
        </w:rPr>
        <w:t>A</w:t>
      </w:r>
      <w:r w:rsidRPr="00083FD3">
        <w:rPr>
          <w:rFonts w:cs="Times New Roman"/>
          <w:noProof/>
          <w:szCs w:val="24"/>
        </w:rPr>
        <w:t>ct</w:t>
      </w:r>
      <w:r w:rsidRPr="00172C39">
        <w:rPr>
          <w:rFonts w:cs="Times New Roman"/>
          <w:szCs w:val="24"/>
        </w:rPr>
        <w:t xml:space="preserve">, publicly funded bodies are obliged to respond to requests for </w:t>
      </w:r>
      <w:r>
        <w:rPr>
          <w:rFonts w:cs="Times New Roman"/>
          <w:noProof/>
          <w:szCs w:val="24"/>
        </w:rPr>
        <w:t>specific</w:t>
      </w:r>
      <w:r w:rsidRPr="00172C39">
        <w:rPr>
          <w:rFonts w:cs="Times New Roman"/>
          <w:szCs w:val="24"/>
        </w:rPr>
        <w:t xml:space="preserve"> informat</w:t>
      </w:r>
      <w:r w:rsidR="00455598">
        <w:rPr>
          <w:rFonts w:cs="Times New Roman"/>
          <w:szCs w:val="24"/>
        </w:rPr>
        <w:t xml:space="preserve">ion from members of the public.  </w:t>
      </w:r>
      <w:r w:rsidRPr="00172C39">
        <w:rPr>
          <w:rFonts w:cs="Times New Roman"/>
          <w:szCs w:val="24"/>
        </w:rPr>
        <w:t xml:space="preserve">The resultant data </w:t>
      </w:r>
      <w:r>
        <w:rPr>
          <w:rFonts w:cs="Times New Roman"/>
          <w:szCs w:val="24"/>
        </w:rPr>
        <w:t>documents</w:t>
      </w:r>
      <w:r w:rsidRPr="00172C39">
        <w:rPr>
          <w:rFonts w:cs="Times New Roman"/>
          <w:szCs w:val="24"/>
        </w:rPr>
        <w:t xml:space="preserve"> the current state of digital mental health service provision in England</w:t>
      </w:r>
      <w:r>
        <w:rPr>
          <w:rFonts w:cs="Times New Roman"/>
          <w:szCs w:val="24"/>
        </w:rPr>
        <w:t>.</w:t>
      </w:r>
    </w:p>
    <w:p w14:paraId="5CA27E92" w14:textId="5927FBC1" w:rsidR="00E30483" w:rsidRPr="00172C39" w:rsidRDefault="00E30483" w:rsidP="00E30483">
      <w:pPr>
        <w:rPr>
          <w:rFonts w:cs="Times New Roman"/>
          <w:szCs w:val="24"/>
        </w:rPr>
      </w:pPr>
      <w:r w:rsidRPr="00172C39">
        <w:rPr>
          <w:rFonts w:cs="Times New Roman"/>
          <w:szCs w:val="24"/>
        </w:rPr>
        <w:t xml:space="preserve">There are </w:t>
      </w:r>
      <w:r>
        <w:rPr>
          <w:rFonts w:cs="Times New Roman"/>
          <w:szCs w:val="24"/>
        </w:rPr>
        <w:t>multiple</w:t>
      </w:r>
      <w:r w:rsidRPr="00172C39">
        <w:rPr>
          <w:rFonts w:cs="Times New Roman"/>
          <w:szCs w:val="24"/>
        </w:rPr>
        <w:t xml:space="preserve"> ways in which e-therapies have been defined and categorised in the literature. </w:t>
      </w:r>
      <w:r w:rsidR="00A54A01">
        <w:rPr>
          <w:rFonts w:cs="Times New Roman"/>
          <w:szCs w:val="24"/>
        </w:rPr>
        <w:t xml:space="preserve"> </w:t>
      </w:r>
      <w:r w:rsidRPr="00172C39">
        <w:rPr>
          <w:rFonts w:cs="Times New Roman"/>
          <w:szCs w:val="24"/>
        </w:rPr>
        <w:t xml:space="preserve">Riper et al. </w:t>
      </w:r>
      <w:r w:rsidRPr="00172C39">
        <w:rPr>
          <w:rFonts w:cs="Times New Roman"/>
          <w:color w:val="000000"/>
          <w:szCs w:val="24"/>
        </w:rPr>
        <w:fldChar w:fldCharType="begin" w:fldLock="1"/>
      </w:r>
      <w:r w:rsidR="000078F7">
        <w:rPr>
          <w:rFonts w:cs="Times New Roman"/>
          <w:color w:val="000000"/>
          <w:szCs w:val="24"/>
        </w:rPr>
        <w:instrText>ADDIN CSL_CITATION {"citationItems":[{"id":"ITEM-1","itemData":{"DOI":"10.2196/jmir.1713","ISSN":"1438-8871","PMID":"21169177","abstract":"This theme issue on e-mental health presents 16 articles from leading researchers working on systems and theories related to supporting and improving mental health conditions and mental health care using information and communication technologies. In this editorial, we present the background of this theme issue, and highlight the content of this issue.","author":[{"dropping-particle":"","family":"Riper","given":"Heleen","non-dropping-particle":"","parse-names":false,"suffix":""},{"dropping-particle":"","family":"Andersson","given":"Gerhard","non-dropping-particle":"","parse-names":false,"suffix":""},{"dropping-particle":"","family":"Christensen","given":"Helen","non-dropping-particle":"","parse-names":false,"suffix":""},{"dropping-particle":"","family":"Cuijpers","given":"Pim","non-dropping-particle":"","parse-names":false,"suffix":""},{"dropping-particle":"","family":"Lange","given":"Alfred","non-dropping-particle":"","parse-names":false,"suffix":""},{"dropping-particle":"","family":"Eysenbach","given":"Gunther","non-dropping-particle":"","parse-names":false,"suffix":""}],"container-title":"Journal of medical Internet research","id":"ITEM-1","issued":{"date-parts":[["2010"]]},"page":"e74","publisher":"JMIR Publications Inc.","title":"Theme issue on e-mental health: a growing field in internet research.","type":"article-journal","volume":"12"},"uris":["http://www.mendeley.com/documents/?uuid=9821f901-9c1f-3166-9df9-765b2fc3bc4a"]}],"mendeley":{"formattedCitation":"(Riper &lt;i&gt;et al.&lt;/i&gt;, 2010)","manualFormatting":"2010","plainTextFormattedCitation":"(Riper et al., 2010)","previouslyFormattedCitation":"(Riper &lt;i&gt;et al.&lt;/i&gt;, 2010)"},"properties":{"noteIndex":0},"schema":"https://github.com/citation-style-language/schema/raw/master/csl-citation.json"}</w:instrText>
      </w:r>
      <w:r w:rsidRPr="00172C39">
        <w:rPr>
          <w:rFonts w:cs="Times New Roman"/>
          <w:color w:val="000000"/>
          <w:szCs w:val="24"/>
        </w:rPr>
        <w:fldChar w:fldCharType="separate"/>
      </w:r>
      <w:r w:rsidRPr="00967ACC">
        <w:rPr>
          <w:rFonts w:cs="Times New Roman"/>
          <w:noProof/>
          <w:color w:val="000000"/>
          <w:szCs w:val="24"/>
        </w:rPr>
        <w:t>2010</w:t>
      </w:r>
      <w:r w:rsidRPr="00172C39">
        <w:rPr>
          <w:rFonts w:cs="Times New Roman"/>
          <w:color w:val="000000"/>
          <w:szCs w:val="24"/>
        </w:rPr>
        <w:fldChar w:fldCharType="end"/>
      </w:r>
      <w:r>
        <w:rPr>
          <w:rFonts w:cs="Times New Roman"/>
          <w:szCs w:val="24"/>
        </w:rPr>
        <w:t xml:space="preserve"> </w:t>
      </w:r>
      <w:r w:rsidRPr="00083FD3">
        <w:rPr>
          <w:rFonts w:cs="Times New Roman"/>
          <w:noProof/>
          <w:szCs w:val="24"/>
        </w:rPr>
        <w:t>describe</w:t>
      </w:r>
      <w:r w:rsidRPr="00172C39">
        <w:rPr>
          <w:rFonts w:cs="Times New Roman"/>
          <w:szCs w:val="24"/>
        </w:rPr>
        <w:t xml:space="preserve"> e-mental health as ‘‘the use of</w:t>
      </w:r>
      <w:r w:rsidRPr="00172C39" w:rsidDel="00802DF8">
        <w:rPr>
          <w:rFonts w:cs="Times New Roman"/>
          <w:szCs w:val="24"/>
        </w:rPr>
        <w:t xml:space="preserve"> </w:t>
      </w:r>
      <w:r w:rsidRPr="00172C39">
        <w:rPr>
          <w:rFonts w:cs="Times New Roman"/>
          <w:color w:val="000000"/>
          <w:szCs w:val="24"/>
        </w:rPr>
        <w:t xml:space="preserve">information and communication technology (ICT)—in </w:t>
      </w:r>
      <w:r w:rsidRPr="00083FD3">
        <w:rPr>
          <w:rFonts w:cs="Times New Roman"/>
          <w:noProof/>
          <w:color w:val="000000"/>
          <w:szCs w:val="24"/>
        </w:rPr>
        <w:t>particular</w:t>
      </w:r>
      <w:r>
        <w:rPr>
          <w:rFonts w:cs="Times New Roman"/>
          <w:noProof/>
          <w:color w:val="000000"/>
          <w:szCs w:val="24"/>
        </w:rPr>
        <w:t>,</w:t>
      </w:r>
      <w:r w:rsidRPr="00172C39">
        <w:rPr>
          <w:rFonts w:cs="Times New Roman"/>
          <w:color w:val="000000"/>
          <w:szCs w:val="24"/>
        </w:rPr>
        <w:t xml:space="preserve"> the many technologies related to the Internet— when these technologies are used to support and improve mental health conditions and mental health care’’. </w:t>
      </w:r>
      <w:r w:rsidR="00455598">
        <w:rPr>
          <w:rFonts w:cs="Times New Roman"/>
          <w:color w:val="000000"/>
          <w:szCs w:val="24"/>
        </w:rPr>
        <w:t xml:space="preserve"> </w:t>
      </w:r>
      <w:r w:rsidRPr="00172C39">
        <w:rPr>
          <w:rFonts w:cs="Times New Roman"/>
          <w:color w:val="000000"/>
          <w:szCs w:val="24"/>
        </w:rPr>
        <w:t>Other researchers have categorised e-therapies according to the amount of therapist support in them</w:t>
      </w:r>
      <w:r>
        <w:rPr>
          <w:rFonts w:cs="Times New Roman"/>
          <w:color w:val="000000"/>
          <w:szCs w:val="24"/>
        </w:rPr>
        <w:t xml:space="preserve"> </w:t>
      </w:r>
      <w:r>
        <w:rPr>
          <w:rFonts w:cs="Times New Roman"/>
          <w:color w:val="000000"/>
          <w:szCs w:val="24"/>
        </w:rPr>
        <w:fldChar w:fldCharType="begin" w:fldLock="1"/>
      </w:r>
      <w:r w:rsidR="000B6CC8">
        <w:rPr>
          <w:rFonts w:cs="Times New Roman"/>
          <w:color w:val="000000"/>
          <w:szCs w:val="24"/>
        </w:rPr>
        <w:instrText>ADDIN CSL_CITATION {"citationItems":[{"id":"ITEM-1","itemData":{"DOI":"10.1016/j.cpr.2010.10.002","ISBN":"1873-7811 (Electronic)\\n0272-7358 (Linking)","ISSN":"02727358","PMID":"21130939","abstract":"Technology-based self-help and minimal contact therapies have been proposed as effective and low-cost interventions for addictive disorders, such as nicotine, alcohol, and drug abuse and addiction. The present article reviews the literature published before 2010 on computerized treatments for drug and alcohol abuse and dependence and smoking addiction. Treatment studies are examined by disorder as well as amount of therapist contact, ranging from self-administered therapy and predominantly self-help interventions to minimal contact therapy where the therapist is actively involved in treatment but to a lesser degree than traditional therapy and predominantly therapist-administered treatments involving regular contact with a therapist for a typical number of sessions. In the treatment of substance use and abuse it is concluded that self-administered and predominantly self-help computer-based cognitive and behavioral interventions are efficacious, but some therapist contact is important for greater and more sustained reductions in addictive behavior. ?? 2010 Elsevier Ltd.","author":[{"dropping-particle":"","family":"Newman","given":"Michelle G.","non-dropping-particle":"","parse-names":false,"suffix":""},{"dropping-particle":"","family":"Szkodny","given":"Lauren E.","non-dropping-particle":"","parse-names":false,"suffix":""},{"dropping-particle":"","family":"Llera","given":"Sandra J.","non-dropping-particle":"","parse-names":false,"suffix":""},{"dropping-particle":"","family":"Przeworski","given":"Amy","non-dropping-particle":"","parse-names":false,"suffix":""}],"container-title":"Clinical Psychology Review","id":"ITEM-1","issued":{"date-parts":[["2011"]]},"page":"178–186","publisher":"Elsevier Ltd","title":"A review of technology-assisted self-help and minimal contact therapies for drug and alcohol abuse and smoking addiction: Is human contact necessary for therapeutic efficacy?","type":"article-journal","volume":"31"},"uris":["http://www.mendeley.com/documents/?uuid=93b56f77-8b91-49e8-b56c-70334c46e276"]}],"mendeley":{"formattedCitation":"(Newman &lt;i&gt;et al.&lt;/i&gt;, 2011b)","plainTextFormattedCitation":"(Newman et al., 2011b)","previouslyFormattedCitation":"(Newman &lt;i&gt;et al.&lt;/i&gt;, 2011b)"},"properties":{"noteIndex":0},"schema":"https://github.com/citation-style-language/schema/raw/master/csl-citation.json"}</w:instrText>
      </w:r>
      <w:r>
        <w:rPr>
          <w:rFonts w:cs="Times New Roman"/>
          <w:color w:val="000000"/>
          <w:szCs w:val="24"/>
        </w:rPr>
        <w:fldChar w:fldCharType="separate"/>
      </w:r>
      <w:r w:rsidR="00140546" w:rsidRPr="00140546">
        <w:rPr>
          <w:rFonts w:cs="Times New Roman"/>
          <w:noProof/>
          <w:color w:val="000000"/>
          <w:szCs w:val="24"/>
        </w:rPr>
        <w:t xml:space="preserve">(Newman </w:t>
      </w:r>
      <w:r w:rsidR="00140546" w:rsidRPr="00140546">
        <w:rPr>
          <w:rFonts w:cs="Times New Roman"/>
          <w:i/>
          <w:noProof/>
          <w:color w:val="000000"/>
          <w:szCs w:val="24"/>
        </w:rPr>
        <w:t>et al.</w:t>
      </w:r>
      <w:r w:rsidR="00140546" w:rsidRPr="00140546">
        <w:rPr>
          <w:rFonts w:cs="Times New Roman"/>
          <w:noProof/>
          <w:color w:val="000000"/>
          <w:szCs w:val="24"/>
        </w:rPr>
        <w:t>, 2011b)</w:t>
      </w:r>
      <w:r>
        <w:rPr>
          <w:rFonts w:cs="Times New Roman"/>
          <w:color w:val="000000"/>
          <w:szCs w:val="24"/>
        </w:rPr>
        <w:fldChar w:fldCharType="end"/>
      </w:r>
      <w:r w:rsidRPr="00172C39">
        <w:rPr>
          <w:rFonts w:cs="Times New Roman"/>
          <w:szCs w:val="24"/>
        </w:rPr>
        <w:t xml:space="preserve">, or the exact manner in which the web is used to aid delivery </w:t>
      </w:r>
      <w:r>
        <w:rPr>
          <w:rFonts w:cs="Times New Roman"/>
          <w:szCs w:val="24"/>
        </w:rPr>
        <w:fldChar w:fldCharType="begin" w:fldLock="1"/>
      </w:r>
      <w:r>
        <w:rPr>
          <w:rFonts w:cs="Times New Roman"/>
          <w:szCs w:val="24"/>
        </w:rPr>
        <w:instrText>ADDIN CSL_CITATION {"citationItems":[{"id":"ITEM-1","itemData":{"DOI":"10.1007/s12160-009-9130-7","ISBN":"0883-6612","ISSN":"08836612","PMID":"19787305","abstract":"BACKGROUND: The field of Internet-supported therapeutic interventions has suffered from a lack of clarity and consistency. The absence of professional leadership and of accepted governing approaches, terminology, professional standards, and methodologies has caused this field to be diffused and unstructured. Numerous terms have been used to label and describe the activities conducted over the Internet for mental and physical health purposes: web-based therapy, e-therapy, cybertherapy, eHealth, e-Interventions, computer-mediated interventions, and online therapy (or counseling), among others.\\n\\nMETHODS: Following a comprehensive review, we conceptualized Internet-supported interventions, using four categories based on prime practice approaches: web-based interventions, online counseling and therapy, Internet-operated therapeutic software, and other online activities (e.g., as supplements to face-to-face therapy). We provide a working definition and detailed description of each category, accompanied by numerous examples.\\n\\nCONCLUSIONS: These categories may now serve as guiding definitions and related terminologies for further research and development in this emerging field.","author":[{"dropping-particle":"","family":"Barak","given":"Azy","non-dropping-particle":"","parse-names":false,"suffix":""},{"dropping-particle":"","family":"Klein","given":"Britt","non-dropping-particle":"","parse-names":false,"suffix":""},{"dropping-particle":"","family":"Proudfoot","given":"Judith G.","non-dropping-particle":"","parse-names":false,"suffix":""}],"container-title":"Annals of Behavioral Medicine","id":"ITEM-1","issue":"1","issued":{"date-parts":[["2009"]]},"page":"4-17","title":"Defining internet-supported therapeutic interventions","type":"article-journal","volume":"38"},"uris":["http://www.mendeley.com/documents/?uuid=2c6718b9-77c9-44ec-8726-55f86f7de5a3"]}],"mendeley":{"formattedCitation":"(Barak, Klein and Proudfoot, 2009)","plainTextFormattedCitation":"(Barak, Klein and Proudfoot, 2009)","previouslyFormattedCitation":"(Barak, Klein and Proudfoot, 2009)"},"properties":{"noteIndex":0},"schema":"https://github.com/citation-style-language/schema/raw/master/csl-citation.json"}</w:instrText>
      </w:r>
      <w:r>
        <w:rPr>
          <w:rFonts w:cs="Times New Roman"/>
          <w:szCs w:val="24"/>
        </w:rPr>
        <w:fldChar w:fldCharType="separate"/>
      </w:r>
      <w:r w:rsidRPr="00967ACC">
        <w:rPr>
          <w:rFonts w:cs="Times New Roman"/>
          <w:noProof/>
          <w:szCs w:val="24"/>
        </w:rPr>
        <w:t>(Barak, Klein and Proudfoot, 2009)</w:t>
      </w:r>
      <w:r>
        <w:rPr>
          <w:rFonts w:cs="Times New Roman"/>
          <w:szCs w:val="24"/>
        </w:rPr>
        <w:fldChar w:fldCharType="end"/>
      </w:r>
      <w:r w:rsidR="00455598">
        <w:rPr>
          <w:rFonts w:cs="Times New Roman"/>
          <w:szCs w:val="24"/>
        </w:rPr>
        <w:t>.</w:t>
      </w:r>
    </w:p>
    <w:p w14:paraId="60DE95C8" w14:textId="1BE60394" w:rsidR="00E30483" w:rsidRPr="00172C39" w:rsidRDefault="00E30483" w:rsidP="00E30483">
      <w:pPr>
        <w:rPr>
          <w:rFonts w:cs="Times New Roman"/>
          <w:szCs w:val="24"/>
        </w:rPr>
      </w:pPr>
      <w:r w:rsidRPr="00172C39">
        <w:rPr>
          <w:rFonts w:cs="Times New Roman"/>
          <w:szCs w:val="24"/>
        </w:rPr>
        <w:t xml:space="preserve">Modes of delivery have also changed, with technological advances. </w:t>
      </w:r>
      <w:r w:rsidR="00455598">
        <w:rPr>
          <w:rFonts w:cs="Times New Roman"/>
          <w:szCs w:val="24"/>
        </w:rPr>
        <w:t xml:space="preserve"> </w:t>
      </w:r>
      <w:r w:rsidRPr="00172C39">
        <w:rPr>
          <w:rFonts w:cs="Times New Roman"/>
          <w:szCs w:val="24"/>
        </w:rPr>
        <w:t xml:space="preserve">Early e-therapy was sometimes packaged on CD-ROM and operated in a ‘stand-alone’ fashion on a PC, whereas practically all such tools </w:t>
      </w:r>
      <w:r w:rsidRPr="00083FD3">
        <w:rPr>
          <w:rFonts w:cs="Times New Roman"/>
          <w:noProof/>
          <w:szCs w:val="24"/>
        </w:rPr>
        <w:t>are now accessed</w:t>
      </w:r>
      <w:r w:rsidRPr="00172C39">
        <w:rPr>
          <w:rFonts w:cs="Times New Roman"/>
          <w:szCs w:val="24"/>
        </w:rPr>
        <w:t xml:space="preserve"> in one of two forms: as a web-based application (‘web app’), accessed via a conventional web browser, or else as a smartphone/tablet app, installed on (typically) the service user’s mobile device.</w:t>
      </w:r>
      <w:r w:rsidR="00455598">
        <w:rPr>
          <w:rFonts w:cs="Times New Roman"/>
          <w:szCs w:val="24"/>
        </w:rPr>
        <w:t xml:space="preserve"> </w:t>
      </w:r>
      <w:r w:rsidRPr="00172C39">
        <w:rPr>
          <w:rFonts w:cs="Times New Roman"/>
          <w:szCs w:val="24"/>
        </w:rPr>
        <w:t xml:space="preserve"> The distinction is somewhat arbitrary, but since smartphone apps represent a relatively more recent development in the digital domain, and a significant one too, </w:t>
      </w:r>
      <w:r>
        <w:rPr>
          <w:rFonts w:cs="Times New Roman"/>
          <w:noProof/>
          <w:szCs w:val="24"/>
        </w:rPr>
        <w:t>regarding</w:t>
      </w:r>
      <w:r w:rsidRPr="00172C39">
        <w:rPr>
          <w:rFonts w:cs="Times New Roman"/>
          <w:szCs w:val="24"/>
        </w:rPr>
        <w:t xml:space="preserve"> popular uptake, it is convenient for this </w:t>
      </w:r>
      <w:r w:rsidR="00B81D6B">
        <w:rPr>
          <w:rFonts w:cs="Times New Roman"/>
          <w:szCs w:val="24"/>
        </w:rPr>
        <w:t>chapter</w:t>
      </w:r>
      <w:r w:rsidRPr="00172C39">
        <w:rPr>
          <w:rFonts w:cs="Times New Roman"/>
          <w:szCs w:val="24"/>
        </w:rPr>
        <w:t xml:space="preserve"> to consider e-therapy as divided into two main categories: </w:t>
      </w:r>
      <w:r w:rsidRPr="00172C39">
        <w:rPr>
          <w:rFonts w:cs="Times New Roman"/>
          <w:i/>
          <w:szCs w:val="24"/>
        </w:rPr>
        <w:t>web apps</w:t>
      </w:r>
      <w:r w:rsidRPr="00172C39">
        <w:rPr>
          <w:rFonts w:cs="Times New Roman"/>
          <w:szCs w:val="24"/>
        </w:rPr>
        <w:t xml:space="preserve"> and </w:t>
      </w:r>
      <w:r w:rsidRPr="00172C39">
        <w:rPr>
          <w:rFonts w:cs="Times New Roman"/>
          <w:i/>
          <w:szCs w:val="24"/>
        </w:rPr>
        <w:t>smartphone apps</w:t>
      </w:r>
      <w:r w:rsidRPr="00172C39">
        <w:rPr>
          <w:rFonts w:cs="Times New Roman"/>
          <w:szCs w:val="24"/>
        </w:rPr>
        <w:t>.</w:t>
      </w:r>
    </w:p>
    <w:p w14:paraId="56250554" w14:textId="77777777" w:rsidR="00E30483" w:rsidRPr="00172C39" w:rsidRDefault="00E30483" w:rsidP="005E60F7">
      <w:pPr>
        <w:pStyle w:val="Heading2"/>
        <w:rPr>
          <w:rFonts w:cs="Times New Roman"/>
          <w:szCs w:val="24"/>
        </w:rPr>
      </w:pPr>
      <w:bookmarkStart w:id="46" w:name="_Toc530598101"/>
      <w:bookmarkStart w:id="47" w:name="_Toc530660454"/>
      <w:bookmarkStart w:id="48" w:name="_Toc3538055"/>
      <w:r w:rsidRPr="00172C39">
        <w:rPr>
          <w:rStyle w:val="ListLabel12"/>
          <w:rFonts w:cs="Times New Roman"/>
          <w:szCs w:val="24"/>
        </w:rPr>
        <w:t>Policy</w:t>
      </w:r>
      <w:r w:rsidRPr="00172C39">
        <w:rPr>
          <w:rFonts w:cs="Times New Roman"/>
          <w:szCs w:val="24"/>
        </w:rPr>
        <w:t xml:space="preserve"> History</w:t>
      </w:r>
      <w:bookmarkEnd w:id="46"/>
      <w:bookmarkEnd w:id="47"/>
      <w:bookmarkEnd w:id="48"/>
    </w:p>
    <w:p w14:paraId="654A4207" w14:textId="459D30CE" w:rsidR="00E30483" w:rsidRPr="00172C39" w:rsidRDefault="00E30483" w:rsidP="00E30483">
      <w:pPr>
        <w:rPr>
          <w:rFonts w:cs="Times New Roman"/>
          <w:szCs w:val="24"/>
        </w:rPr>
      </w:pPr>
      <w:r w:rsidRPr="00172C39">
        <w:rPr>
          <w:rFonts w:cs="Times New Roman"/>
          <w:szCs w:val="24"/>
        </w:rPr>
        <w:t>The National Institute for Health and Care Excellence (NICE) is a non-departmental public body, responsible to but operationally independent of the UK Department of Health.</w:t>
      </w:r>
      <w:r w:rsidR="00A54A01">
        <w:rPr>
          <w:rFonts w:cs="Times New Roman"/>
          <w:szCs w:val="24"/>
        </w:rPr>
        <w:t xml:space="preserve"> </w:t>
      </w:r>
      <w:r w:rsidRPr="00172C39">
        <w:rPr>
          <w:rFonts w:cs="Times New Roman"/>
          <w:szCs w:val="24"/>
        </w:rPr>
        <w:t xml:space="preserve"> Its function is to </w:t>
      </w:r>
      <w:r w:rsidRPr="00083FD3">
        <w:rPr>
          <w:rFonts w:cs="Times New Roman"/>
          <w:noProof/>
          <w:szCs w:val="24"/>
        </w:rPr>
        <w:t>provide guidance to</w:t>
      </w:r>
      <w:r w:rsidRPr="00172C39">
        <w:rPr>
          <w:rFonts w:cs="Times New Roman"/>
          <w:szCs w:val="24"/>
        </w:rPr>
        <w:t xml:space="preserve"> the NHS in England (although its advice often extends to the other constituent nations of the UK) </w:t>
      </w:r>
      <w:r>
        <w:rPr>
          <w:rFonts w:cs="Times New Roman"/>
          <w:szCs w:val="24"/>
        </w:rPr>
        <w:t xml:space="preserve">for </w:t>
      </w:r>
      <w:r w:rsidRPr="00172C39">
        <w:rPr>
          <w:rFonts w:cs="Times New Roman"/>
          <w:szCs w:val="24"/>
        </w:rPr>
        <w:t xml:space="preserve">clinical practice, including what treatments should </w:t>
      </w:r>
      <w:r w:rsidRPr="00083FD3">
        <w:rPr>
          <w:rFonts w:cs="Times New Roman"/>
          <w:noProof/>
          <w:szCs w:val="24"/>
        </w:rPr>
        <w:t>be offered</w:t>
      </w:r>
      <w:r w:rsidRPr="00172C39">
        <w:rPr>
          <w:rFonts w:cs="Times New Roman"/>
          <w:szCs w:val="24"/>
        </w:rPr>
        <w:t xml:space="preserve"> for diseases, </w:t>
      </w:r>
      <w:r w:rsidRPr="00083FD3">
        <w:rPr>
          <w:rFonts w:cs="Times New Roman"/>
          <w:noProof/>
          <w:szCs w:val="24"/>
        </w:rPr>
        <w:t>on the basis of</w:t>
      </w:r>
      <w:r w:rsidRPr="00172C39">
        <w:rPr>
          <w:rFonts w:cs="Times New Roman"/>
          <w:szCs w:val="24"/>
        </w:rPr>
        <w:t xml:space="preserve"> published evidence.  This remit includes the use of health technologies for mental </w:t>
      </w:r>
      <w:r>
        <w:rPr>
          <w:rFonts w:cs="Times New Roman"/>
          <w:szCs w:val="24"/>
        </w:rPr>
        <w:t>ill-</w:t>
      </w:r>
      <w:r w:rsidRPr="00172C39">
        <w:rPr>
          <w:rFonts w:cs="Times New Roman"/>
          <w:szCs w:val="24"/>
        </w:rPr>
        <w:t xml:space="preserve">health. </w:t>
      </w:r>
      <w:r w:rsidR="00455598">
        <w:rPr>
          <w:rFonts w:cs="Times New Roman"/>
          <w:szCs w:val="24"/>
        </w:rPr>
        <w:t xml:space="preserve"> </w:t>
      </w:r>
      <w:r w:rsidRPr="00172C39">
        <w:rPr>
          <w:rFonts w:cs="Times New Roman"/>
          <w:szCs w:val="24"/>
        </w:rPr>
        <w:t>NICE recommendations stand until they are revised or replaced.</w:t>
      </w:r>
      <w:r w:rsidR="00A54A01">
        <w:rPr>
          <w:rFonts w:cs="Times New Roman"/>
          <w:szCs w:val="24"/>
        </w:rPr>
        <w:t xml:space="preserve"> </w:t>
      </w:r>
      <w:r w:rsidRPr="00172C39">
        <w:rPr>
          <w:rFonts w:cs="Times New Roman"/>
          <w:szCs w:val="24"/>
        </w:rPr>
        <w:t xml:space="preserve"> In 2006, NICE issued its first specific guidelines </w:t>
      </w:r>
      <w:r>
        <w:rPr>
          <w:rFonts w:cs="Times New Roman"/>
          <w:szCs w:val="24"/>
        </w:rPr>
        <w:t>for</w:t>
      </w:r>
      <w:r w:rsidRPr="00172C39">
        <w:rPr>
          <w:rFonts w:cs="Times New Roman"/>
          <w:szCs w:val="24"/>
        </w:rPr>
        <w:t xml:space="preserve"> e-therapy, recommending two computerised cognitive behaviour therapy (</w:t>
      </w:r>
      <w:proofErr w:type="spellStart"/>
      <w:r w:rsidRPr="00172C39">
        <w:rPr>
          <w:rFonts w:cs="Times New Roman"/>
          <w:szCs w:val="24"/>
        </w:rPr>
        <w:t>cCBT</w:t>
      </w:r>
      <w:proofErr w:type="spellEnd"/>
      <w:r w:rsidRPr="00172C39">
        <w:rPr>
          <w:rFonts w:cs="Times New Roman"/>
          <w:szCs w:val="24"/>
        </w:rPr>
        <w:t xml:space="preserve">) web apps for the treatment of mild to moderate depression and for panic/phobia, for which it </w:t>
      </w:r>
      <w:r w:rsidRPr="00083FD3">
        <w:rPr>
          <w:rFonts w:cs="Times New Roman"/>
          <w:noProof/>
          <w:szCs w:val="24"/>
        </w:rPr>
        <w:t>was deemed</w:t>
      </w:r>
      <w:r w:rsidRPr="00172C39">
        <w:rPr>
          <w:rFonts w:cs="Times New Roman"/>
          <w:szCs w:val="24"/>
        </w:rPr>
        <w:t xml:space="preserve"> there was sufficient evidence of clinical effectiveness.</w:t>
      </w:r>
      <w:r w:rsidR="00455598">
        <w:rPr>
          <w:rFonts w:cs="Times New Roman"/>
          <w:szCs w:val="24"/>
        </w:rPr>
        <w:t xml:space="preserve"> </w:t>
      </w:r>
      <w:r w:rsidRPr="00172C39">
        <w:rPr>
          <w:rFonts w:cs="Times New Roman"/>
          <w:szCs w:val="24"/>
        </w:rPr>
        <w:t xml:space="preserve"> In 2009 these specific recommendations were withdrawn by NICE.</w:t>
      </w:r>
      <w:r w:rsidR="00455598">
        <w:rPr>
          <w:rFonts w:cs="Times New Roman"/>
          <w:szCs w:val="24"/>
        </w:rPr>
        <w:t xml:space="preserve"> </w:t>
      </w:r>
      <w:r w:rsidRPr="00172C39">
        <w:rPr>
          <w:rFonts w:cs="Times New Roman"/>
          <w:szCs w:val="24"/>
        </w:rPr>
        <w:t xml:space="preserve"> At the time of writing (August 2016), NICE guidance for mental health practitioners is that </w:t>
      </w:r>
      <w:proofErr w:type="spellStart"/>
      <w:r>
        <w:rPr>
          <w:rFonts w:cs="Times New Roman"/>
          <w:szCs w:val="24"/>
        </w:rPr>
        <w:t>cCBT</w:t>
      </w:r>
      <w:proofErr w:type="spellEnd"/>
      <w:r w:rsidRPr="00172C39">
        <w:rPr>
          <w:rFonts w:cs="Times New Roman"/>
          <w:szCs w:val="24"/>
        </w:rPr>
        <w:t xml:space="preserve"> can </w:t>
      </w:r>
      <w:r w:rsidRPr="00083FD3">
        <w:rPr>
          <w:rFonts w:cs="Times New Roman"/>
          <w:noProof/>
          <w:szCs w:val="24"/>
        </w:rPr>
        <w:t>be offered</w:t>
      </w:r>
      <w:r w:rsidRPr="00172C39">
        <w:rPr>
          <w:rFonts w:cs="Times New Roman"/>
          <w:szCs w:val="24"/>
        </w:rPr>
        <w:t xml:space="preserve"> </w:t>
      </w:r>
      <w:r>
        <w:rPr>
          <w:rFonts w:cs="Times New Roman"/>
          <w:szCs w:val="24"/>
        </w:rPr>
        <w:t xml:space="preserve">for </w:t>
      </w:r>
      <w:r w:rsidRPr="00172C39">
        <w:rPr>
          <w:rFonts w:cs="Times New Roman"/>
          <w:szCs w:val="24"/>
        </w:rPr>
        <w:t>persistent subthreshold</w:t>
      </w:r>
      <w:r>
        <w:rPr>
          <w:rFonts w:cs="Times New Roman"/>
          <w:szCs w:val="24"/>
        </w:rPr>
        <w:t xml:space="preserve">, or </w:t>
      </w:r>
      <w:r w:rsidRPr="00172C39">
        <w:rPr>
          <w:rFonts w:cs="Times New Roman"/>
          <w:szCs w:val="24"/>
        </w:rPr>
        <w:t xml:space="preserve">mild to moderate depression </w:t>
      </w:r>
      <w:r>
        <w:rPr>
          <w:rFonts w:cs="Times New Roman"/>
          <w:szCs w:val="24"/>
        </w:rPr>
        <w:fldChar w:fldCharType="begin" w:fldLock="1"/>
      </w:r>
      <w:r>
        <w:rPr>
          <w:rFonts w:cs="Times New Roman"/>
          <w:szCs w:val="24"/>
        </w:rPr>
        <w:instrText>ADDIN CSL_CITATION {"citationItems":[{"id":"ITEM-1","itemData":{"URL":"https://www.nice.org.uk/guidance/cg90/","accessed":{"date-parts":[["2016","9","9"]]},"author":[{"dropping-particle":"","family":"National Institute for Health and Care Excellence","given":"","non-dropping-particle":"","parse-names":false,"suffix":""}],"id":"ITEM-1","issue":"October","issued":{"date-parts":[["2009"]]},"page":"63","title":"Depression in adults: recognition and management. CG90","type":"webpage"},"uris":["http://www.mendeley.com/documents/?uuid=72612f6a-f62b-452b-a048-1f85f6cf419d"]}],"mendeley":{"formattedCitation":"(National Institute for Health and Care Excellence, 2009)","plainTextFormattedCitation":"(National Institute for Health and Care Excellence, 2009)","previouslyFormattedCitation":"(National Institute for Health and Care Excellence, 2009)"},"properties":{"noteIndex":0},"schema":"https://github.com/citation-style-language/schema/raw/master/csl-citation.json"}</w:instrText>
      </w:r>
      <w:r>
        <w:rPr>
          <w:rFonts w:cs="Times New Roman"/>
          <w:szCs w:val="24"/>
        </w:rPr>
        <w:fldChar w:fldCharType="separate"/>
      </w:r>
      <w:r w:rsidRPr="00967ACC">
        <w:rPr>
          <w:rFonts w:cs="Times New Roman"/>
          <w:noProof/>
          <w:szCs w:val="24"/>
        </w:rPr>
        <w:t>(National Institute for Health and Care Excellence, 2009)</w:t>
      </w:r>
      <w:r>
        <w:rPr>
          <w:rFonts w:cs="Times New Roman"/>
          <w:szCs w:val="24"/>
        </w:rPr>
        <w:fldChar w:fldCharType="end"/>
      </w:r>
      <w:r w:rsidRPr="00172C39">
        <w:rPr>
          <w:rFonts w:cs="Times New Roman"/>
          <w:szCs w:val="24"/>
        </w:rPr>
        <w:t xml:space="preserve">; however, reference to specific tools </w:t>
      </w:r>
      <w:r>
        <w:rPr>
          <w:rFonts w:cs="Times New Roman"/>
          <w:szCs w:val="24"/>
        </w:rPr>
        <w:t xml:space="preserve">(with </w:t>
      </w:r>
      <w:r w:rsidRPr="00172C39">
        <w:rPr>
          <w:rFonts w:cs="Times New Roman"/>
          <w:szCs w:val="24"/>
        </w:rPr>
        <w:t>published evidence</w:t>
      </w:r>
      <w:r>
        <w:rPr>
          <w:rFonts w:cs="Times New Roman"/>
          <w:szCs w:val="24"/>
        </w:rPr>
        <w:t>)</w:t>
      </w:r>
      <w:r w:rsidRPr="00172C39">
        <w:rPr>
          <w:rFonts w:cs="Times New Roman"/>
          <w:szCs w:val="24"/>
        </w:rPr>
        <w:t xml:space="preserve"> has </w:t>
      </w:r>
      <w:r w:rsidRPr="00083FD3">
        <w:rPr>
          <w:rFonts w:cs="Times New Roman"/>
          <w:noProof/>
          <w:szCs w:val="24"/>
        </w:rPr>
        <w:t>been replaced</w:t>
      </w:r>
      <w:r w:rsidRPr="00172C39">
        <w:rPr>
          <w:rFonts w:cs="Times New Roman"/>
          <w:szCs w:val="24"/>
        </w:rPr>
        <w:t xml:space="preserve"> by general guidelines for </w:t>
      </w:r>
      <w:proofErr w:type="spellStart"/>
      <w:r w:rsidRPr="00172C39">
        <w:rPr>
          <w:rFonts w:cs="Times New Roman"/>
          <w:szCs w:val="24"/>
        </w:rPr>
        <w:t>cCBT</w:t>
      </w:r>
      <w:proofErr w:type="spellEnd"/>
      <w:r w:rsidRPr="00172C39">
        <w:rPr>
          <w:rFonts w:cs="Times New Roman"/>
          <w:szCs w:val="24"/>
        </w:rPr>
        <w:t xml:space="preserve"> </w:t>
      </w:r>
      <w:r>
        <w:rPr>
          <w:rFonts w:cs="Times New Roman"/>
          <w:szCs w:val="24"/>
        </w:rPr>
        <w:fldChar w:fldCharType="begin" w:fldLock="1"/>
      </w:r>
      <w:r>
        <w:rPr>
          <w:rFonts w:cs="Times New Roman"/>
          <w:szCs w:val="24"/>
        </w:rPr>
        <w:instrText>ADDIN CSL_CITATION {"citationItems":[{"id":"ITEM-1","itemData":{"author":[{"dropping-particle":"","family":"NICE","given":"","non-dropping-particle":"","parse-names":false,"suffix":""}],"id":"ITEM-1","issue":"October","issued":{"date-parts":[["2009"]]},"title":"Depression in adults with chronic physical health problem: recognition and management. CG91","type":"webpage"},"uris":["http://www.mendeley.com/documents/?uuid=fc07003f-1691-419b-9a01-9f949a93df96"]},{"id":"ITEM-2","itemData":{"URL":"https://www.nice.org.uk/guidance/cg90/","accessed":{"date-parts":[["2016","9","9"]]},"author":[{"dropping-particle":"","family":"National Institute for Health and Care Excellence","given":"","non-dropping-particle":"","parse-names":false,"suffix":""}],"id":"ITEM-2","issue":"October","issued":{"date-parts":[["2009"]]},"page":"63","title":"Depression in adults: recognition and management. CG90","type":"webpage"},"uris":["http://www.mendeley.com/documents/?uuid=72612f6a-f62b-452b-a048-1f85f6cf419d"]}],"mendeley":{"formattedCitation":"(National Institute for Health and Care Excellence, 2009; NICE, 2009)","plainTextFormattedCitation":"(National Institute for Health and Care Excellence, 2009; NICE, 2009)","previouslyFormattedCitation":"(National Institute for Health and Care Excellence, 2009; NICE, 2009)"},"properties":{"noteIndex":0},"schema":"https://github.com/citation-style-language/schema/raw/master/csl-citation.json"}</w:instrText>
      </w:r>
      <w:r>
        <w:rPr>
          <w:rFonts w:cs="Times New Roman"/>
          <w:szCs w:val="24"/>
        </w:rPr>
        <w:fldChar w:fldCharType="separate"/>
      </w:r>
      <w:r w:rsidRPr="00967ACC">
        <w:rPr>
          <w:rFonts w:cs="Times New Roman"/>
          <w:noProof/>
          <w:szCs w:val="24"/>
        </w:rPr>
        <w:t>(National Institute for Health and Care Excellence, 2009; NICE, 2009)</w:t>
      </w:r>
      <w:r>
        <w:rPr>
          <w:rFonts w:cs="Times New Roman"/>
          <w:szCs w:val="24"/>
        </w:rPr>
        <w:fldChar w:fldCharType="end"/>
      </w:r>
      <w:r w:rsidRPr="00172C39">
        <w:rPr>
          <w:rFonts w:cs="Times New Roman"/>
          <w:szCs w:val="24"/>
        </w:rPr>
        <w:t>.</w:t>
      </w:r>
      <w:r w:rsidR="00455598">
        <w:rPr>
          <w:rFonts w:cs="Times New Roman"/>
          <w:szCs w:val="24"/>
        </w:rPr>
        <w:t xml:space="preserve"> </w:t>
      </w:r>
      <w:r w:rsidRPr="00172C39">
        <w:rPr>
          <w:rFonts w:cs="Times New Roman"/>
          <w:szCs w:val="24"/>
        </w:rPr>
        <w:t xml:space="preserve"> </w:t>
      </w:r>
      <w:r>
        <w:rPr>
          <w:rFonts w:cs="Times New Roman"/>
          <w:szCs w:val="24"/>
        </w:rPr>
        <w:t xml:space="preserve">CCBT </w:t>
      </w:r>
      <w:r w:rsidRPr="00172C39">
        <w:rPr>
          <w:rFonts w:cs="Times New Roman"/>
          <w:szCs w:val="24"/>
        </w:rPr>
        <w:t xml:space="preserve">is recommended for research </w:t>
      </w:r>
      <w:r>
        <w:rPr>
          <w:rFonts w:cs="Times New Roman"/>
          <w:szCs w:val="24"/>
        </w:rPr>
        <w:t xml:space="preserve">purposes </w:t>
      </w:r>
      <w:r w:rsidRPr="00172C39">
        <w:rPr>
          <w:rFonts w:cs="Times New Roman"/>
          <w:szCs w:val="24"/>
        </w:rPr>
        <w:t xml:space="preserve">only </w:t>
      </w:r>
      <w:r>
        <w:rPr>
          <w:rFonts w:cs="Times New Roman"/>
          <w:szCs w:val="24"/>
        </w:rPr>
        <w:t>for</w:t>
      </w:r>
      <w:r w:rsidRPr="00172C39">
        <w:rPr>
          <w:rFonts w:cs="Times New Roman"/>
          <w:szCs w:val="24"/>
        </w:rPr>
        <w:t xml:space="preserve"> generalised anxiety disorder (GAD) </w:t>
      </w:r>
      <w:r w:rsidRPr="00172C39">
        <w:rPr>
          <w:rFonts w:cs="Times New Roman"/>
          <w:szCs w:val="24"/>
        </w:rPr>
        <w:fldChar w:fldCharType="begin" w:fldLock="1"/>
      </w:r>
      <w:r>
        <w:rPr>
          <w:rFonts w:cs="Times New Roman"/>
          <w:szCs w:val="24"/>
        </w:rPr>
        <w:instrText>ADDIN CSL_CITATION {"citationItems":[{"id":"ITEM-1","itemData":{"URL":"https://www.nice.org.uk/guidance/cg113/","accessed":{"date-parts":[["2016","9","9"]]},"author":[{"dropping-particle":"","family":"National Institute for Health and Care Excellence","given":"","non-dropping-particle":"","parse-names":false,"suffix":""}],"id":"ITEM-1","issue":"January","issued":{"date-parts":[["2011"]]},"title":"Generalised anxiety disorder and panic disorder in adults: management. CG113","type":"webpage"},"uris":["http://www.mendeley.com/documents/?uuid=56b266ab-6575-43f2-a27c-c94c46346441"]}],"mendeley":{"formattedCitation":"(National Institute for Health and Care Excellence, 2011)","plainTextFormattedCitation":"(National Institute for Health and Care Excellence, 2011)","previouslyFormattedCitation":"(National Institute for Health and Care Excellence, 2011)"},"properties":{"noteIndex":0},"schema":"https://github.com/citation-style-language/schema/raw/master/csl-citation.json"}</w:instrText>
      </w:r>
      <w:r w:rsidRPr="00172C39">
        <w:rPr>
          <w:rFonts w:cs="Times New Roman"/>
          <w:szCs w:val="24"/>
        </w:rPr>
        <w:fldChar w:fldCharType="separate"/>
      </w:r>
      <w:r w:rsidRPr="00967ACC">
        <w:rPr>
          <w:rFonts w:cs="Times New Roman"/>
          <w:noProof/>
          <w:szCs w:val="24"/>
        </w:rPr>
        <w:t>(National Institute for Health and Care Excellence, 2011)</w:t>
      </w:r>
      <w:r w:rsidRPr="00172C39">
        <w:rPr>
          <w:rFonts w:cs="Times New Roman"/>
          <w:szCs w:val="24"/>
        </w:rPr>
        <w:fldChar w:fldCharType="end"/>
      </w:r>
      <w:r w:rsidRPr="00172C39">
        <w:rPr>
          <w:rFonts w:cs="Times New Roman"/>
          <w:szCs w:val="24"/>
        </w:rPr>
        <w:t xml:space="preserve"> and </w:t>
      </w:r>
      <w:r w:rsidRPr="00083FD3">
        <w:rPr>
          <w:rFonts w:cs="Times New Roman"/>
          <w:noProof/>
          <w:szCs w:val="24"/>
        </w:rPr>
        <w:t>is not recommended</w:t>
      </w:r>
      <w:r w:rsidRPr="00172C39">
        <w:rPr>
          <w:rFonts w:cs="Times New Roman"/>
          <w:szCs w:val="24"/>
        </w:rPr>
        <w:t xml:space="preserve"> at all </w:t>
      </w:r>
      <w:r>
        <w:rPr>
          <w:rFonts w:cs="Times New Roman"/>
          <w:szCs w:val="24"/>
        </w:rPr>
        <w:t>for</w:t>
      </w:r>
      <w:r w:rsidRPr="00172C39">
        <w:rPr>
          <w:rFonts w:cs="Times New Roman"/>
          <w:szCs w:val="24"/>
        </w:rPr>
        <w:t xml:space="preserve"> adult phobias </w:t>
      </w:r>
      <w:r w:rsidRPr="00172C39">
        <w:rPr>
          <w:rFonts w:cs="Times New Roman"/>
          <w:szCs w:val="24"/>
        </w:rPr>
        <w:fldChar w:fldCharType="begin" w:fldLock="1"/>
      </w:r>
      <w:r>
        <w:rPr>
          <w:rFonts w:cs="Times New Roman"/>
          <w:szCs w:val="24"/>
        </w:rPr>
        <w:instrText>ADDIN CSL_CITATION {"citationItems":[{"id":"ITEM-1","itemData":{"URL":"https://www.nice.org.uk/guidance/cg159/","accessed":{"date-parts":[["2016","9","9"]]},"author":[{"dropping-particle":"","family":"National Institute for Health and Care Excellence","given":"","non-dropping-particle":"","parse-names":false,"suffix":""}],"id":"ITEM-1","issue":"May","issued":{"date-parts":[["2013"]]},"title":"Social anxiety disorder: Recognition, assessment and treatment. CG159","type":"webpage"},"uris":["http://www.mendeley.com/documents/?uuid=ea6cbf13-18b8-406d-815c-abaea41ac331"]}],"mendeley":{"formattedCitation":"(National Institute for Health and Care Excellence, 2013)","plainTextFormattedCitation":"(National Institute for Health and Care Excellence, 2013)","previouslyFormattedCitation":"(National Institute for Health and Care Excellence, 2013)"},"properties":{"noteIndex":0},"schema":"https://github.com/citation-style-language/schema/raw/master/csl-citation.json"}</w:instrText>
      </w:r>
      <w:r w:rsidRPr="00172C39">
        <w:rPr>
          <w:rFonts w:cs="Times New Roman"/>
          <w:szCs w:val="24"/>
        </w:rPr>
        <w:fldChar w:fldCharType="separate"/>
      </w:r>
      <w:r w:rsidRPr="00967ACC">
        <w:rPr>
          <w:rFonts w:cs="Times New Roman"/>
          <w:noProof/>
          <w:szCs w:val="24"/>
        </w:rPr>
        <w:t>(National Institute for Health and Care Excellence, 2013)</w:t>
      </w:r>
      <w:r w:rsidRPr="00172C39">
        <w:rPr>
          <w:rFonts w:cs="Times New Roman"/>
          <w:szCs w:val="24"/>
        </w:rPr>
        <w:fldChar w:fldCharType="end"/>
      </w:r>
      <w:r w:rsidRPr="00172C39">
        <w:rPr>
          <w:rFonts w:cs="Times New Roman"/>
          <w:szCs w:val="24"/>
        </w:rPr>
        <w:t>.</w:t>
      </w:r>
    </w:p>
    <w:p w14:paraId="6CD3F090" w14:textId="77777777" w:rsidR="00E30483" w:rsidRPr="00172C39" w:rsidRDefault="00E30483" w:rsidP="005E60F7">
      <w:pPr>
        <w:pStyle w:val="Heading3"/>
        <w:rPr>
          <w:rFonts w:cs="Times New Roman"/>
          <w:szCs w:val="24"/>
        </w:rPr>
      </w:pPr>
      <w:bookmarkStart w:id="49" w:name="_Toc530598102"/>
      <w:bookmarkStart w:id="50" w:name="_Toc530660455"/>
      <w:bookmarkStart w:id="51" w:name="_Toc3538056"/>
      <w:r w:rsidRPr="00172C39">
        <w:rPr>
          <w:rFonts w:cs="Times New Roman"/>
          <w:szCs w:val="24"/>
        </w:rPr>
        <w:lastRenderedPageBreak/>
        <w:t>Recent Technological Developments</w:t>
      </w:r>
      <w:bookmarkEnd w:id="49"/>
      <w:bookmarkEnd w:id="50"/>
      <w:bookmarkEnd w:id="51"/>
    </w:p>
    <w:p w14:paraId="19C0C557" w14:textId="6ABF22B1" w:rsidR="00E30483" w:rsidRPr="00172C39" w:rsidRDefault="00E30483" w:rsidP="00E30483">
      <w:pPr>
        <w:rPr>
          <w:rFonts w:cs="Times New Roman"/>
          <w:szCs w:val="24"/>
        </w:rPr>
      </w:pPr>
      <w:r w:rsidRPr="00172C39">
        <w:rPr>
          <w:rFonts w:cs="Times New Roman"/>
          <w:szCs w:val="24"/>
        </w:rPr>
        <w:t xml:space="preserve">Since the </w:t>
      </w:r>
      <w:r>
        <w:rPr>
          <w:rFonts w:cs="Times New Roman"/>
          <w:szCs w:val="24"/>
        </w:rPr>
        <w:t>first</w:t>
      </w:r>
      <w:r w:rsidRPr="00172C39">
        <w:rPr>
          <w:rFonts w:cs="Times New Roman"/>
          <w:szCs w:val="24"/>
        </w:rPr>
        <w:t xml:space="preserve"> NICE recommendations</w:t>
      </w:r>
      <w:r>
        <w:rPr>
          <w:rFonts w:cs="Times New Roman"/>
          <w:szCs w:val="24"/>
        </w:rPr>
        <w:t xml:space="preserve"> for e-therapies </w:t>
      </w:r>
      <w:r>
        <w:rPr>
          <w:rFonts w:cs="Times New Roman"/>
          <w:szCs w:val="24"/>
        </w:rPr>
        <w:fldChar w:fldCharType="begin" w:fldLock="1"/>
      </w:r>
      <w:r>
        <w:rPr>
          <w:rFonts w:cs="Times New Roman"/>
          <w:szCs w:val="24"/>
        </w:rPr>
        <w:instrText>ADDIN CSL_CITATION {"citationItems":[{"id":"ITEM-1","itemData":{"URL":"https://www.nice.org.uk/guidance/cg90/","accessed":{"date-parts":[["2016","9","9"]]},"author":[{"dropping-particle":"","family":"National Institute for Health and Care Excellence","given":"","non-dropping-particle":"","parse-names":false,"suffix":""}],"id":"ITEM-1","issue":"October","issued":{"date-parts":[["2009"]]},"page":"63","title":"Depression in adults: recognition and management. CG90","type":"webpage"},"uris":["http://www.mendeley.com/documents/?uuid=72612f6a-f62b-452b-a048-1f85f6cf419d"]}],"mendeley":{"formattedCitation":"(National Institute for Health and Care Excellence, 2009)","plainTextFormattedCitation":"(National Institute for Health and Care Excellence, 2009)","previouslyFormattedCitation":"(National Institute for Health and Care Excellence, 2009)"},"properties":{"noteIndex":0},"schema":"https://github.com/citation-style-language/schema/raw/master/csl-citation.json"}</w:instrText>
      </w:r>
      <w:r>
        <w:rPr>
          <w:rFonts w:cs="Times New Roman"/>
          <w:szCs w:val="24"/>
        </w:rPr>
        <w:fldChar w:fldCharType="separate"/>
      </w:r>
      <w:r w:rsidRPr="00967ACC">
        <w:rPr>
          <w:rFonts w:cs="Times New Roman"/>
          <w:noProof/>
          <w:szCs w:val="24"/>
        </w:rPr>
        <w:t>(National Institute for Health and Care Excellence, 2009)</w:t>
      </w:r>
      <w:r>
        <w:rPr>
          <w:rFonts w:cs="Times New Roman"/>
          <w:szCs w:val="24"/>
        </w:rPr>
        <w:fldChar w:fldCharType="end"/>
      </w:r>
      <w:r>
        <w:rPr>
          <w:rFonts w:cs="Times New Roman"/>
          <w:szCs w:val="24"/>
        </w:rPr>
        <w:t>,</w:t>
      </w:r>
      <w:r w:rsidRPr="00172C39">
        <w:rPr>
          <w:rFonts w:cs="Times New Roman"/>
          <w:szCs w:val="24"/>
        </w:rPr>
        <w:t xml:space="preserve"> </w:t>
      </w:r>
      <w:r>
        <w:rPr>
          <w:rFonts w:cs="Times New Roman"/>
          <w:szCs w:val="24"/>
        </w:rPr>
        <w:t xml:space="preserve">the use of </w:t>
      </w:r>
      <w:r w:rsidRPr="00172C39">
        <w:rPr>
          <w:rFonts w:cs="Times New Roman"/>
          <w:szCs w:val="24"/>
        </w:rPr>
        <w:t xml:space="preserve">smartphone and tablet computer </w:t>
      </w:r>
      <w:r>
        <w:rPr>
          <w:rFonts w:cs="Times New Roman"/>
          <w:szCs w:val="24"/>
        </w:rPr>
        <w:t>has fundamentally altered the way that people interact with technology.</w:t>
      </w:r>
      <w:r w:rsidRPr="00172C39">
        <w:rPr>
          <w:rFonts w:cs="Times New Roman"/>
          <w:szCs w:val="24"/>
        </w:rPr>
        <w:t xml:space="preserve"> </w:t>
      </w:r>
      <w:r w:rsidR="00455598">
        <w:rPr>
          <w:rFonts w:cs="Times New Roman"/>
          <w:szCs w:val="24"/>
        </w:rPr>
        <w:t xml:space="preserve"> </w:t>
      </w:r>
      <w:r>
        <w:rPr>
          <w:rFonts w:cs="Times New Roman"/>
          <w:szCs w:val="24"/>
        </w:rPr>
        <w:t xml:space="preserve">On these </w:t>
      </w:r>
      <w:r w:rsidRPr="00083FD3">
        <w:rPr>
          <w:rFonts w:cs="Times New Roman"/>
          <w:noProof/>
          <w:szCs w:val="24"/>
        </w:rPr>
        <w:t>devices</w:t>
      </w:r>
      <w:r>
        <w:rPr>
          <w:rFonts w:cs="Times New Roman"/>
          <w:noProof/>
          <w:szCs w:val="24"/>
        </w:rPr>
        <w:t>,</w:t>
      </w:r>
      <w:r>
        <w:rPr>
          <w:rFonts w:cs="Times New Roman"/>
          <w:szCs w:val="24"/>
        </w:rPr>
        <w:t xml:space="preserve"> </w:t>
      </w:r>
      <w:r w:rsidRPr="00172C39">
        <w:rPr>
          <w:rFonts w:cs="Times New Roman"/>
          <w:szCs w:val="24"/>
        </w:rPr>
        <w:t>a plethora of health- and mental health-related apps</w:t>
      </w:r>
      <w:r>
        <w:rPr>
          <w:rFonts w:cs="Times New Roman"/>
          <w:szCs w:val="24"/>
        </w:rPr>
        <w:t xml:space="preserve"> are</w:t>
      </w:r>
      <w:r w:rsidRPr="00172C39">
        <w:rPr>
          <w:rFonts w:cs="Times New Roman"/>
          <w:szCs w:val="24"/>
        </w:rPr>
        <w:t xml:space="preserve"> available at very little or no cost to the user. </w:t>
      </w:r>
      <w:r w:rsidR="00455598">
        <w:rPr>
          <w:rFonts w:cs="Times New Roman"/>
          <w:szCs w:val="24"/>
        </w:rPr>
        <w:t xml:space="preserve"> </w:t>
      </w:r>
      <w:r w:rsidRPr="00172C39">
        <w:rPr>
          <w:rFonts w:cs="Times New Roman"/>
          <w:szCs w:val="24"/>
        </w:rPr>
        <w:t xml:space="preserve">However, the quality and effectiveness of these apps </w:t>
      </w:r>
      <w:r>
        <w:rPr>
          <w:rFonts w:cs="Times New Roman"/>
          <w:noProof/>
          <w:szCs w:val="24"/>
        </w:rPr>
        <w:t>are</w:t>
      </w:r>
      <w:r w:rsidRPr="00172C39">
        <w:rPr>
          <w:rFonts w:cs="Times New Roman"/>
          <w:szCs w:val="24"/>
        </w:rPr>
        <w:t xml:space="preserve"> often questionable, with no general requirement to demonstrate beneficial outcomes through clinical trials or other means. </w:t>
      </w:r>
      <w:r w:rsidR="00455598">
        <w:rPr>
          <w:rFonts w:cs="Times New Roman"/>
          <w:szCs w:val="24"/>
        </w:rPr>
        <w:t xml:space="preserve"> </w:t>
      </w:r>
      <w:r w:rsidRPr="00172C39">
        <w:rPr>
          <w:rFonts w:cs="Times New Roman"/>
          <w:szCs w:val="24"/>
        </w:rPr>
        <w:t xml:space="preserve">While recent </w:t>
      </w:r>
      <w:r>
        <w:rPr>
          <w:rFonts w:cs="Times New Roman"/>
          <w:szCs w:val="24"/>
        </w:rPr>
        <w:t xml:space="preserve">policy </w:t>
      </w:r>
      <w:r w:rsidRPr="00172C39">
        <w:rPr>
          <w:rFonts w:cs="Times New Roman"/>
          <w:szCs w:val="24"/>
        </w:rPr>
        <w:t xml:space="preserve">changes mean that currently, some stand-alone software including smartphone apps installed onto a device </w:t>
      </w:r>
      <w:r>
        <w:rPr>
          <w:rFonts w:cs="Times New Roman"/>
          <w:szCs w:val="24"/>
        </w:rPr>
        <w:t>for</w:t>
      </w:r>
      <w:r w:rsidRPr="00172C39">
        <w:rPr>
          <w:rFonts w:cs="Times New Roman"/>
          <w:szCs w:val="24"/>
        </w:rPr>
        <w:t xml:space="preserve"> a medical purpose are now considered a “medical device” </w:t>
      </w:r>
      <w:r w:rsidRPr="00172C39">
        <w:rPr>
          <w:rFonts w:cs="Times New Roman"/>
          <w:szCs w:val="24"/>
        </w:rPr>
        <w:fldChar w:fldCharType="begin" w:fldLock="1"/>
      </w:r>
      <w:r>
        <w:rPr>
          <w:rFonts w:cs="Times New Roman"/>
          <w:szCs w:val="24"/>
        </w:rPr>
        <w:instrText>ADDIN CSL_CITATION {"citationItems":[{"id":"ITEM-1","itemData":{"URL":"http://ec.europa.eu/DocsRoom/documents/17921/attachments/1/translations/en/renditions/pdf","author":[{"dropping-particle":"","family":"European Commission","given":"","non-dropping-particle":"","parse-names":false,"suffix":""}],"id":"ITEM-1","issue":"July","issued":{"date-parts":[["2016"]]},"title":"Guidance document Medical Devices - Scope, field of application, definition - Qualification and Classification of stand alone software - MEDDEV 2.1/6","type":"webpage"},"uris":["http://www.mendeley.com/documents/?uuid=396bd9b2-0afd-4ca7-8849-ff62d7937851"]},{"id":"ITEM-2","itemData":{"URL":"http://ec.europa.eu/growth/sectors/medical-devices/","abstract":"Medical device stand-alone software including apps (including IVDMDs) We welcome comments on this document. Please send feedback to: software@mhra.gsi.gov.uk All of the current legislation regulating medical devices is in the process of being revised at European level. This will replace the existing three European directives with two European regulations. This guidance applies to the current regulatory framework -new regulations may result in changes to the classification criteria for software medical devices.","accessed":{"date-parts":[["2016","9","9"]]},"author":[{"dropping-particle":"","family":"MHRA","given":"","non-dropping-particle":"","parse-names":false,"suffix":""}],"container-title":"Mhra","id":"ITEM-2","issued":{"date-parts":[["2016"]]},"page":"1-36","title":"Guidance: Medical device stand-alone software including apps (including IVDMDs) All","type":"webpage"},"uris":["http://www.mendeley.com/documents/?uuid=aed394d9-c11b-468a-91c0-109f113c633b"]}],"mendeley":{"formattedCitation":"(European Commission, 2016; MHRA, 2016)","plainTextFormattedCitation":"(European Commission, 2016; MHRA, 2016)","previouslyFormattedCitation":"(European Commission, 2016; MHRA, 2016)"},"properties":{"noteIndex":0},"schema":"https://github.com/citation-style-language/schema/raw/master/csl-citation.json"}</w:instrText>
      </w:r>
      <w:r w:rsidRPr="00172C39">
        <w:rPr>
          <w:rFonts w:cs="Times New Roman"/>
          <w:szCs w:val="24"/>
        </w:rPr>
        <w:fldChar w:fldCharType="separate"/>
      </w:r>
      <w:r w:rsidRPr="00967ACC">
        <w:rPr>
          <w:rFonts w:cs="Times New Roman"/>
          <w:noProof/>
          <w:szCs w:val="24"/>
        </w:rPr>
        <w:t>(European Commission, 2016; MHRA, 2016)</w:t>
      </w:r>
      <w:r w:rsidRPr="00172C39">
        <w:rPr>
          <w:rFonts w:cs="Times New Roman"/>
          <w:szCs w:val="24"/>
        </w:rPr>
        <w:fldChar w:fldCharType="end"/>
      </w:r>
      <w:r w:rsidRPr="00172C39">
        <w:rPr>
          <w:rFonts w:cs="Times New Roman"/>
          <w:szCs w:val="24"/>
        </w:rPr>
        <w:t xml:space="preserve"> and must </w:t>
      </w:r>
      <w:r w:rsidRPr="00083FD3">
        <w:rPr>
          <w:rFonts w:cs="Times New Roman"/>
          <w:noProof/>
          <w:szCs w:val="24"/>
        </w:rPr>
        <w:t>be registered</w:t>
      </w:r>
      <w:r w:rsidRPr="00172C39">
        <w:rPr>
          <w:rFonts w:cs="Times New Roman"/>
          <w:szCs w:val="24"/>
        </w:rPr>
        <w:t xml:space="preserve"> with the</w:t>
      </w:r>
      <w:r>
        <w:rPr>
          <w:rFonts w:cs="Times New Roman"/>
          <w:szCs w:val="24"/>
        </w:rPr>
        <w:t xml:space="preserve"> </w:t>
      </w:r>
      <w:r w:rsidRPr="00172C39">
        <w:rPr>
          <w:rFonts w:cs="Times New Roman"/>
          <w:szCs w:val="24"/>
        </w:rPr>
        <w:t xml:space="preserve">MHRA, registration is not in itself an indication of </w:t>
      </w:r>
      <w:r>
        <w:rPr>
          <w:rFonts w:cs="Times New Roman"/>
          <w:szCs w:val="24"/>
        </w:rPr>
        <w:t>efficacy</w:t>
      </w:r>
      <w:r w:rsidRPr="00172C39">
        <w:rPr>
          <w:rFonts w:cs="Times New Roman"/>
          <w:szCs w:val="24"/>
        </w:rPr>
        <w:t xml:space="preserve"> </w:t>
      </w:r>
      <w:r w:rsidRPr="00172C39">
        <w:rPr>
          <w:rFonts w:cs="Times New Roman"/>
          <w:szCs w:val="24"/>
        </w:rPr>
        <w:fldChar w:fldCharType="begin" w:fldLock="1"/>
      </w:r>
      <w:r>
        <w:rPr>
          <w:rFonts w:cs="Times New Roman"/>
          <w:szCs w:val="24"/>
        </w:rPr>
        <w:instrText>ADDIN CSL_CITATION {"citationItems":[{"id":"ITEM-1","itemData":{"DOI":"10.1136/bmj.f1811","ISBN":"1756-1833 (Electronic)\\r0959-535X (Linking)","ISSN":"1756-1833","PMID":"23516158","abstract":"NotesCite this as: BMJ 2013;346:f1811","author":[{"dropping-particle":"","family":"McCartney","given":"M","non-dropping-particle":"","parse-names":false,"suffix":""}],"container-title":"BMJ","id":"ITEM-1","issued":{"date-parts":[["2013"]]},"page":"f1811","title":"How do we know whether medical apps work?","type":"article-journal","volume":"346"},"uris":["http://www.mendeley.com/documents/?uuid=9f6d6c71-a94e-45f2-ba52-96269624d2be"]}],"mendeley":{"formattedCitation":"(McCartney, 2013)","plainTextFormattedCitation":"(McCartney, 2013)","previouslyFormattedCitation":"(McCartney, 2013)"},"properties":{"noteIndex":0},"schema":"https://github.com/citation-style-language/schema/raw/master/csl-citation.json"}</w:instrText>
      </w:r>
      <w:r w:rsidRPr="00172C39">
        <w:rPr>
          <w:rFonts w:cs="Times New Roman"/>
          <w:szCs w:val="24"/>
        </w:rPr>
        <w:fldChar w:fldCharType="separate"/>
      </w:r>
      <w:bookmarkStart w:id="52" w:name="__Fieldmark__386_1343359114"/>
      <w:bookmarkStart w:id="53" w:name="__Fieldmark__349_1029187979"/>
      <w:bookmarkStart w:id="54" w:name="__Fieldmark__244_1571196078"/>
      <w:bookmarkStart w:id="55" w:name="__Fieldmark__250_1553685682"/>
      <w:bookmarkStart w:id="56" w:name="__Fieldmark__130_2047181898"/>
      <w:bookmarkStart w:id="57" w:name="__Fieldmark__97_586849792"/>
      <w:r w:rsidRPr="00967ACC">
        <w:rPr>
          <w:rFonts w:cs="Times New Roman"/>
          <w:noProof/>
          <w:szCs w:val="24"/>
        </w:rPr>
        <w:t>(McCartney, 2013)</w:t>
      </w:r>
      <w:r w:rsidRPr="00172C39">
        <w:rPr>
          <w:rFonts w:cs="Times New Roman"/>
          <w:szCs w:val="24"/>
        </w:rPr>
        <w:fldChar w:fldCharType="end"/>
      </w:r>
      <w:bookmarkEnd w:id="52"/>
      <w:bookmarkEnd w:id="53"/>
      <w:bookmarkEnd w:id="54"/>
      <w:bookmarkEnd w:id="55"/>
      <w:bookmarkEnd w:id="56"/>
      <w:bookmarkEnd w:id="57"/>
      <w:r w:rsidR="00455598">
        <w:rPr>
          <w:rFonts w:cs="Times New Roman"/>
          <w:szCs w:val="24"/>
        </w:rPr>
        <w:t>.</w:t>
      </w:r>
    </w:p>
    <w:p w14:paraId="135F6C5B" w14:textId="4CD61503" w:rsidR="00E30483" w:rsidRPr="00172C39" w:rsidRDefault="00E30483" w:rsidP="00E30483">
      <w:pPr>
        <w:rPr>
          <w:rFonts w:cs="Times New Roman"/>
          <w:szCs w:val="24"/>
        </w:rPr>
      </w:pPr>
      <w:r w:rsidRPr="00172C39">
        <w:rPr>
          <w:rFonts w:cs="Times New Roman"/>
          <w:szCs w:val="24"/>
        </w:rPr>
        <w:t>Meanwhile, the next generation of web apps includ</w:t>
      </w:r>
      <w:r>
        <w:rPr>
          <w:rFonts w:cs="Times New Roman"/>
          <w:szCs w:val="24"/>
        </w:rPr>
        <w:t>es</w:t>
      </w:r>
      <w:r w:rsidRPr="00172C39">
        <w:rPr>
          <w:rFonts w:cs="Times New Roman"/>
          <w:szCs w:val="24"/>
        </w:rPr>
        <w:t xml:space="preserve"> features such as social networking which </w:t>
      </w:r>
      <w:r>
        <w:rPr>
          <w:rFonts w:cs="Times New Roman"/>
          <w:szCs w:val="24"/>
        </w:rPr>
        <w:t xml:space="preserve">can </w:t>
      </w:r>
      <w:r w:rsidRPr="00172C39">
        <w:rPr>
          <w:rFonts w:cs="Times New Roman"/>
          <w:szCs w:val="24"/>
        </w:rPr>
        <w:t xml:space="preserve">lead to complex and dynamic interactions among users and technology. </w:t>
      </w:r>
      <w:r w:rsidR="00455598">
        <w:rPr>
          <w:rFonts w:cs="Times New Roman"/>
          <w:szCs w:val="24"/>
        </w:rPr>
        <w:t xml:space="preserve"> </w:t>
      </w:r>
      <w:r w:rsidRPr="00172C39">
        <w:rPr>
          <w:rFonts w:cs="Times New Roman"/>
          <w:szCs w:val="24"/>
        </w:rPr>
        <w:t xml:space="preserve">Unfortunately, the pace of change in smartphone and web health app development frequently renders the research community unable to evaluate programs fast enough to endorse or reject new interventions </w:t>
      </w:r>
      <w:r>
        <w:rPr>
          <w:rFonts w:cs="Times New Roman"/>
          <w:szCs w:val="24"/>
        </w:rPr>
        <w:t xml:space="preserve">based on evidence </w:t>
      </w:r>
      <w:r w:rsidRPr="00172C39">
        <w:rPr>
          <w:rFonts w:cs="Times New Roman"/>
          <w:szCs w:val="24"/>
        </w:rPr>
        <w:t xml:space="preserve">as potentially </w:t>
      </w:r>
      <w:r w:rsidRPr="00083FD3">
        <w:rPr>
          <w:rFonts w:cs="Times New Roman"/>
          <w:noProof/>
          <w:szCs w:val="24"/>
        </w:rPr>
        <w:t>effective</w:t>
      </w:r>
      <w:r w:rsidRPr="00172C39">
        <w:rPr>
          <w:rFonts w:cs="Times New Roman"/>
          <w:szCs w:val="24"/>
        </w:rPr>
        <w:t xml:space="preserve"> components in routine care.</w:t>
      </w:r>
      <w:r>
        <w:rPr>
          <w:rFonts w:cs="Times New Roman"/>
          <w:szCs w:val="24"/>
        </w:rPr>
        <w:t xml:space="preserve">  This problem is not only effects researchers but also older adults who struggle to keep up with technology and as a result feel left behind </w:t>
      </w:r>
      <w:r w:rsidRPr="00083FD3">
        <w:rPr>
          <w:rFonts w:cs="Times New Roman"/>
          <w:szCs w:val="24"/>
        </w:rPr>
        <w:fldChar w:fldCharType="begin" w:fldLock="1"/>
      </w:r>
      <w:r>
        <w:rPr>
          <w:rFonts w:cs="Times New Roman"/>
          <w:szCs w:val="24"/>
        </w:rPr>
        <w:instrText>ADDIN CSL_CITATION {"citationItems":[{"id":"ITEM-1","itemData":{"DOI":"10.3389/fpsyg.2017.01687","ISSN":"1664-1078","PMID":"29071004","abstract":"BACKGROUND New technologies provide opportunities for the delivery of broad, flexible interventions with older adults. Focus groups were conducted to: (1) understand older adults' familiarity with, and barriers to, interacting with new technologies and tablets; and (2) utilize user-engagement in refining an intervention protocol. METHODS Eighteen older adults (65-76 years old; 83.3% female) who were novice tablet users participated in discussions about their perceptions of and barriers to interacting with tablets. We conducted three separate focus groups and used a generic qualitative design applying thematic analysis to analyse the data. The focus groups explored attitudes toward tablets and technology in general. We also explored the perceived advantages and disadvantages of using tablets, familiarity with, and barriers to interacting with tablets. In two of the focus groups, participants had previous computing experience (e.g., desktop), while in the other, participants had no previous computing experience. None of the participants had any previous experience with tablet computers. RESULTS The themes that emerged were related to barriers (i.e., lack of instructions and guidance, lack of knowledge and confidence, health-related barriers, cost); disadvantages and concerns (i.e., too much and too complex technology, feelings of inadequacy, and comparison with younger generations, lack of social interaction and communication, negative features of tablets); advantages (i.e., positive features of tablets, accessing information, willingness to adopt technology); and skepticism about using tablets and technology in general. After brief exposure to tablets, participants emphasized the likelihood of using a tablet in the future. CONCLUSIONS Our findings suggest that most of our participants were eager to adopt new technology and willing to learn using a tablet. However, they voiced apprehension about lack of, or lack of clarity in, instructions and support. Understanding older adults' perceptions of technology is important to assist with introducing it to this population and maximize the potential of technology to facilitate independent living.","author":[{"dropping-particle":"","family":"Vaportzis","given":"Eleftheria","non-dropping-particle":"","parse-names":false,"suffix":""},{"dropping-particle":"","family":"Clausen","given":"Maria Giatsi","non-dropping-particle":"","parse-names":false,"suffix":""},{"dropping-particle":"","family":"Gow","given":"Alan J","non-dropping-particle":"","parse-names":false,"suffix":""}],"container-title":"Frontiers in psychology","id":"ITEM-1","issued":{"date-parts":[["2017","10","4"]]},"page":"1687","publisher":"Frontiers Media SA","title":"Older Adults Perceptions of Technology and Barriers to Interacting with Tablet Computers: A Focus Group Study.","type":"article-journal","volume":"8"},"uris":["http://www.mendeley.com/documents/?uuid=87d6f71a-8b49-3736-96f5-0ebcc4814a8b"]}],"mendeley":{"formattedCitation":"(Vaportzis, Clausen and Gow, 2017)","plainTextFormattedCitation":"(Vaportzis, Clausen and Gow, 2017)","previouslyFormattedCitation":"(Vaportzis, Clausen and Gow, 2017)"},"properties":{"noteIndex":0},"schema":"https://github.com/citation-style-language/schema/raw/master/csl-citation.json"}</w:instrText>
      </w:r>
      <w:r w:rsidRPr="00083FD3">
        <w:rPr>
          <w:rFonts w:cs="Times New Roman"/>
          <w:szCs w:val="24"/>
        </w:rPr>
        <w:fldChar w:fldCharType="separate"/>
      </w:r>
      <w:r w:rsidRPr="0041231B">
        <w:rPr>
          <w:rFonts w:cs="Times New Roman"/>
          <w:noProof/>
          <w:szCs w:val="24"/>
        </w:rPr>
        <w:t>(Vaportzis, Clausen and Gow, 2017</w:t>
      </w:r>
      <w:r w:rsidRPr="00083FD3">
        <w:rPr>
          <w:rFonts w:cs="Times New Roman"/>
          <w:noProof/>
          <w:szCs w:val="24"/>
        </w:rPr>
        <w:t>)</w:t>
      </w:r>
      <w:r w:rsidRPr="00083FD3">
        <w:rPr>
          <w:rFonts w:cs="Times New Roman"/>
          <w:noProof/>
          <w:szCs w:val="24"/>
        </w:rPr>
        <w:fldChar w:fldCharType="end"/>
      </w:r>
      <w:r w:rsidRPr="00083FD3">
        <w:rPr>
          <w:rFonts w:cs="Times New Roman"/>
          <w:noProof/>
          <w:szCs w:val="24"/>
        </w:rPr>
        <w:t>.</w:t>
      </w:r>
      <w:r>
        <w:rPr>
          <w:rFonts w:cs="Times New Roman"/>
          <w:szCs w:val="24"/>
        </w:rPr>
        <w:t xml:space="preserve">  This shifting </w:t>
      </w:r>
      <w:r w:rsidRPr="00172C39">
        <w:rPr>
          <w:rFonts w:cs="Times New Roman"/>
          <w:szCs w:val="24"/>
        </w:rPr>
        <w:t xml:space="preserve">policy and technological </w:t>
      </w:r>
      <w:r>
        <w:rPr>
          <w:rFonts w:cs="Times New Roman"/>
          <w:szCs w:val="24"/>
        </w:rPr>
        <w:t>landscape</w:t>
      </w:r>
      <w:r w:rsidRPr="00172C39">
        <w:rPr>
          <w:rFonts w:cs="Times New Roman"/>
          <w:szCs w:val="24"/>
        </w:rPr>
        <w:t xml:space="preserve"> </w:t>
      </w:r>
      <w:r w:rsidRPr="00083FD3">
        <w:rPr>
          <w:rFonts w:cs="Times New Roman"/>
          <w:noProof/>
          <w:szCs w:val="24"/>
        </w:rPr>
        <w:t>means</w:t>
      </w:r>
      <w:r w:rsidRPr="00172C39">
        <w:rPr>
          <w:rFonts w:cs="Times New Roman"/>
          <w:szCs w:val="24"/>
        </w:rPr>
        <w:t xml:space="preserve"> that consult</w:t>
      </w:r>
      <w:r>
        <w:rPr>
          <w:rFonts w:cs="Times New Roman"/>
          <w:szCs w:val="24"/>
        </w:rPr>
        <w:t>ing</w:t>
      </w:r>
      <w:r w:rsidRPr="00172C39">
        <w:rPr>
          <w:rFonts w:cs="Times New Roman"/>
          <w:szCs w:val="24"/>
        </w:rPr>
        <w:t xml:space="preserve"> NICE guidelines </w:t>
      </w:r>
      <w:r>
        <w:rPr>
          <w:rFonts w:cs="Times New Roman"/>
          <w:szCs w:val="24"/>
        </w:rPr>
        <w:t xml:space="preserve">is no longer an effective way to find out </w:t>
      </w:r>
      <w:r w:rsidRPr="00172C39">
        <w:rPr>
          <w:rFonts w:cs="Times New Roman"/>
          <w:szCs w:val="24"/>
        </w:rPr>
        <w:t>wh</w:t>
      </w:r>
      <w:r>
        <w:rPr>
          <w:rFonts w:cs="Times New Roman"/>
          <w:szCs w:val="24"/>
        </w:rPr>
        <w:t xml:space="preserve">ich </w:t>
      </w:r>
      <w:r w:rsidRPr="00172C39">
        <w:rPr>
          <w:rFonts w:cs="Times New Roman"/>
          <w:szCs w:val="24"/>
        </w:rPr>
        <w:t>e-therapies are being routinely used and recommended across the NHS in England.</w:t>
      </w:r>
    </w:p>
    <w:p w14:paraId="4ECC990D" w14:textId="77777777" w:rsidR="00E30483" w:rsidRPr="00172C39" w:rsidRDefault="00E30483" w:rsidP="005E60F7">
      <w:pPr>
        <w:pStyle w:val="Heading2"/>
        <w:rPr>
          <w:rFonts w:cs="Times New Roman"/>
          <w:szCs w:val="24"/>
        </w:rPr>
      </w:pPr>
      <w:bookmarkStart w:id="58" w:name="_Toc530598103"/>
      <w:bookmarkStart w:id="59" w:name="_Toc530660456"/>
      <w:bookmarkStart w:id="60" w:name="_Toc3538057"/>
      <w:r w:rsidRPr="00172C39">
        <w:rPr>
          <w:rFonts w:cs="Times New Roman"/>
          <w:szCs w:val="24"/>
        </w:rPr>
        <w:t>Access to Digital Mental Healthcare in the NHS in England</w:t>
      </w:r>
      <w:bookmarkEnd w:id="58"/>
      <w:bookmarkEnd w:id="59"/>
      <w:bookmarkEnd w:id="60"/>
    </w:p>
    <w:p w14:paraId="1A187831" w14:textId="76E9FDDA" w:rsidR="00E30483" w:rsidRPr="00172C39" w:rsidRDefault="00E30483" w:rsidP="00E30483">
      <w:pPr>
        <w:rPr>
          <w:rFonts w:cs="Times New Roman"/>
          <w:szCs w:val="24"/>
        </w:rPr>
      </w:pPr>
      <w:r>
        <w:rPr>
          <w:rFonts w:cs="Times New Roman"/>
          <w:szCs w:val="24"/>
        </w:rPr>
        <w:t xml:space="preserve">Understanding </w:t>
      </w:r>
      <w:r w:rsidRPr="00172C39">
        <w:rPr>
          <w:rFonts w:cs="Times New Roman"/>
          <w:szCs w:val="24"/>
        </w:rPr>
        <w:t>the digital mental health service landscape</w:t>
      </w:r>
      <w:r>
        <w:rPr>
          <w:rFonts w:cs="Times New Roman"/>
          <w:szCs w:val="24"/>
        </w:rPr>
        <w:t xml:space="preserve"> requires consideration of</w:t>
      </w:r>
      <w:r w:rsidRPr="00172C39">
        <w:rPr>
          <w:rFonts w:cs="Times New Roman"/>
          <w:szCs w:val="24"/>
        </w:rPr>
        <w:t xml:space="preserve"> the methods of access to NHS recommended digital healthcare in England.  There are several points of access including both</w:t>
      </w:r>
      <w:r w:rsidR="00455598">
        <w:rPr>
          <w:rFonts w:cs="Times New Roman"/>
          <w:szCs w:val="24"/>
        </w:rPr>
        <w:t xml:space="preserve"> referral and self-help routes.</w:t>
      </w:r>
    </w:p>
    <w:p w14:paraId="37C7BBEE" w14:textId="1082E933" w:rsidR="00E30483" w:rsidRPr="00172C39" w:rsidRDefault="00E30483" w:rsidP="005E60F7">
      <w:pPr>
        <w:pStyle w:val="Heading3"/>
      </w:pPr>
      <w:bookmarkStart w:id="61" w:name="_Toc530598104"/>
      <w:bookmarkStart w:id="62" w:name="_Toc530660457"/>
      <w:bookmarkStart w:id="63" w:name="_Toc3538058"/>
      <w:r w:rsidRPr="00172C39">
        <w:t>Referral</w:t>
      </w:r>
      <w:bookmarkEnd w:id="61"/>
      <w:bookmarkEnd w:id="62"/>
      <w:bookmarkEnd w:id="63"/>
    </w:p>
    <w:p w14:paraId="048161EC" w14:textId="3EDC76B9" w:rsidR="00E30483" w:rsidRPr="00A75687" w:rsidRDefault="00E30483" w:rsidP="005E60F7">
      <w:pPr>
        <w:pStyle w:val="Heading4"/>
      </w:pPr>
      <w:r w:rsidRPr="00083FD3">
        <w:rPr>
          <w:noProof/>
        </w:rPr>
        <w:t>Improving Access to Psychological Therapies</w:t>
      </w:r>
    </w:p>
    <w:p w14:paraId="729640A5" w14:textId="01E90AFF" w:rsidR="00E30483" w:rsidRPr="00172C39" w:rsidRDefault="00E30483" w:rsidP="00E30483">
      <w:pPr>
        <w:rPr>
          <w:rFonts w:cs="Times New Roman"/>
          <w:szCs w:val="24"/>
        </w:rPr>
      </w:pPr>
      <w:r w:rsidRPr="00172C39">
        <w:rPr>
          <w:rFonts w:cs="Times New Roman"/>
          <w:szCs w:val="24"/>
        </w:rPr>
        <w:t xml:space="preserve">Much of the primary mental health care </w:t>
      </w:r>
      <w:r w:rsidRPr="00083FD3">
        <w:rPr>
          <w:rFonts w:cs="Times New Roman"/>
          <w:noProof/>
          <w:szCs w:val="24"/>
        </w:rPr>
        <w:t>provision</w:t>
      </w:r>
      <w:r w:rsidRPr="00172C39">
        <w:rPr>
          <w:rFonts w:cs="Times New Roman"/>
          <w:szCs w:val="24"/>
        </w:rPr>
        <w:t xml:space="preserve"> in the NHS in England currently comes through Improving Access to Psychological Therapies (IAPT) programme.</w:t>
      </w:r>
      <w:r w:rsidR="004525DB">
        <w:rPr>
          <w:rFonts w:cs="Times New Roman"/>
          <w:szCs w:val="24"/>
        </w:rPr>
        <w:t xml:space="preserve"> </w:t>
      </w:r>
      <w:r w:rsidRPr="00172C39">
        <w:rPr>
          <w:rFonts w:cs="Times New Roman"/>
          <w:szCs w:val="24"/>
        </w:rPr>
        <w:t xml:space="preserve"> IAPT was launched in 2007 </w:t>
      </w:r>
      <w:r>
        <w:rPr>
          <w:rFonts w:cs="Times New Roman"/>
          <w:szCs w:val="24"/>
        </w:rPr>
        <w:t>to improve</w:t>
      </w:r>
      <w:r w:rsidRPr="00172C39">
        <w:rPr>
          <w:rFonts w:cs="Times New Roman"/>
          <w:szCs w:val="24"/>
        </w:rPr>
        <w:t xml:space="preserve"> access to NICE-recommended psychological therapies for depression and anxiety disorders </w:t>
      </w:r>
      <w:r w:rsidRPr="00172C39">
        <w:rPr>
          <w:rFonts w:cs="Times New Roman"/>
          <w:szCs w:val="24"/>
        </w:rPr>
        <w:fldChar w:fldCharType="begin" w:fldLock="1"/>
      </w:r>
      <w:r>
        <w:rPr>
          <w:rFonts w:cs="Times New Roman"/>
          <w:szCs w:val="24"/>
        </w:rPr>
        <w:instrText>ADDIN CSL_CITATION {"citationItems":[{"id":"ITEM-1","itemData":{"DOI":"10.3109/09540261.2011.606803","ISBN":"1369-1627 (Electronic)\\r0954-0261 (Linking)","ISSN":"09540261","PMID":"22026487","abstract":"The Improving Access to Psychological Therapies (IAPT) programme is a large-scale initiative that aims to greatly increase the availability of NICE recommended psychological treatment for depression and anxiety disorders within the National Health Service in England. This article describes the background to the programme, the arguments on which it is based, the therapist training scheme, the clinical service model, and a summary of progress to date. At mid-point in a national roll-out of the programme progress is generally in line with expectation, and a large number of people who would not otherwise have had the opportunity to receive evidence-based psychological treatment have accessed, and benefited from, the new IAPT services. Planned future developments and challenges for the programme are briefly described.","author":[{"dropping-particle":"","family":"Clark","given":"David M.","non-dropping-particle":"","parse-names":false,"suffix":""}],"container-title":"International Review of Psychiatry","id":"ITEM-1","issue":"4","issued":{"date-parts":[["2011"]]},"page":"318-327","title":"Implementing NICE guidelines for the psychological treatment of depression and anxiety disorders: The IAPT experience","type":"article-journal","volume":"23"},"uris":["http://www.mendeley.com/documents/?uuid=5996b981-4f50-4ecd-afcd-d5955cd22548"]}],"mendeley":{"formattedCitation":"(Clark, 2011)","plainTextFormattedCitation":"(Clark, 2011)","previouslyFormattedCitation":"(Clark, 2011)"},"properties":{"noteIndex":0},"schema":"https://github.com/citation-style-language/schema/raw/master/csl-citation.json"}</w:instrText>
      </w:r>
      <w:r w:rsidRPr="00172C39">
        <w:rPr>
          <w:rFonts w:cs="Times New Roman"/>
          <w:szCs w:val="24"/>
        </w:rPr>
        <w:fldChar w:fldCharType="separate"/>
      </w:r>
      <w:bookmarkStart w:id="64" w:name="__Fieldmark__433_1343359114"/>
      <w:bookmarkStart w:id="65" w:name="__Fieldmark__394_1029187979"/>
      <w:bookmarkStart w:id="66" w:name="__Fieldmark__283_1571196078"/>
      <w:bookmarkStart w:id="67" w:name="__Fieldmark__273_1553685682"/>
      <w:bookmarkStart w:id="68" w:name="__Fieldmark__147_2047181898"/>
      <w:bookmarkStart w:id="69" w:name="__Fieldmark__110_586849792"/>
      <w:r w:rsidRPr="00967ACC">
        <w:rPr>
          <w:rFonts w:cs="Times New Roman"/>
          <w:noProof/>
          <w:szCs w:val="24"/>
        </w:rPr>
        <w:t>(Clark, 2011)</w:t>
      </w:r>
      <w:r w:rsidRPr="00172C39">
        <w:rPr>
          <w:rFonts w:cs="Times New Roman"/>
          <w:szCs w:val="24"/>
        </w:rPr>
        <w:fldChar w:fldCharType="end"/>
      </w:r>
      <w:bookmarkEnd w:id="64"/>
      <w:bookmarkEnd w:id="65"/>
      <w:bookmarkEnd w:id="66"/>
      <w:bookmarkEnd w:id="67"/>
      <w:bookmarkEnd w:id="68"/>
      <w:bookmarkEnd w:id="69"/>
      <w:r w:rsidRPr="00172C39">
        <w:rPr>
          <w:rFonts w:cs="Times New Roman"/>
          <w:szCs w:val="24"/>
        </w:rPr>
        <w:t>.</w:t>
      </w:r>
      <w:r w:rsidR="00455598">
        <w:rPr>
          <w:rFonts w:cs="Times New Roman"/>
          <w:szCs w:val="24"/>
        </w:rPr>
        <w:t xml:space="preserve"> </w:t>
      </w:r>
      <w:r w:rsidRPr="00172C39">
        <w:rPr>
          <w:rFonts w:cs="Times New Roman"/>
          <w:szCs w:val="24"/>
        </w:rPr>
        <w:t xml:space="preserve"> IAPT services are provided on a local basis, sometimes alongside other health services, and offer direct routes to assessment and treatment by specialist mental health professionals</w:t>
      </w:r>
      <w:r>
        <w:rPr>
          <w:rFonts w:cs="Times New Roman"/>
          <w:szCs w:val="24"/>
        </w:rPr>
        <w:t xml:space="preserve"> without the need for GP referral</w:t>
      </w:r>
      <w:r w:rsidR="00455598">
        <w:rPr>
          <w:rFonts w:cs="Times New Roman"/>
          <w:szCs w:val="24"/>
        </w:rPr>
        <w:t>.</w:t>
      </w:r>
    </w:p>
    <w:p w14:paraId="093AF6B3" w14:textId="5B3E8102" w:rsidR="00E30483" w:rsidRPr="00B05A30" w:rsidRDefault="00E30483" w:rsidP="00E30483">
      <w:pPr>
        <w:rPr>
          <w:rFonts w:ascii="Calibri" w:eastAsia="Times New Roman" w:hAnsi="Calibri" w:cs="Calibri"/>
          <w:color w:val="000000"/>
          <w:lang w:eastAsia="en-GB"/>
        </w:rPr>
      </w:pPr>
      <w:r w:rsidRPr="00172C39">
        <w:t xml:space="preserve">Due to current NICE guidelines making general, rather than specific recommendations regarding </w:t>
      </w:r>
      <w:r>
        <w:t>e-therapies</w:t>
      </w:r>
      <w:r w:rsidRPr="00172C39">
        <w:t xml:space="preserve">, practitioners in IAPT services are free to </w:t>
      </w:r>
      <w:r>
        <w:t>judge which apps are appropriate to use</w:t>
      </w:r>
      <w:r w:rsidRPr="00172C39">
        <w:t xml:space="preserve">.  </w:t>
      </w:r>
      <w:r>
        <w:t>Consequently,</w:t>
      </w:r>
      <w:r w:rsidRPr="00172C39">
        <w:t xml:space="preserve"> it is unclear which </w:t>
      </w:r>
      <w:r>
        <w:t>e-therapies</w:t>
      </w:r>
      <w:r w:rsidRPr="00172C39">
        <w:t xml:space="preserve"> are currently being recommended to and used by clients. </w:t>
      </w:r>
      <w:r w:rsidR="00CB2F73">
        <w:t xml:space="preserve"> </w:t>
      </w:r>
      <w:r>
        <w:t>Because</w:t>
      </w:r>
      <w:r w:rsidRPr="00172C39">
        <w:t xml:space="preserve"> mental health services in England are no longer exclusively provided by the NHS</w:t>
      </w:r>
      <w:r>
        <w:t xml:space="preserve"> - </w:t>
      </w:r>
      <w:r w:rsidRPr="00172C39">
        <w:t xml:space="preserve">charities, social enterprises, non-profit and limited companies can </w:t>
      </w:r>
      <w:r>
        <w:t xml:space="preserve">also </w:t>
      </w:r>
      <w:r w:rsidRPr="00172C39">
        <w:t>provide IAPT services</w:t>
      </w:r>
      <w:r>
        <w:t xml:space="preserve"> variation compounds this lack of clarity. </w:t>
      </w:r>
      <w:r w:rsidR="004525DB">
        <w:t xml:space="preserve"> </w:t>
      </w:r>
      <w:r>
        <w:t xml:space="preserve">In 2015-16 those aged 65 or </w:t>
      </w:r>
      <w:r w:rsidRPr="00083FD3">
        <w:rPr>
          <w:noProof/>
        </w:rPr>
        <w:lastRenderedPageBreak/>
        <w:t>over</w:t>
      </w:r>
      <w:r>
        <w:rPr>
          <w:noProof/>
        </w:rPr>
        <w:t>-</w:t>
      </w:r>
      <w:r w:rsidRPr="00083FD3">
        <w:rPr>
          <w:noProof/>
        </w:rPr>
        <w:t>represented</w:t>
      </w:r>
      <w:r w:rsidRPr="00B05A30">
        <w:t xml:space="preserve"> </w:t>
      </w:r>
      <w:r>
        <w:t>6% (</w:t>
      </w:r>
      <w:r w:rsidRPr="00B05A30">
        <w:rPr>
          <w:rFonts w:ascii="Calibri" w:eastAsia="Times New Roman" w:hAnsi="Calibri" w:cs="Calibri"/>
          <w:color w:val="000000"/>
          <w:lang w:eastAsia="en-GB"/>
        </w:rPr>
        <w:t>88,519</w:t>
      </w:r>
      <w:r>
        <w:t xml:space="preserve">) of referrals to IAPT and </w:t>
      </w:r>
      <w:r w:rsidRPr="00B05A30">
        <w:t>7</w:t>
      </w:r>
      <w:r>
        <w:t>5</w:t>
      </w:r>
      <w:r w:rsidRPr="00B05A30">
        <w:t>% (65,919) of</w:t>
      </w:r>
      <w:r>
        <w:t xml:space="preserve"> those entered IAPT treatment </w:t>
      </w:r>
      <w:r>
        <w:fldChar w:fldCharType="begin" w:fldLock="1"/>
      </w:r>
      <w:r w:rsidR="000B6CC8">
        <w:instrText>ADDIN CSL_CITATION {"citationItems":[{"id":"ITEM-1","itemData":{"ISBN":"978-1-78386-841-4","abstract":"new referrals 953,522 referrals that entered treatment 537,131 referrals that finished a course of treatment Of which: 82.1% waited less than 6 weeks and 96.3% waited less than 18 weeks to enter treatment 490,395 started their treatment at caseness, with 46.3% moving to recovery","author":[{"dropping-particle":"","family":"NHS Digital","given":"","non-dropping-particle":"","parse-names":false,"suffix":""}],"id":"ITEM-1","issued":{"date-parts":[["2017"]]},"title":"Psychological Therapies: Annual report on the use of IAPT services England, 2015-16","type":"report"},"uris":["http://www.mendeley.com/documents/?uuid=505523a3-d395-3650-8832-f58d53b3feb3"]}],"mendeley":{"formattedCitation":"(NHS Digital, 2017b)","plainTextFormattedCitation":"(NHS Digital, 2017b)","previouslyFormattedCitation":"(NHS Digital, 2017b)"},"properties":{"noteIndex":0},"schema":"https://github.com/citation-style-language/schema/raw/master/csl-citation.json"}</w:instrText>
      </w:r>
      <w:r>
        <w:fldChar w:fldCharType="separate"/>
      </w:r>
      <w:r w:rsidR="000B6CC8" w:rsidRPr="000B6CC8">
        <w:rPr>
          <w:noProof/>
        </w:rPr>
        <w:t>(NHS Digital, 2017b)</w:t>
      </w:r>
      <w:r>
        <w:fldChar w:fldCharType="end"/>
      </w:r>
      <w:r>
        <w:t>.</w:t>
      </w:r>
    </w:p>
    <w:p w14:paraId="3616F523" w14:textId="2AC37565" w:rsidR="00E30483" w:rsidRPr="00A75687" w:rsidRDefault="00E30483" w:rsidP="005E60F7">
      <w:pPr>
        <w:pStyle w:val="Heading4"/>
      </w:pPr>
      <w:r w:rsidRPr="00A75687">
        <w:t>NHS Mental Health Trusts</w:t>
      </w:r>
    </w:p>
    <w:p w14:paraId="29C71DD4" w14:textId="0B7D105A" w:rsidR="00E30483" w:rsidRPr="00172C39" w:rsidRDefault="00E30483" w:rsidP="00E30483">
      <w:pPr>
        <w:rPr>
          <w:rFonts w:cs="Times New Roman"/>
          <w:szCs w:val="24"/>
        </w:rPr>
      </w:pPr>
      <w:r w:rsidRPr="00083FD3">
        <w:rPr>
          <w:rFonts w:cs="Times New Roman"/>
          <w:noProof/>
          <w:szCs w:val="24"/>
        </w:rPr>
        <w:t>In addition</w:t>
      </w:r>
      <w:r w:rsidRPr="00172C39">
        <w:rPr>
          <w:rFonts w:cs="Times New Roman"/>
          <w:szCs w:val="24"/>
        </w:rPr>
        <w:t>, IAPT services</w:t>
      </w:r>
      <w:r w:rsidRPr="00172C39" w:rsidDel="003A4D9F">
        <w:rPr>
          <w:rFonts w:cs="Times New Roman"/>
          <w:szCs w:val="24"/>
        </w:rPr>
        <w:t xml:space="preserve"> </w:t>
      </w:r>
      <w:r>
        <w:rPr>
          <w:rFonts w:cs="Times New Roman"/>
          <w:szCs w:val="24"/>
        </w:rPr>
        <w:t xml:space="preserve">can also be provided by </w:t>
      </w:r>
      <w:r w:rsidRPr="00172C39">
        <w:rPr>
          <w:rFonts w:cs="Times New Roman"/>
          <w:szCs w:val="24"/>
        </w:rPr>
        <w:t>Mental Health Trusts</w:t>
      </w:r>
      <w:r>
        <w:rPr>
          <w:rFonts w:cs="Times New Roman"/>
          <w:szCs w:val="24"/>
        </w:rPr>
        <w:t>, which cater for severe mental health problems</w:t>
      </w:r>
      <w:r w:rsidRPr="00172C39">
        <w:rPr>
          <w:rFonts w:cs="Times New Roman"/>
          <w:szCs w:val="24"/>
        </w:rPr>
        <w:t xml:space="preserve"> </w:t>
      </w:r>
      <w:r w:rsidRPr="00172C39">
        <w:rPr>
          <w:rFonts w:cs="Times New Roman"/>
          <w:szCs w:val="24"/>
        </w:rPr>
        <w:fldChar w:fldCharType="begin" w:fldLock="1"/>
      </w:r>
      <w:r>
        <w:rPr>
          <w:rFonts w:cs="Times New Roman"/>
          <w:szCs w:val="24"/>
        </w:rPr>
        <w:instrText>ADDIN CSL_CITATION {"citationItems":[{"id":"ITEM-1","itemData":{"URL":"http://www.nhs.uk/NHSEngland/thenhs/about/Pages/authoritiesandtrusts.aspx","abstract":"Read about the different NHS trusts in England, the services they provide and how to find one in your local area.","accessed":{"date-parts":[["2016","9","9"]]},"author":[{"dropping-particle":"","family":"NHS Choices","given":"","non-dropping-particle":"","parse-names":false,"suffix":""}],"id":"ITEM-1","issued":{"date-parts":[["2015"]]},"language":"eng","publisher":"Department of Health","title":"Authorities and trusts - The NHS in England - NHS Choices","type":"webpage"},"uris":["http://www.mendeley.com/documents/?uuid=4e940925-faf8-4acf-ac3b-69c798b0cbe4"]}],"mendeley":{"formattedCitation":"(NHS Choices, 2015a)","plainTextFormattedCitation":"(NHS Choices, 2015a)","previouslyFormattedCitation":"(NHS Choices, 2015a)"},"properties":{"noteIndex":0},"schema":"https://github.com/citation-style-language/schema/raw/master/csl-citation.json"}</w:instrText>
      </w:r>
      <w:r w:rsidRPr="00172C39">
        <w:rPr>
          <w:rFonts w:cs="Times New Roman"/>
          <w:szCs w:val="24"/>
        </w:rPr>
        <w:fldChar w:fldCharType="separate"/>
      </w:r>
      <w:r w:rsidRPr="00967ACC">
        <w:rPr>
          <w:rFonts w:cs="Times New Roman"/>
          <w:noProof/>
          <w:szCs w:val="24"/>
        </w:rPr>
        <w:t>(NHS Choices, 2015a)</w:t>
      </w:r>
      <w:r w:rsidRPr="00172C39">
        <w:rPr>
          <w:rFonts w:cs="Times New Roman"/>
          <w:szCs w:val="24"/>
        </w:rPr>
        <w:fldChar w:fldCharType="end"/>
      </w:r>
      <w:r>
        <w:rPr>
          <w:rFonts w:cs="Times New Roman"/>
          <w:szCs w:val="24"/>
        </w:rPr>
        <w:t xml:space="preserve">.  </w:t>
      </w:r>
      <w:r w:rsidRPr="00172C39">
        <w:rPr>
          <w:rFonts w:cs="Times New Roman"/>
          <w:szCs w:val="24"/>
        </w:rPr>
        <w:t xml:space="preserve">In the same period in which rapid </w:t>
      </w:r>
      <w:r w:rsidRPr="00083FD3">
        <w:rPr>
          <w:rFonts w:cs="Times New Roman"/>
          <w:noProof/>
          <w:szCs w:val="24"/>
        </w:rPr>
        <w:t>technical</w:t>
      </w:r>
      <w:r w:rsidRPr="00172C39">
        <w:rPr>
          <w:rFonts w:cs="Times New Roman"/>
          <w:szCs w:val="24"/>
        </w:rPr>
        <w:t xml:space="preserve"> developments have fundamentally chang</w:t>
      </w:r>
      <w:r>
        <w:rPr>
          <w:rFonts w:cs="Times New Roman"/>
          <w:szCs w:val="24"/>
        </w:rPr>
        <w:t>ed</w:t>
      </w:r>
      <w:r w:rsidRPr="00172C39">
        <w:rPr>
          <w:rFonts w:cs="Times New Roman"/>
          <w:szCs w:val="24"/>
        </w:rPr>
        <w:t xml:space="preserve"> the way that people expect to access services in general, the NHS in England has undergone profound infrastructural changes in mental healthcare</w:t>
      </w:r>
      <w:r w:rsidRPr="003B54C6">
        <w:rPr>
          <w:rFonts w:cs="Times New Roman"/>
          <w:szCs w:val="24"/>
        </w:rPr>
        <w:t xml:space="preserve"> </w:t>
      </w:r>
      <w:r w:rsidRPr="00172C39">
        <w:rPr>
          <w:rFonts w:cs="Times New Roman"/>
          <w:szCs w:val="24"/>
        </w:rPr>
        <w:t>provision.</w:t>
      </w:r>
      <w:r w:rsidR="005B70D6">
        <w:rPr>
          <w:rFonts w:cs="Times New Roman"/>
          <w:szCs w:val="24"/>
        </w:rPr>
        <w:t xml:space="preserve"> </w:t>
      </w:r>
      <w:r w:rsidRPr="00172C39">
        <w:rPr>
          <w:rFonts w:cs="Times New Roman"/>
          <w:szCs w:val="24"/>
        </w:rPr>
        <w:t xml:space="preserve"> Collectively, these factors make for a very unclear picture of what e-therapies are used and </w:t>
      </w:r>
      <w:r w:rsidRPr="00083FD3">
        <w:rPr>
          <w:rFonts w:cs="Times New Roman"/>
          <w:noProof/>
          <w:szCs w:val="24"/>
        </w:rPr>
        <w:t>recommen</w:t>
      </w:r>
      <w:r>
        <w:rPr>
          <w:rFonts w:cs="Times New Roman"/>
          <w:noProof/>
          <w:szCs w:val="24"/>
        </w:rPr>
        <w:t>de</w:t>
      </w:r>
      <w:r w:rsidRPr="00083FD3">
        <w:rPr>
          <w:rFonts w:cs="Times New Roman"/>
          <w:noProof/>
          <w:szCs w:val="24"/>
        </w:rPr>
        <w:t>d</w:t>
      </w:r>
      <w:r w:rsidRPr="00172C39">
        <w:rPr>
          <w:rFonts w:cs="Times New Roman"/>
          <w:szCs w:val="24"/>
        </w:rPr>
        <w:t xml:space="preserve"> by the NHS across England.</w:t>
      </w:r>
    </w:p>
    <w:p w14:paraId="56D006E3" w14:textId="5DA14FE5" w:rsidR="00E30483" w:rsidRPr="00172C39" w:rsidRDefault="00E30483" w:rsidP="005E60F7">
      <w:pPr>
        <w:pStyle w:val="Heading3"/>
      </w:pPr>
      <w:bookmarkStart w:id="70" w:name="_Toc530598105"/>
      <w:bookmarkStart w:id="71" w:name="_Toc530660458"/>
      <w:bookmarkStart w:id="72" w:name="_Toc3538059"/>
      <w:r w:rsidRPr="00172C39">
        <w:t>Self-</w:t>
      </w:r>
      <w:r w:rsidR="00DA0091">
        <w:t>H</w:t>
      </w:r>
      <w:r w:rsidRPr="00172C39">
        <w:t>elp</w:t>
      </w:r>
      <w:bookmarkEnd w:id="70"/>
      <w:bookmarkEnd w:id="71"/>
      <w:bookmarkEnd w:id="72"/>
    </w:p>
    <w:p w14:paraId="05A50723" w14:textId="77777777" w:rsidR="00E30483" w:rsidRPr="00172C39" w:rsidRDefault="00E30483" w:rsidP="00E30483">
      <w:pPr>
        <w:rPr>
          <w:rFonts w:cs="Times New Roman"/>
          <w:szCs w:val="24"/>
        </w:rPr>
      </w:pPr>
      <w:r w:rsidRPr="00172C39">
        <w:rPr>
          <w:rFonts w:cs="Times New Roman"/>
          <w:szCs w:val="24"/>
        </w:rPr>
        <w:t>In addition to accessing digital mental services via traditional face to face services (IAPTs or NHS Mental Health Trusts), there are also two avenues through which the NHS has sought to guide people’s use of digital self-help for mental health concerns.</w:t>
      </w:r>
    </w:p>
    <w:p w14:paraId="270F86EF" w14:textId="277B6388" w:rsidR="00E30483" w:rsidRPr="00172C39" w:rsidRDefault="00E30483" w:rsidP="005E60F7">
      <w:pPr>
        <w:pStyle w:val="Heading4"/>
      </w:pPr>
      <w:r w:rsidRPr="00172C39">
        <w:t>NHS Health Apps Library</w:t>
      </w:r>
    </w:p>
    <w:p w14:paraId="19B841AA" w14:textId="595A5B2F" w:rsidR="00E30483" w:rsidRPr="00172C39" w:rsidDel="00EE6BB3" w:rsidRDefault="00E30483" w:rsidP="00E30483">
      <w:pPr>
        <w:rPr>
          <w:rFonts w:cs="Times New Roman"/>
          <w:szCs w:val="24"/>
        </w:rPr>
      </w:pPr>
      <w:r w:rsidRPr="00172C39">
        <w:rPr>
          <w:rFonts w:cs="Times New Roman"/>
          <w:szCs w:val="24"/>
        </w:rPr>
        <w:t>In keeping with the NHS goal</w:t>
      </w:r>
      <w:r w:rsidRPr="00172C39" w:rsidDel="002D3F52">
        <w:rPr>
          <w:rFonts w:cs="Times New Roman"/>
          <w:szCs w:val="24"/>
        </w:rPr>
        <w:t>s</w:t>
      </w:r>
      <w:r w:rsidRPr="00172C39">
        <w:rPr>
          <w:rFonts w:cs="Times New Roman"/>
          <w:szCs w:val="24"/>
        </w:rPr>
        <w:t xml:space="preserve"> of becoming “more digitised”, and with providing service users with access to tools to support their </w:t>
      </w:r>
      <w:r w:rsidRPr="00083FD3">
        <w:rPr>
          <w:rFonts w:cs="Times New Roman"/>
          <w:noProof/>
          <w:szCs w:val="24"/>
        </w:rPr>
        <w:t>own</w:t>
      </w:r>
      <w:r w:rsidRPr="00172C39">
        <w:rPr>
          <w:rFonts w:cs="Times New Roman"/>
          <w:szCs w:val="24"/>
        </w:rPr>
        <w:t xml:space="preserve"> well-being, The NHS Commissioning Board launched the NHS Health Apps Library in March 2013 </w:t>
      </w:r>
      <w:r w:rsidRPr="00172C39">
        <w:rPr>
          <w:rFonts w:cs="Times New Roman"/>
          <w:szCs w:val="24"/>
        </w:rPr>
        <w:fldChar w:fldCharType="begin" w:fldLock="1"/>
      </w:r>
      <w:r>
        <w:rPr>
          <w:rFonts w:cs="Times New Roman"/>
          <w:szCs w:val="24"/>
        </w:rPr>
        <w:instrText>ADDIN CSL_CITATION {"citationItems":[{"id":"ITEM-1","itemData":{"URL":"http://www.england.nhs.uk/2013/03/12/nhs-apps/","accessed":{"date-parts":[["2016","9","9"]]},"author":[{"dropping-particle":"","family":"NHS England","given":"","non-dropping-particle":"","parse-names":false,"suffix":""}],"id":"ITEM-1","issued":{"date-parts":[["2013"]]},"title":"NHS Commissioning Board launches library of NHS-reviewed phone apps to help keep people healthy","type":"webpage"},"uris":["http://www.mendeley.com/documents/?uuid=39467c46-7b3c-4b00-9bd3-79568969b917"]}],"mendeley":{"formattedCitation":"(NHS England, 2013)","plainTextFormattedCitation":"(NHS England, 2013)","previouslyFormattedCitation":"(NHS England, 2013)"},"properties":{"noteIndex":0},"schema":"https://github.com/citation-style-language/schema/raw/master/csl-citation.json"}</w:instrText>
      </w:r>
      <w:r w:rsidRPr="00172C39">
        <w:rPr>
          <w:rFonts w:cs="Times New Roman"/>
          <w:szCs w:val="24"/>
        </w:rPr>
        <w:fldChar w:fldCharType="separate"/>
      </w:r>
      <w:r w:rsidRPr="00967ACC">
        <w:rPr>
          <w:rFonts w:cs="Times New Roman"/>
          <w:noProof/>
          <w:szCs w:val="24"/>
        </w:rPr>
        <w:t>(NHS England, 2013)</w:t>
      </w:r>
      <w:r w:rsidRPr="00172C39">
        <w:rPr>
          <w:rFonts w:cs="Times New Roman"/>
          <w:szCs w:val="24"/>
        </w:rPr>
        <w:fldChar w:fldCharType="end"/>
      </w:r>
      <w:r w:rsidRPr="00172C39">
        <w:rPr>
          <w:rFonts w:cs="Times New Roman"/>
          <w:szCs w:val="24"/>
        </w:rPr>
        <w:t xml:space="preserve">.  The library was a </w:t>
      </w:r>
      <w:r w:rsidRPr="00083FD3">
        <w:rPr>
          <w:rFonts w:cs="Times New Roman"/>
          <w:noProof/>
          <w:szCs w:val="24"/>
        </w:rPr>
        <w:t>subsection</w:t>
      </w:r>
      <w:r w:rsidRPr="00172C39">
        <w:rPr>
          <w:rFonts w:cs="Times New Roman"/>
          <w:szCs w:val="24"/>
        </w:rPr>
        <w:t xml:space="preserve"> of the NHS Choices website and provided a portal through which the public could access a selection of smartphone </w:t>
      </w:r>
      <w:r w:rsidRPr="00172C39" w:rsidDel="00CB4277">
        <w:rPr>
          <w:rFonts w:cs="Times New Roman"/>
          <w:szCs w:val="24"/>
        </w:rPr>
        <w:t xml:space="preserve">and tablet </w:t>
      </w:r>
      <w:r w:rsidRPr="00172C39">
        <w:rPr>
          <w:rFonts w:cs="Times New Roman"/>
          <w:szCs w:val="24"/>
        </w:rPr>
        <w:t>apps reviewed by the NHS</w:t>
      </w:r>
      <w:r w:rsidR="00554CB4">
        <w:rPr>
          <w:rFonts w:cs="Times New Roman"/>
          <w:szCs w:val="24"/>
        </w:rPr>
        <w:t xml:space="preserve">.  </w:t>
      </w:r>
      <w:r w:rsidRPr="00172C39">
        <w:rPr>
          <w:rFonts w:cs="Times New Roman"/>
          <w:szCs w:val="24"/>
        </w:rPr>
        <w:t xml:space="preserve">However, the library was shut down on the 16th of October 2015 after the publication of two papers that questioned the methods of evaluation of the apps recommended by the library. </w:t>
      </w:r>
      <w:r w:rsidR="004525DB">
        <w:rPr>
          <w:rFonts w:cs="Times New Roman"/>
          <w:szCs w:val="24"/>
        </w:rPr>
        <w:t xml:space="preserve"> </w:t>
      </w:r>
      <w:r w:rsidRPr="00172C39">
        <w:rPr>
          <w:rFonts w:cs="Times New Roman"/>
          <w:szCs w:val="24"/>
        </w:rPr>
        <w:t xml:space="preserve">Specifically, the evaluation of apps’ data security </w:t>
      </w:r>
      <w:r w:rsidRPr="00172C39">
        <w:rPr>
          <w:rFonts w:cs="Times New Roman"/>
          <w:szCs w:val="24"/>
        </w:rPr>
        <w:fldChar w:fldCharType="begin" w:fldLock="1"/>
      </w:r>
      <w:r>
        <w:rPr>
          <w:rFonts w:cs="Times New Roman"/>
          <w:szCs w:val="24"/>
        </w:rPr>
        <w:instrText>ADDIN CSL_CITATION {"citationItems":[{"id":"ITEM-1","itemData":{"DOI":"10.1186/s12916-015-0444-y","ISBN":"1741-7015 (Electronic)\\r1741-7015 (Linking)","ISSN":"17417015","PMID":"26404673","abstract":"Background: Poor information privacy practices have been identified in health apps. Medical app accreditation programs offer a mechanism for assuring the quality of apps; however, little is known about their ability to control information privacy risks. We aimed to assess the extent to which already-certified apps complied with data protection principles mandated by the largest national accreditation program. Methods: Cross-sectional, systematic, 6-month assessment of 79 apps certified as clinically safe and trustworthy by the UK NHS Health Apps Library. Protocol-based testing was used to characterize personal information collection, local-device storage and information transmission. Observed information handling practices were compared against privacy policy commitments. Results: The study revealed that 89 % (n = 70/79) of apps transmitted information to online services. No app encrypted personal information stored locally. Furthermore, 66 % (23/35) of apps sending identifying information over the Internet did not use encryption and 20 % (7/35) did not have a privacy policy. Overall, 67 % (53/79) of apps had some form of privacy policy. No app collected or transmitted information that a policy explicitly stated it would not; however, 78 % (38/49) of information-transmitting apps with a policy did not describe the nature of personal information included in transmissions. Four apps sent both identifying and health information without encryption. Although the study was not designed to examine data handling after transmission to online services, security problems appeared to place users at risk of data theft in two cases. Conclusions: Systematic gaps in compliance with data protection principles in accredited health apps question whether certification programs relying substantially on developer disclosures can provide a trusted resource for patients and clinicians. Accreditation programs should, as a minimum, provide consistent and reliable warnings about possible threats and, ideally, require publishers to rectify vulnerabilities before apps are released.","author":[{"dropping-particle":"","family":"Huckvale","given":"Kit","non-dropping-particle":"","parse-names":false,"suffix":""},{"dropping-particle":"","family":"Prieto","given":"José Tomás","non-dropping-particle":"","parse-names":false,"suffix":""},{"dropping-particle":"","family":"Tilney","given":"Myra","non-dropping-particle":"","parse-names":false,"suffix":""},{"dropping-particle":"","family":"Benghozi","given":"Pierre Jean","non-dropping-particle":"","parse-names":false,"suffix":""},{"dropping-particle":"","family":"Car","given":"Josip","non-dropping-particle":"","parse-names":false,"suffix":""}],"container-title":"BMC Medicine","id":"ITEM-1","issue":"1","issued":{"date-parts":[["2015"]]},"page":"214","publisher":"BioMed Central Ltd.","title":"Unaddressed privacy risks in accredited health and wellness apps: A cross-sectional systematic assessment","type":"article-journal","volume":"13"},"uris":["http://www.mendeley.com/documents/?uuid=0b4db300-c446-4a34-8de8-536c4dee9be3"]}],"mendeley":{"formattedCitation":"(Huckvale &lt;i&gt;et al.&lt;/i&gt;, 2015)","plainTextFormattedCitation":"(Huckvale et al., 2015)","previouslyFormattedCitation":"(Huckvale &lt;i&gt;et al.&lt;/i&gt;, 2015)"},"properties":{"noteIndex":0},"schema":"https://github.com/citation-style-language/schema/raw/master/csl-citation.json"}</w:instrText>
      </w:r>
      <w:r w:rsidRPr="00172C39">
        <w:rPr>
          <w:rFonts w:cs="Times New Roman"/>
          <w:szCs w:val="24"/>
        </w:rPr>
        <w:fldChar w:fldCharType="separate"/>
      </w:r>
      <w:r w:rsidRPr="00967ACC">
        <w:rPr>
          <w:rFonts w:cs="Times New Roman"/>
          <w:noProof/>
          <w:szCs w:val="24"/>
        </w:rPr>
        <w:t xml:space="preserve">(Huckvale </w:t>
      </w:r>
      <w:r w:rsidRPr="00967ACC">
        <w:rPr>
          <w:rFonts w:cs="Times New Roman"/>
          <w:i/>
          <w:noProof/>
          <w:szCs w:val="24"/>
        </w:rPr>
        <w:t>et al.</w:t>
      </w:r>
      <w:r w:rsidRPr="00967ACC">
        <w:rPr>
          <w:rFonts w:cs="Times New Roman"/>
          <w:noProof/>
          <w:szCs w:val="24"/>
        </w:rPr>
        <w:t>, 2015)</w:t>
      </w:r>
      <w:r w:rsidRPr="00172C39">
        <w:rPr>
          <w:rFonts w:cs="Times New Roman"/>
          <w:szCs w:val="24"/>
        </w:rPr>
        <w:fldChar w:fldCharType="end"/>
      </w:r>
      <w:r w:rsidRPr="00172C39">
        <w:rPr>
          <w:rFonts w:cs="Times New Roman"/>
          <w:szCs w:val="24"/>
        </w:rPr>
        <w:t xml:space="preserve"> and clinical effectiveness</w:t>
      </w:r>
      <w:r>
        <w:rPr>
          <w:rFonts w:cs="Times New Roman"/>
          <w:szCs w:val="24"/>
        </w:rPr>
        <w:t xml:space="preserve"> </w:t>
      </w:r>
      <w:r>
        <w:rPr>
          <w:rFonts w:cs="Times New Roman"/>
          <w:szCs w:val="24"/>
        </w:rPr>
        <w:fldChar w:fldCharType="begin" w:fldLock="1"/>
      </w:r>
      <w:r>
        <w:rPr>
          <w:rFonts w:cs="Times New Roman"/>
          <w:szCs w:val="24"/>
        </w:rPr>
        <w:instrText>ADDIN CSL_CITATION {"citationItems":[{"id":"ITEM-1","itemData":{"DOI":"10.1136/eb-2015-102203","ISBN":"1468-960X","ISSN":"1362-0347","PMID":"26459466","abstract":"THE NEED In a time of increasing demand for psychological services and continu-ally decreasing resources, unmet need with respect to National Health Service (NHS) mental health services is reaching an unprecedented level. 1 While monthly referrals to community mental health teams increased 13% in 2013, and 16% in the case of crisis services, invest-ment in mental health services has fallen in real terms for three suc-cessive years, 2 not helped by the government's £22 billion target for efficiency savings. As such, the resulting loss of over 200 full-time mental health doctors and 3600 nurses 1 has meant that despite a £450 million investment in reducing waiting times 3 and increasing access to psychological therapies (IAPT), 1 in 10 patients experience waiting lists of over a year before receiving any form of treatment, with 1 in 2 waiting over 3 months. 4 One in 6 of those on waiting lists for mental health services are expected to attempt suicide, 4 in 10 are expected to self-harm and two-thirds are likely to see their condition deteriorate before having the opportunity to see a mental health professional. 1 5 As such, approxi-mately 70 million sick days 6 and 170 000 self-harm related accident and emergency attendances 7 can be attributed to underlying mental health issues in the UK every year; with these individuals also exhibiting double the rate of both inpatient and outpatient hospital attendances compared to the UK general population. 8 Unfortunately long-term pro-spects for those with mental health issues are not much better. Those suffering from serious mental illness face twice the risk of diabetes and death from heart disease, 9 three times the risk of hypertension and a fourfold increase in all-cause premature mortality when compared with the UK general population; all of which contributing to the £105billion that mental distress costs the English economy each year. 10","author":[{"dropping-particle":"","family":"Leigh","given":"Simon","non-dropping-particle":"","parse-names":false,"suffix":""},{"dropping-particle":"","family":"Flatt","given":"Steve","non-dropping-particle":"","parse-names":false,"suffix":""}],"container-title":"Evidence-Based Mental Health","id":"ITEM-1","issue":"4","issued":{"date-parts":[["2015"]]},"page":"97-99","title":"App-based psychological interventions: friend or foe?: Table 1","type":"article-journal","volume":"18"},"uris":["http://www.mendeley.com/documents/?uuid=7d94721c-2541-41fa-bcbb-847a161208f6"]}],"mendeley":{"formattedCitation":"(Leigh and Flatt, 2015)","plainTextFormattedCitation":"(Leigh and Flatt, 2015)","previouslyFormattedCitation":"(Leigh and Flatt, 2015)"},"properties":{"noteIndex":0},"schema":"https://github.com/citation-style-language/schema/raw/master/csl-citation.json"}</w:instrText>
      </w:r>
      <w:r>
        <w:rPr>
          <w:rFonts w:cs="Times New Roman"/>
          <w:szCs w:val="24"/>
        </w:rPr>
        <w:fldChar w:fldCharType="separate"/>
      </w:r>
      <w:r w:rsidRPr="00967ACC">
        <w:rPr>
          <w:rFonts w:cs="Times New Roman"/>
          <w:noProof/>
          <w:szCs w:val="24"/>
        </w:rPr>
        <w:t>(Leigh and Flatt, 2015)</w:t>
      </w:r>
      <w:r>
        <w:rPr>
          <w:rFonts w:cs="Times New Roman"/>
          <w:szCs w:val="24"/>
        </w:rPr>
        <w:fldChar w:fldCharType="end"/>
      </w:r>
      <w:r w:rsidRPr="00172C39">
        <w:rPr>
          <w:rFonts w:cs="Times New Roman"/>
          <w:szCs w:val="24"/>
        </w:rPr>
        <w:t xml:space="preserve"> </w:t>
      </w:r>
      <w:r w:rsidRPr="00083FD3">
        <w:rPr>
          <w:rFonts w:cs="Times New Roman"/>
          <w:noProof/>
          <w:szCs w:val="24"/>
        </w:rPr>
        <w:t>were criticised</w:t>
      </w:r>
      <w:r>
        <w:rPr>
          <w:rFonts w:cs="Times New Roman"/>
          <w:szCs w:val="24"/>
        </w:rPr>
        <w:t>.</w:t>
      </w:r>
    </w:p>
    <w:p w14:paraId="4CBBCB22" w14:textId="43A628F4" w:rsidR="00E30483" w:rsidRPr="00172C39" w:rsidRDefault="00E30483" w:rsidP="005E60F7">
      <w:pPr>
        <w:pStyle w:val="Heading4"/>
      </w:pPr>
      <w:r w:rsidRPr="00172C39">
        <w:t>NHS Online Mental Health Apps Library</w:t>
      </w:r>
    </w:p>
    <w:p w14:paraId="5B6CAFEA" w14:textId="26742002" w:rsidR="00E30483" w:rsidRDefault="00E30483" w:rsidP="00E30483">
      <w:r>
        <w:t>I</w:t>
      </w:r>
      <w:r w:rsidRPr="00172C39">
        <w:t>n March 2015</w:t>
      </w:r>
      <w:r>
        <w:t>,</w:t>
      </w:r>
      <w:r w:rsidRPr="00172C39">
        <w:t xml:space="preserve"> NHS Choices published a webpage entitled </w:t>
      </w:r>
      <w:r w:rsidRPr="00172C39">
        <w:rPr>
          <w:i/>
        </w:rPr>
        <w:t>Online Mental Health Services</w:t>
      </w:r>
      <w:r w:rsidRPr="00172C39">
        <w:t xml:space="preserve"> </w:t>
      </w:r>
      <w:r w:rsidRPr="00172C39">
        <w:fldChar w:fldCharType="begin" w:fldLock="1"/>
      </w:r>
      <w:r>
        <w:instrText>ADDIN CSL_CITATION {"citationItems":[{"id":"ITEM-1","itemData":{"URL":"http://www.nhs.uk/Conditions/online-mental-health-services/Pages/introduction.aspx","abstract":"Some online mental health services can be effective and are approved by the NHS. Read about a selection of those available through the NHS.","accessed":{"date-parts":[["2016","9","9"]]},"author":[{"dropping-particle":"","family":"NHS Choices","given":"","non-dropping-particle":"","parse-names":false,"suffix":""}],"id":"ITEM-1","issued":{"date-parts":[["2015"]]},"language":"eng","publisher":"Department of Health","title":"Online mental health services","type":"webpage"},"uris":["http://www.mendeley.com/documents/?uuid=9b4a9974-1f2a-48c3-9c35-99065e65dbdc"]}],"mendeley":{"formattedCitation":"(NHS Choices, 2015b)","plainTextFormattedCitation":"(NHS Choices, 2015b)","previouslyFormattedCitation":"(NHS Choices, 2015b)"},"properties":{"noteIndex":0},"schema":"https://github.com/citation-style-language/schema/raw/master/csl-citation.json"}</w:instrText>
      </w:r>
      <w:r w:rsidRPr="00172C39">
        <w:fldChar w:fldCharType="separate"/>
      </w:r>
      <w:r w:rsidRPr="00967ACC">
        <w:rPr>
          <w:noProof/>
        </w:rPr>
        <w:t>(NHS Choices, 2015b)</w:t>
      </w:r>
      <w:r w:rsidRPr="00172C39">
        <w:fldChar w:fldCharType="end"/>
      </w:r>
      <w:r w:rsidRPr="00172C39">
        <w:t>.</w:t>
      </w:r>
      <w:r w:rsidR="005B70D6">
        <w:t xml:space="preserve"> </w:t>
      </w:r>
      <w:r w:rsidRPr="00172C39">
        <w:t xml:space="preserve"> This page existed separately from the now-defunct NHS Health Apps </w:t>
      </w:r>
      <w:proofErr w:type="gramStart"/>
      <w:r w:rsidRPr="00172C39">
        <w:t>Library,</w:t>
      </w:r>
      <w:proofErr w:type="gramEnd"/>
      <w:r w:rsidRPr="00172C39">
        <w:t xml:space="preserve"> and, at the time of writing (August 2016), provides a list of six apps, all web apps, that have “been approved for use by the NHS”, although by whom and upon what basis is unclear, and in fact seems to run counter to current NICE advice.</w:t>
      </w:r>
      <w:r>
        <w:t xml:space="preserve">  While it </w:t>
      </w:r>
      <w:r w:rsidRPr="00083FD3">
        <w:rPr>
          <w:noProof/>
        </w:rPr>
        <w:t>is not known</w:t>
      </w:r>
      <w:r>
        <w:t xml:space="preserve"> how many older adults use the internet to seek mental health support, a recent survey of older adult health app usage in Germany found that only 16.5% (95/576) of the those questioned used </w:t>
      </w:r>
      <w:r w:rsidRPr="00823555">
        <w:t>health apps</w:t>
      </w:r>
      <w:r>
        <w:t>,</w:t>
      </w:r>
      <w:r w:rsidRPr="00823555">
        <w:t xml:space="preserve"> </w:t>
      </w:r>
      <w:r w:rsidRPr="00083FD3">
        <w:rPr>
          <w:noProof/>
        </w:rPr>
        <w:t>and</w:t>
      </w:r>
      <w:r w:rsidRPr="00823555">
        <w:t xml:space="preserve"> </w:t>
      </w:r>
      <w:r>
        <w:t xml:space="preserve">the type of apps used were </w:t>
      </w:r>
      <w:r w:rsidRPr="00823555">
        <w:t>predominantly exercise related</w:t>
      </w:r>
      <w:r>
        <w:t xml:space="preserve"> </w:t>
      </w:r>
      <w:r>
        <w:fldChar w:fldCharType="begin" w:fldLock="1"/>
      </w:r>
      <w:r>
        <w:instrText>ADDIN CSL_CITATION {"citationItems":[{"id":"ITEM-1","itemData":{"DOI":"10.2196/mhealth.8619","ISSN":"2291-5222","PMID":"29362211","abstract":"BACKGROUND Health apps are increasingly becoming an integral part of health care. Especially in older adults, the self-management of chronic diseases by health apps might become an integral part of health care services. OBJECTIVE The aim of this explorative study was to investigate the prevalence of health app use and related demographic factors, as well as health status among older adults in Germany. METHODS A nationwide postal survey was conducted. Of the 5000 individuals contacted, a total of 576 participants completed this survey. On the basis of their self-indicated assignment to one of the three predefined user groups (health app users, general app users, and nonusers of apps), participants answered various questions regarding app and health app use, including frequency of use and number of installed apps, demographic factors, and health status. RESULTS In total, 16.5% (95/576) used health apps, whereas 37.5% (216/576) indicated only using general apps, and 46.0% (265/576) reported using no apps at all. The number of installed health apps was most frequently reported as between 1 and 5 apps per participant, which were usually used on a weekly basis. The most frequently cited type of health apps were exercise-related ones. Individuals using health apps were found to be younger (MeanmHealth 66.6, SD 4.7) and to have a higher level of technical readiness compared with general app users and nonusers of apps (adjusted odds ratio, AOR=4.02 [95% CI 2.23-7.25] for technical readiness, and AOR=0.905 [95% CI 0.85-0.97] for age). The most frequently mentioned sources of information about apps within the group of health and general app users were family and friends. Identified barriers against the use of health apps were a lack of trust, data privacy concerns, and fear of misdiagnosis. CONCLUSIONS Health apps are already used by older adults in Germany. The main type of apps used are exercise-related ones. Barriers to and incentives for the use of health apps and associations with health status and users' demographics were revealed.","author":[{"dropping-particle":"","family":"Rasche","given":"Peter","non-dropping-particle":"","parse-names":false,"suffix":""},{"dropping-particle":"","family":"Wille","given":"Matthias","non-dropping-particle":"","parse-names":false,"suffix":""},{"dropping-particle":"","family":"Bröhl","given":"Christina","non-dropping-particle":"","parse-names":false,"suffix":""},{"dropping-particle":"","family":"Theis","given":"Sabine","non-dropping-particle":"","parse-names":false,"suffix":""},{"dropping-particle":"","family":"Schäfer","given":"Katharina","non-dropping-particle":"","parse-names":false,"suffix":""},{"dropping-particle":"","family":"Knobe","given":"Matthias","non-dropping-particle":"","parse-names":false,"suffix":""},{"dropping-particle":"","family":"Mertens","given":"Alexander","non-dropping-particle":"","parse-names":false,"suffix":""}],"container-title":"JMIR mHealth and uHealth","id":"ITEM-1","issue":"1","issued":{"date-parts":[["2018","1","23"]]},"page":"e26","publisher":"JMIR Publications Inc.","title":"Prevalence of Health App Use Among Older Adults in Germany: National Survey.","type":"article-journal","volume":"6"},"uris":["http://www.mendeley.com/documents/?uuid=6dbb7629-cefb-3558-ab23-5bfb348008ee"]}],"mendeley":{"formattedCitation":"(Rasche &lt;i&gt;et al.&lt;/i&gt;, 2018)","manualFormatting":"(Rasche et al., 2018)","plainTextFormattedCitation":"(Rasche et al., 2018)","previouslyFormattedCitation":"(Rasche &lt;i&gt;et al.&lt;/i&gt;, 2018)"},"properties":{"noteIndex":0},"schema":"https://github.com/citation-style-language/schema/raw/master/csl-citation.json"}</w:instrText>
      </w:r>
      <w:r>
        <w:fldChar w:fldCharType="separate"/>
      </w:r>
      <w:r w:rsidRPr="004C44BB">
        <w:rPr>
          <w:noProof/>
        </w:rPr>
        <w:t xml:space="preserve">(Rasche </w:t>
      </w:r>
      <w:r w:rsidRPr="004C44BB">
        <w:rPr>
          <w:i/>
          <w:noProof/>
        </w:rPr>
        <w:t>et al.</w:t>
      </w:r>
      <w:r>
        <w:rPr>
          <w:i/>
          <w:noProof/>
        </w:rPr>
        <w:t xml:space="preserve">, </w:t>
      </w:r>
      <w:r w:rsidRPr="004C44BB">
        <w:rPr>
          <w:noProof/>
        </w:rPr>
        <w:t>2018)</w:t>
      </w:r>
      <w:r>
        <w:fldChar w:fldCharType="end"/>
      </w:r>
      <w:r w:rsidRPr="00823555">
        <w:t>.</w:t>
      </w:r>
      <w:r>
        <w:t xml:space="preserve">  Research </w:t>
      </w:r>
      <w:r w:rsidRPr="00823555">
        <w:t xml:space="preserve">in the United States </w:t>
      </w:r>
      <w:r>
        <w:t xml:space="preserve">by </w:t>
      </w:r>
      <w:r w:rsidRPr="00823555">
        <w:rPr>
          <w:noProof/>
        </w:rPr>
        <w:t>Levine, Lipsitz and Linder</w:t>
      </w:r>
      <w:r>
        <w:t xml:space="preserve"> </w:t>
      </w:r>
      <w:r>
        <w:fldChar w:fldCharType="begin" w:fldLock="1"/>
      </w:r>
      <w:r>
        <w:instrText>ADDIN CSL_CITATION {"citationItems":[{"id":"ITEM-1","itemData":{"DOI":"10.1001/jama.2016.9124","ISSN":"0098-7484","author":[{"dropping-particle":"","family":"Levine","given":"David M.","non-dropping-particle":"","parse-names":false,"suffix":""},{"dropping-particle":"","family":"Lipsitz","given":"Stuart R.","non-dropping-particle":"","parse-names":false,"suffix":""},{"dropping-particle":"","family":"Linder","given":"Jeffrey A.","non-dropping-particle":"","parse-names":false,"suffix":""}],"container-title":"JAMA","id":"ITEM-1","issue":"5","issued":{"date-parts":[["2016","8","2"]]},"page":"538","publisher":"American Medical Association","title":"Trends in Seniors’ Use of Digital Health Technology in the United States, 2011-2014","type":"article-journal","volume":"316"},"uris":["http://www.mendeley.com/documents/?uuid=fbc690ac-db52-345b-89da-231d019ef495"]}],"mendeley":{"formattedCitation":"(Levine, Lipsitz and Linder, 2016)","manualFormatting":"(2016)","plainTextFormattedCitation":"(Levine, Lipsitz and Linder, 2016)","previouslyFormattedCitation":"(Levine, Lipsitz and Linder, 2016)"},"properties":{"noteIndex":0},"schema":"https://github.com/citation-style-language/schema/raw/master/csl-citation.json"}</w:instrText>
      </w:r>
      <w:r>
        <w:fldChar w:fldCharType="separate"/>
      </w:r>
      <w:r>
        <w:rPr>
          <w:noProof/>
        </w:rPr>
        <w:t>(</w:t>
      </w:r>
      <w:r w:rsidRPr="00823555">
        <w:rPr>
          <w:noProof/>
        </w:rPr>
        <w:t>2016)</w:t>
      </w:r>
      <w:r>
        <w:fldChar w:fldCharType="end"/>
      </w:r>
      <w:r w:rsidRPr="00823555">
        <w:t xml:space="preserve"> </w:t>
      </w:r>
      <w:r>
        <w:t>indicated</w:t>
      </w:r>
      <w:r w:rsidRPr="00823555">
        <w:t xml:space="preserve"> in 2014 that only 25% of the older population u</w:t>
      </w:r>
      <w:r w:rsidR="00EF7658">
        <w:t xml:space="preserve">sed digital health technologies </w:t>
      </w:r>
      <w:r w:rsidRPr="00823555">
        <w:t xml:space="preserve">such as obtaining health information, contacting clinicians and filling </w:t>
      </w:r>
      <w:r w:rsidRPr="003B5667">
        <w:t>prescriptions.</w:t>
      </w:r>
      <w:r w:rsidR="005B70D6">
        <w:t xml:space="preserve"> </w:t>
      </w:r>
      <w:r w:rsidRPr="003B5667">
        <w:t xml:space="preserve"> The paper goes on</w:t>
      </w:r>
      <w:r w:rsidR="00B56BA8">
        <w:t xml:space="preserve"> </w:t>
      </w:r>
      <w:r w:rsidRPr="003B5667">
        <w:t>to advi</w:t>
      </w:r>
      <w:r>
        <w:t>s</w:t>
      </w:r>
      <w:r w:rsidRPr="003B5667">
        <w:t xml:space="preserve">e that future innovations should focus on usability, adherence and scalability to improve the reach and effectiveness of digital health for </w:t>
      </w:r>
      <w:r>
        <w:t>older adults.</w:t>
      </w:r>
    </w:p>
    <w:p w14:paraId="73A598AB" w14:textId="77777777" w:rsidR="00E30483" w:rsidRPr="00172C39" w:rsidRDefault="00E30483" w:rsidP="005E60F7">
      <w:pPr>
        <w:pStyle w:val="Heading3"/>
      </w:pPr>
      <w:bookmarkStart w:id="73" w:name="_Toc530598106"/>
      <w:bookmarkStart w:id="74" w:name="_Toc530660459"/>
      <w:bookmarkStart w:id="75" w:name="_Toc3538060"/>
      <w:r>
        <w:t>The Current Study</w:t>
      </w:r>
      <w:bookmarkEnd w:id="73"/>
      <w:bookmarkEnd w:id="74"/>
      <w:bookmarkEnd w:id="75"/>
    </w:p>
    <w:p w14:paraId="32DED135" w14:textId="1130294C" w:rsidR="00E30483" w:rsidRPr="00172C39" w:rsidRDefault="00E30483" w:rsidP="00E30483">
      <w:pPr>
        <w:rPr>
          <w:rFonts w:cs="Times New Roman"/>
          <w:szCs w:val="24"/>
        </w:rPr>
      </w:pPr>
      <w:r>
        <w:rPr>
          <w:rFonts w:cs="Times New Roman"/>
          <w:szCs w:val="24"/>
        </w:rPr>
        <w:t>D</w:t>
      </w:r>
      <w:r w:rsidRPr="00172C39">
        <w:rPr>
          <w:rFonts w:cs="Times New Roman"/>
          <w:szCs w:val="24"/>
        </w:rPr>
        <w:t xml:space="preserve">igital mental health care provision within the NHS in England is </w:t>
      </w:r>
      <w:r w:rsidRPr="00083FD3">
        <w:rPr>
          <w:rFonts w:cs="Times New Roman"/>
          <w:noProof/>
          <w:szCs w:val="24"/>
        </w:rPr>
        <w:t>diverse</w:t>
      </w:r>
      <w:r>
        <w:rPr>
          <w:rFonts w:cs="Times New Roman"/>
          <w:szCs w:val="24"/>
        </w:rPr>
        <w:t>.</w:t>
      </w:r>
      <w:r w:rsidR="004525DB">
        <w:rPr>
          <w:rFonts w:cs="Times New Roman"/>
          <w:szCs w:val="24"/>
        </w:rPr>
        <w:t xml:space="preserve"> </w:t>
      </w:r>
      <w:r>
        <w:rPr>
          <w:rFonts w:cs="Times New Roman"/>
          <w:szCs w:val="24"/>
        </w:rPr>
        <w:t xml:space="preserve"> E</w:t>
      </w:r>
      <w:r w:rsidRPr="00172C39">
        <w:rPr>
          <w:rFonts w:cs="Times New Roman"/>
          <w:szCs w:val="24"/>
        </w:rPr>
        <w:t xml:space="preserve">ver-evolving services provide different means of accessing digital healthcare products that are themselves the products of a highly dynamic </w:t>
      </w:r>
      <w:r w:rsidRPr="00172C39">
        <w:rPr>
          <w:rFonts w:cs="Times New Roman"/>
          <w:szCs w:val="24"/>
        </w:rPr>
        <w:lastRenderedPageBreak/>
        <w:t xml:space="preserve">marketplace, and with which official recommendations and advice </w:t>
      </w:r>
      <w:r w:rsidRPr="00083FD3">
        <w:rPr>
          <w:rFonts w:cs="Times New Roman"/>
          <w:noProof/>
          <w:szCs w:val="24"/>
        </w:rPr>
        <w:t>struggle</w:t>
      </w:r>
      <w:r w:rsidRPr="00172C39">
        <w:rPr>
          <w:rFonts w:cs="Times New Roman"/>
          <w:szCs w:val="24"/>
        </w:rPr>
        <w:t xml:space="preserve"> to keep pace.</w:t>
      </w:r>
      <w:r w:rsidR="00EF7658">
        <w:rPr>
          <w:rFonts w:cs="Times New Roman"/>
          <w:szCs w:val="24"/>
        </w:rPr>
        <w:t xml:space="preserve"> </w:t>
      </w:r>
      <w:r w:rsidRPr="00172C39">
        <w:rPr>
          <w:rFonts w:cs="Times New Roman"/>
          <w:szCs w:val="24"/>
        </w:rPr>
        <w:t xml:space="preserve"> </w:t>
      </w:r>
      <w:r>
        <w:rPr>
          <w:rFonts w:cs="Times New Roman"/>
          <w:szCs w:val="24"/>
        </w:rPr>
        <w:t>The</w:t>
      </w:r>
      <w:r w:rsidRPr="00172C39">
        <w:rPr>
          <w:rFonts w:cs="Times New Roman"/>
          <w:szCs w:val="24"/>
        </w:rPr>
        <w:t xml:space="preserve"> </w:t>
      </w:r>
      <w:r w:rsidRPr="00083FD3">
        <w:rPr>
          <w:rFonts w:cs="Times New Roman"/>
          <w:noProof/>
          <w:szCs w:val="24"/>
        </w:rPr>
        <w:t>key</w:t>
      </w:r>
      <w:r w:rsidRPr="00172C39">
        <w:rPr>
          <w:rFonts w:cs="Times New Roman"/>
          <w:szCs w:val="24"/>
        </w:rPr>
        <w:t xml:space="preserve"> objective of this </w:t>
      </w:r>
      <w:r w:rsidR="00B81D6B">
        <w:rPr>
          <w:rFonts w:cs="Times New Roman"/>
          <w:szCs w:val="24"/>
        </w:rPr>
        <w:t>chapter</w:t>
      </w:r>
      <w:r w:rsidRPr="00172C39">
        <w:rPr>
          <w:rFonts w:cs="Times New Roman"/>
          <w:szCs w:val="24"/>
        </w:rPr>
        <w:t xml:space="preserve"> is to </w:t>
      </w:r>
      <w:r>
        <w:rPr>
          <w:rFonts w:cs="Times New Roman"/>
          <w:szCs w:val="24"/>
        </w:rPr>
        <w:t>illuminate</w:t>
      </w:r>
      <w:r w:rsidRPr="00172C39">
        <w:rPr>
          <w:rFonts w:cs="Times New Roman"/>
          <w:szCs w:val="24"/>
        </w:rPr>
        <w:t xml:space="preserve"> the current state of</w:t>
      </w:r>
      <w:r>
        <w:rPr>
          <w:rFonts w:cs="Times New Roman"/>
          <w:szCs w:val="24"/>
        </w:rPr>
        <w:t xml:space="preserve"> digital</w:t>
      </w:r>
      <w:r w:rsidRPr="00172C39">
        <w:rPr>
          <w:rFonts w:cs="Times New Roman"/>
          <w:szCs w:val="24"/>
        </w:rPr>
        <w:t xml:space="preserve"> mental health care </w:t>
      </w:r>
      <w:r>
        <w:rPr>
          <w:rFonts w:cs="Times New Roman"/>
          <w:szCs w:val="24"/>
        </w:rPr>
        <w:t>in</w:t>
      </w:r>
      <w:r w:rsidRPr="00172C39">
        <w:rPr>
          <w:rFonts w:cs="Times New Roman"/>
          <w:szCs w:val="24"/>
        </w:rPr>
        <w:t xml:space="preserve"> England by documenting what e-therapies are used and recommended by the NHS, thus providing a starting point for </w:t>
      </w:r>
      <w:r>
        <w:rPr>
          <w:rFonts w:cs="Times New Roman"/>
          <w:szCs w:val="24"/>
        </w:rPr>
        <w:t xml:space="preserve">the </w:t>
      </w:r>
      <w:r w:rsidRPr="00083FD3">
        <w:rPr>
          <w:rFonts w:cs="Times New Roman"/>
          <w:noProof/>
          <w:szCs w:val="24"/>
        </w:rPr>
        <w:t>evaluation</w:t>
      </w:r>
      <w:r w:rsidRPr="00172C39">
        <w:rPr>
          <w:rFonts w:cs="Times New Roman"/>
          <w:szCs w:val="24"/>
        </w:rPr>
        <w:t xml:space="preserve"> of current practice</w:t>
      </w:r>
      <w:r>
        <w:rPr>
          <w:rFonts w:cs="Times New Roman"/>
          <w:szCs w:val="24"/>
        </w:rPr>
        <w:t xml:space="preserve"> with particular reference to older adults</w:t>
      </w:r>
      <w:r w:rsidRPr="00172C39">
        <w:rPr>
          <w:rFonts w:cs="Times New Roman"/>
          <w:szCs w:val="24"/>
        </w:rPr>
        <w:t>.</w:t>
      </w:r>
    </w:p>
    <w:p w14:paraId="290CA61D" w14:textId="77777777" w:rsidR="00E30483" w:rsidRPr="00172C39" w:rsidRDefault="00E30483" w:rsidP="005E60F7">
      <w:pPr>
        <w:pStyle w:val="Heading2"/>
      </w:pPr>
      <w:bookmarkStart w:id="76" w:name="_Toc530598107"/>
      <w:bookmarkStart w:id="77" w:name="_Toc530660460"/>
      <w:bookmarkStart w:id="78" w:name="_Toc3538061"/>
      <w:r w:rsidRPr="00172C39">
        <w:t>Method</w:t>
      </w:r>
      <w:r>
        <w:t>s</w:t>
      </w:r>
      <w:bookmarkEnd w:id="76"/>
      <w:bookmarkEnd w:id="77"/>
      <w:bookmarkEnd w:id="78"/>
    </w:p>
    <w:p w14:paraId="654D616D" w14:textId="77777777" w:rsidR="00E30483" w:rsidRPr="00172C39" w:rsidRDefault="00E30483" w:rsidP="005E60F7">
      <w:pPr>
        <w:pStyle w:val="Heading3"/>
      </w:pPr>
      <w:bookmarkStart w:id="79" w:name="_Toc530598108"/>
      <w:bookmarkStart w:id="80" w:name="_Toc530660461"/>
      <w:bookmarkStart w:id="81" w:name="_Toc3538062"/>
      <w:r w:rsidRPr="00172C39">
        <w:t>Design</w:t>
      </w:r>
      <w:bookmarkEnd w:id="79"/>
      <w:bookmarkEnd w:id="80"/>
      <w:bookmarkEnd w:id="81"/>
    </w:p>
    <w:p w14:paraId="649F89F5" w14:textId="1B7066A1" w:rsidR="00E30483" w:rsidRPr="00172C39" w:rsidRDefault="00E30483" w:rsidP="00E30483">
      <w:pPr>
        <w:rPr>
          <w:rFonts w:cs="Times New Roman"/>
          <w:szCs w:val="24"/>
        </w:rPr>
      </w:pPr>
      <w:r w:rsidRPr="00172C39">
        <w:rPr>
          <w:rFonts w:cs="Times New Roman"/>
          <w:szCs w:val="24"/>
        </w:rPr>
        <w:t xml:space="preserve">We </w:t>
      </w:r>
      <w:r>
        <w:rPr>
          <w:rFonts w:cs="Times New Roman"/>
          <w:szCs w:val="24"/>
        </w:rPr>
        <w:t xml:space="preserve">documented </w:t>
      </w:r>
      <w:r w:rsidRPr="00172C39">
        <w:rPr>
          <w:rFonts w:cs="Times New Roman"/>
          <w:szCs w:val="24"/>
        </w:rPr>
        <w:t>web and smartphone apps used and recommended in the NHS for str</w:t>
      </w:r>
      <w:r>
        <w:rPr>
          <w:rFonts w:cs="Times New Roman"/>
          <w:szCs w:val="24"/>
        </w:rPr>
        <w:t xml:space="preserve">ess, anxiety, and depression.  </w:t>
      </w:r>
      <w:r w:rsidRPr="00172C39">
        <w:rPr>
          <w:rFonts w:cs="Times New Roman"/>
          <w:szCs w:val="24"/>
        </w:rPr>
        <w:t xml:space="preserve">Our data sources </w:t>
      </w:r>
      <w:r>
        <w:rPr>
          <w:rFonts w:cs="Times New Roman"/>
          <w:szCs w:val="24"/>
        </w:rPr>
        <w:t>we</w:t>
      </w:r>
      <w:r w:rsidRPr="00172C39">
        <w:rPr>
          <w:rFonts w:cs="Times New Roman"/>
          <w:szCs w:val="24"/>
        </w:rPr>
        <w:t xml:space="preserve">re fourfold. </w:t>
      </w:r>
      <w:r w:rsidR="004525DB">
        <w:rPr>
          <w:rFonts w:cs="Times New Roman"/>
          <w:szCs w:val="24"/>
        </w:rPr>
        <w:t xml:space="preserve"> </w:t>
      </w:r>
      <w:r w:rsidRPr="00172C39">
        <w:rPr>
          <w:rFonts w:cs="Times New Roman"/>
          <w:szCs w:val="24"/>
        </w:rPr>
        <w:t>Using FOI Requests, we requested a list of which web apps were being used and recommended</w:t>
      </w:r>
      <w:r>
        <w:rPr>
          <w:rFonts w:cs="Times New Roman"/>
          <w:szCs w:val="24"/>
        </w:rPr>
        <w:t xml:space="preserve">, and how many older adults </w:t>
      </w:r>
      <w:r w:rsidRPr="00083FD3">
        <w:rPr>
          <w:rFonts w:cs="Times New Roman"/>
          <w:noProof/>
          <w:szCs w:val="24"/>
        </w:rPr>
        <w:t>were cared</w:t>
      </w:r>
      <w:r>
        <w:rPr>
          <w:rFonts w:cs="Times New Roman"/>
          <w:szCs w:val="24"/>
        </w:rPr>
        <w:t xml:space="preserve"> for,</w:t>
      </w:r>
      <w:r w:rsidRPr="00172C39">
        <w:rPr>
          <w:rFonts w:cs="Times New Roman"/>
          <w:szCs w:val="24"/>
        </w:rPr>
        <w:t xml:space="preserve"> in (</w:t>
      </w:r>
      <w:proofErr w:type="spellStart"/>
      <w:r w:rsidRPr="00172C39">
        <w:rPr>
          <w:rFonts w:cs="Times New Roman"/>
          <w:szCs w:val="24"/>
        </w:rPr>
        <w:t>i</w:t>
      </w:r>
      <w:proofErr w:type="spellEnd"/>
      <w:r w:rsidRPr="00172C39">
        <w:rPr>
          <w:rFonts w:cs="Times New Roman"/>
          <w:szCs w:val="24"/>
        </w:rPr>
        <w:t xml:space="preserve">) NHS IAPT services and (ii) NHS Mental Health Trusts. </w:t>
      </w:r>
      <w:r w:rsidR="004525DB">
        <w:rPr>
          <w:rFonts w:cs="Times New Roman"/>
          <w:szCs w:val="24"/>
        </w:rPr>
        <w:t xml:space="preserve"> </w:t>
      </w:r>
      <w:r w:rsidRPr="00172C39">
        <w:rPr>
          <w:rFonts w:cs="Times New Roman"/>
          <w:szCs w:val="24"/>
        </w:rPr>
        <w:t>We also reviewed (iii) the NHS health apps library and (</w:t>
      </w:r>
      <w:proofErr w:type="gramStart"/>
      <w:r w:rsidRPr="00172C39">
        <w:rPr>
          <w:rFonts w:cs="Times New Roman"/>
          <w:szCs w:val="24"/>
        </w:rPr>
        <w:t>iv</w:t>
      </w:r>
      <w:proofErr w:type="gramEnd"/>
      <w:r w:rsidRPr="00172C39">
        <w:rPr>
          <w:rFonts w:cs="Times New Roman"/>
          <w:szCs w:val="24"/>
        </w:rPr>
        <w:t>) the NHS mental health apps library to identify apps (and web apps) that were currently (or recently) being endorsed by the NHS.</w:t>
      </w:r>
      <w:r w:rsidR="004525DB">
        <w:rPr>
          <w:rFonts w:cs="Times New Roman"/>
          <w:szCs w:val="24"/>
        </w:rPr>
        <w:t xml:space="preserve"> </w:t>
      </w:r>
      <w:r w:rsidRPr="00172C39">
        <w:rPr>
          <w:rFonts w:cs="Times New Roman"/>
          <w:szCs w:val="24"/>
        </w:rPr>
        <w:t xml:space="preserve"> In our FOIs to NHS IAPTs and Trusts, we also asked for information about involvement in research, piloting, or development of e-therapies, to capture not only the current practice, but insight into the slightly larger temporal window of very recent past, current, and likely future developments.  </w:t>
      </w:r>
      <w:r w:rsidRPr="00BF7226">
        <w:rPr>
          <w:rFonts w:cs="Times New Roman"/>
          <w:szCs w:val="24"/>
        </w:rPr>
        <w:t xml:space="preserve">All e-therapies </w:t>
      </w:r>
      <w:r w:rsidRPr="00083FD3">
        <w:rPr>
          <w:rFonts w:cs="Times New Roman"/>
          <w:noProof/>
          <w:szCs w:val="24"/>
        </w:rPr>
        <w:t>were appraised</w:t>
      </w:r>
      <w:r w:rsidRPr="00BF7226">
        <w:rPr>
          <w:rFonts w:cs="Times New Roman"/>
          <w:szCs w:val="24"/>
        </w:rPr>
        <w:t xml:space="preserve"> against the inclusion criterion of being targeted to alleviate the symptoms of depression, anxiety, or stress. </w:t>
      </w:r>
      <w:r w:rsidR="00EF7658">
        <w:rPr>
          <w:rFonts w:cs="Times New Roman"/>
          <w:szCs w:val="24"/>
        </w:rPr>
        <w:t xml:space="preserve"> </w:t>
      </w:r>
      <w:r w:rsidRPr="00BF7226">
        <w:rPr>
          <w:rFonts w:cs="Times New Roman"/>
          <w:szCs w:val="24"/>
        </w:rPr>
        <w:t xml:space="preserve">To meet </w:t>
      </w:r>
      <w:r w:rsidRPr="00083FD3">
        <w:rPr>
          <w:rFonts w:cs="Times New Roman"/>
          <w:noProof/>
          <w:szCs w:val="24"/>
        </w:rPr>
        <w:t>this criteri</w:t>
      </w:r>
      <w:r>
        <w:rPr>
          <w:rFonts w:cs="Times New Roman"/>
          <w:noProof/>
          <w:szCs w:val="24"/>
        </w:rPr>
        <w:t>on</w:t>
      </w:r>
      <w:r w:rsidRPr="00BF7226">
        <w:rPr>
          <w:rFonts w:cs="Times New Roman"/>
          <w:szCs w:val="24"/>
        </w:rPr>
        <w:t xml:space="preserve">, the developer of the app had to be locatable via a Google search when entering the app name as the search term, and the app had to reference the targeted conditions in its marketing literature or </w:t>
      </w:r>
      <w:r w:rsidRPr="00083FD3">
        <w:rPr>
          <w:rFonts w:cs="Times New Roman"/>
          <w:noProof/>
          <w:szCs w:val="24"/>
        </w:rPr>
        <w:t>be based</w:t>
      </w:r>
      <w:r w:rsidRPr="00BF7226">
        <w:rPr>
          <w:rFonts w:cs="Times New Roman"/>
          <w:szCs w:val="24"/>
        </w:rPr>
        <w:t xml:space="preserve"> on a therapeutic tool known to b</w:t>
      </w:r>
      <w:r w:rsidR="00EF7658">
        <w:rPr>
          <w:rFonts w:cs="Times New Roman"/>
          <w:szCs w:val="24"/>
        </w:rPr>
        <w:t>enefit the targeted conditions.</w:t>
      </w:r>
    </w:p>
    <w:p w14:paraId="577C6367" w14:textId="77777777" w:rsidR="00E30483" w:rsidRPr="00172C39" w:rsidRDefault="00E30483" w:rsidP="005E60F7">
      <w:pPr>
        <w:pStyle w:val="Heading3"/>
      </w:pPr>
      <w:bookmarkStart w:id="82" w:name="_Toc530598109"/>
      <w:bookmarkStart w:id="83" w:name="_Toc530660462"/>
      <w:bookmarkStart w:id="84" w:name="_Toc3538063"/>
      <w:r w:rsidRPr="00172C39">
        <w:t>Procedure</w:t>
      </w:r>
      <w:bookmarkEnd w:id="82"/>
      <w:bookmarkEnd w:id="83"/>
      <w:bookmarkEnd w:id="84"/>
    </w:p>
    <w:p w14:paraId="59FE59BB" w14:textId="587DFC98" w:rsidR="00E30483" w:rsidRPr="00172C39" w:rsidRDefault="00E30483" w:rsidP="005E60F7">
      <w:pPr>
        <w:pStyle w:val="Heading4"/>
      </w:pPr>
      <w:r w:rsidRPr="00083FD3">
        <w:rPr>
          <w:noProof/>
        </w:rPr>
        <w:t>Improving Access to Psychological Therapies</w:t>
      </w:r>
    </w:p>
    <w:p w14:paraId="0DC549AE" w14:textId="421DEEC7" w:rsidR="00E30483" w:rsidRPr="00172C39" w:rsidRDefault="00E30483" w:rsidP="00E30483">
      <w:pPr>
        <w:rPr>
          <w:rFonts w:cs="Times New Roman"/>
          <w:szCs w:val="24"/>
        </w:rPr>
      </w:pPr>
      <w:r w:rsidRPr="00172C39">
        <w:rPr>
          <w:rFonts w:cs="Times New Roman"/>
          <w:szCs w:val="24"/>
        </w:rPr>
        <w:t>On the 10</w:t>
      </w:r>
      <w:r w:rsidRPr="00172C39">
        <w:rPr>
          <w:rFonts w:cs="Times New Roman"/>
          <w:szCs w:val="24"/>
          <w:vertAlign w:val="superscript"/>
        </w:rPr>
        <w:t>th</w:t>
      </w:r>
      <w:r w:rsidRPr="00172C39">
        <w:rPr>
          <w:rFonts w:cs="Times New Roman"/>
          <w:szCs w:val="24"/>
        </w:rPr>
        <w:t xml:space="preserve"> of February 2015, a list of IAPT services within England was requested through </w:t>
      </w:r>
      <w:r w:rsidRPr="00083FD3">
        <w:rPr>
          <w:rFonts w:cs="Times New Roman"/>
          <w:noProof/>
          <w:szCs w:val="24"/>
        </w:rPr>
        <w:t>a</w:t>
      </w:r>
      <w:r>
        <w:rPr>
          <w:rFonts w:cs="Times New Roman"/>
          <w:noProof/>
          <w:szCs w:val="24"/>
        </w:rPr>
        <w:t>n</w:t>
      </w:r>
      <w:r w:rsidRPr="00083FD3">
        <w:rPr>
          <w:rFonts w:cs="Times New Roman"/>
          <w:noProof/>
          <w:szCs w:val="24"/>
        </w:rPr>
        <w:t xml:space="preserve"> FOI</w:t>
      </w:r>
      <w:r w:rsidRPr="00172C39">
        <w:rPr>
          <w:rFonts w:cs="Times New Roman"/>
          <w:szCs w:val="24"/>
        </w:rPr>
        <w:t xml:space="preserve"> email to NHS Choices, asking for the contact details of all IAPT services within the country.  </w:t>
      </w:r>
      <w:r w:rsidRPr="00083FD3">
        <w:rPr>
          <w:rFonts w:cs="Times New Roman"/>
          <w:noProof/>
          <w:szCs w:val="24"/>
        </w:rPr>
        <w:t>This</w:t>
      </w:r>
      <w:r w:rsidRPr="00172C39">
        <w:rPr>
          <w:rFonts w:cs="Times New Roman"/>
          <w:szCs w:val="24"/>
        </w:rPr>
        <w:t xml:space="preserve"> yielded a list of 295 IAPT services, of which only 116 were sufficiently detailed to identify their overarching IAPT service provider</w:t>
      </w:r>
      <w:r w:rsidRPr="009A1A43">
        <w:rPr>
          <w:rStyle w:val="FootnoteReference"/>
        </w:rPr>
        <w:footnoteReference w:id="1"/>
      </w:r>
      <w:r w:rsidR="00EF7658">
        <w:rPr>
          <w:rFonts w:cs="Times New Roman"/>
          <w:szCs w:val="24"/>
        </w:rPr>
        <w:t xml:space="preserve">.  </w:t>
      </w:r>
      <w:r w:rsidRPr="00172C39">
        <w:rPr>
          <w:rFonts w:cs="Times New Roman"/>
          <w:szCs w:val="24"/>
        </w:rPr>
        <w:t xml:space="preserve">Each service’s provider </w:t>
      </w:r>
      <w:r w:rsidRPr="00083FD3">
        <w:rPr>
          <w:rFonts w:cs="Times New Roman"/>
          <w:noProof/>
          <w:szCs w:val="24"/>
        </w:rPr>
        <w:t>was located</w:t>
      </w:r>
      <w:r w:rsidRPr="00172C39">
        <w:rPr>
          <w:rFonts w:cs="Times New Roman"/>
          <w:szCs w:val="24"/>
        </w:rPr>
        <w:t xml:space="preserve"> via an internet search</w:t>
      </w:r>
      <w:r>
        <w:rPr>
          <w:rFonts w:cs="Times New Roman"/>
          <w:szCs w:val="24"/>
        </w:rPr>
        <w:t>,</w:t>
      </w:r>
      <w:r w:rsidRPr="00172C39">
        <w:rPr>
          <w:rFonts w:cs="Times New Roman"/>
          <w:szCs w:val="24"/>
        </w:rPr>
        <w:t xml:space="preserve"> </w:t>
      </w:r>
      <w:r w:rsidRPr="00083FD3">
        <w:rPr>
          <w:rFonts w:cs="Times New Roman"/>
          <w:noProof/>
          <w:szCs w:val="24"/>
        </w:rPr>
        <w:t>and</w:t>
      </w:r>
      <w:r w:rsidRPr="00172C39">
        <w:rPr>
          <w:rFonts w:cs="Times New Roman"/>
          <w:szCs w:val="24"/>
        </w:rPr>
        <w:t xml:space="preserve"> overall, 111 IAPT service providers </w:t>
      </w:r>
      <w:r w:rsidRPr="00083FD3">
        <w:rPr>
          <w:rFonts w:cs="Times New Roman"/>
          <w:noProof/>
          <w:szCs w:val="24"/>
        </w:rPr>
        <w:t>were identified</w:t>
      </w:r>
      <w:r w:rsidRPr="00172C39">
        <w:rPr>
          <w:rFonts w:cs="Times New Roman"/>
          <w:szCs w:val="24"/>
        </w:rPr>
        <w:t>.</w:t>
      </w:r>
    </w:p>
    <w:p w14:paraId="64A85D85" w14:textId="2E8C0B18" w:rsidR="008D5CFF" w:rsidRDefault="00E30483" w:rsidP="00E30483">
      <w:pPr>
        <w:rPr>
          <w:rFonts w:cs="Times New Roman"/>
          <w:szCs w:val="24"/>
        </w:rPr>
      </w:pPr>
      <w:r w:rsidRPr="00172C39">
        <w:rPr>
          <w:rFonts w:cs="Times New Roman"/>
          <w:szCs w:val="24"/>
        </w:rPr>
        <w:t>On the 13</w:t>
      </w:r>
      <w:r w:rsidRPr="00172C39">
        <w:rPr>
          <w:rFonts w:cs="Times New Roman"/>
          <w:szCs w:val="24"/>
          <w:vertAlign w:val="superscript"/>
        </w:rPr>
        <w:t>th</w:t>
      </w:r>
      <w:r w:rsidRPr="00172C39">
        <w:rPr>
          <w:rFonts w:cs="Times New Roman"/>
          <w:szCs w:val="24"/>
        </w:rPr>
        <w:t xml:space="preserve"> of February 2015, an FOI email request </w:t>
      </w:r>
      <w:r w:rsidRPr="00083FD3">
        <w:rPr>
          <w:rFonts w:cs="Times New Roman"/>
          <w:noProof/>
          <w:szCs w:val="24"/>
        </w:rPr>
        <w:t>was sent</w:t>
      </w:r>
      <w:r w:rsidRPr="00172C39">
        <w:rPr>
          <w:rFonts w:cs="Times New Roman"/>
          <w:szCs w:val="24"/>
        </w:rPr>
        <w:t xml:space="preserve"> to each of the 111 IAPT service providers</w:t>
      </w:r>
      <w:r>
        <w:rPr>
          <w:rFonts w:cs="Times New Roman"/>
          <w:szCs w:val="24"/>
        </w:rPr>
        <w:t>.</w:t>
      </w:r>
      <w:r w:rsidRPr="00172C39">
        <w:rPr>
          <w:rFonts w:cs="Times New Roman"/>
          <w:szCs w:val="24"/>
        </w:rPr>
        <w:t xml:space="preserve"> </w:t>
      </w:r>
      <w:r w:rsidR="00EF7658">
        <w:rPr>
          <w:rFonts w:cs="Times New Roman"/>
          <w:szCs w:val="24"/>
        </w:rPr>
        <w:t xml:space="preserve"> </w:t>
      </w:r>
      <w:r w:rsidRPr="00172C39">
        <w:rPr>
          <w:rFonts w:cs="Times New Roman"/>
          <w:szCs w:val="24"/>
        </w:rPr>
        <w:t>The questions asked are reported in</w:t>
      </w:r>
      <w:r>
        <w:rPr>
          <w:rFonts w:cs="Times New Roman"/>
          <w:szCs w:val="24"/>
        </w:rPr>
        <w:t xml:space="preserve"> </w:t>
      </w:r>
      <w:r>
        <w:rPr>
          <w:rFonts w:cs="Times New Roman"/>
          <w:szCs w:val="24"/>
        </w:rPr>
        <w:fldChar w:fldCharType="begin"/>
      </w:r>
      <w:r>
        <w:rPr>
          <w:rFonts w:cs="Times New Roman"/>
          <w:szCs w:val="24"/>
        </w:rPr>
        <w:instrText xml:space="preserve"> REF _Ref526859995 \h </w:instrText>
      </w:r>
      <w:r>
        <w:rPr>
          <w:rFonts w:cs="Times New Roman"/>
          <w:szCs w:val="24"/>
        </w:rPr>
      </w:r>
      <w:r>
        <w:rPr>
          <w:rFonts w:cs="Times New Roman"/>
          <w:szCs w:val="24"/>
        </w:rPr>
        <w:fldChar w:fldCharType="separate"/>
      </w:r>
      <w:r w:rsidR="00574650">
        <w:t xml:space="preserve">Table </w:t>
      </w:r>
      <w:r w:rsidR="00574650">
        <w:rPr>
          <w:noProof/>
        </w:rPr>
        <w:t>2</w:t>
      </w:r>
      <w:r w:rsidR="00574650">
        <w:t>.</w:t>
      </w:r>
      <w:r w:rsidR="00574650">
        <w:rPr>
          <w:noProof/>
        </w:rPr>
        <w:t>1</w:t>
      </w:r>
      <w:r>
        <w:rPr>
          <w:rFonts w:cs="Times New Roman"/>
          <w:szCs w:val="24"/>
        </w:rPr>
        <w:fldChar w:fldCharType="end"/>
      </w:r>
      <w:r w:rsidRPr="00172C39">
        <w:rPr>
          <w:rFonts w:cs="Times New Roman"/>
          <w:szCs w:val="24"/>
        </w:rPr>
        <w:t xml:space="preserve">.  According to the FOI Act, requests must </w:t>
      </w:r>
      <w:r w:rsidRPr="00083FD3">
        <w:rPr>
          <w:rFonts w:cs="Times New Roman"/>
          <w:noProof/>
          <w:szCs w:val="24"/>
        </w:rPr>
        <w:t>be answered</w:t>
      </w:r>
      <w:r w:rsidRPr="00172C39">
        <w:rPr>
          <w:rFonts w:cs="Times New Roman"/>
          <w:szCs w:val="24"/>
        </w:rPr>
        <w:t xml:space="preserve"> within 20 working days of receipt. </w:t>
      </w:r>
      <w:r w:rsidR="004525DB">
        <w:rPr>
          <w:rFonts w:cs="Times New Roman"/>
          <w:szCs w:val="24"/>
        </w:rPr>
        <w:t xml:space="preserve"> </w:t>
      </w:r>
      <w:r w:rsidRPr="00172C39">
        <w:rPr>
          <w:rFonts w:cs="Times New Roman"/>
          <w:szCs w:val="24"/>
        </w:rPr>
        <w:t xml:space="preserve">No responses </w:t>
      </w:r>
      <w:r w:rsidRPr="00083FD3">
        <w:rPr>
          <w:rFonts w:cs="Times New Roman"/>
          <w:noProof/>
          <w:szCs w:val="24"/>
        </w:rPr>
        <w:t>were received</w:t>
      </w:r>
      <w:r w:rsidRPr="00172C39">
        <w:rPr>
          <w:rFonts w:cs="Times New Roman"/>
          <w:szCs w:val="24"/>
        </w:rPr>
        <w:t xml:space="preserve"> after this time</w:t>
      </w:r>
      <w:r>
        <w:rPr>
          <w:rFonts w:cs="Times New Roman"/>
          <w:szCs w:val="24"/>
        </w:rPr>
        <w:t>.</w:t>
      </w:r>
    </w:p>
    <w:p w14:paraId="7B96D998" w14:textId="77777777" w:rsidR="008D5CFF" w:rsidRDefault="008D5CFF">
      <w:pPr>
        <w:spacing w:line="259" w:lineRule="auto"/>
        <w:rPr>
          <w:rFonts w:cs="Times New Roman"/>
          <w:szCs w:val="24"/>
        </w:rPr>
      </w:pPr>
      <w:r>
        <w:rPr>
          <w:rFonts w:cs="Times New Roman"/>
          <w:szCs w:val="24"/>
        </w:rPr>
        <w:br w:type="page"/>
      </w:r>
    </w:p>
    <w:p w14:paraId="2A1891D5" w14:textId="1EE84961" w:rsidR="00E30483" w:rsidRDefault="00E30483" w:rsidP="00E30483">
      <w:pPr>
        <w:pStyle w:val="Caption"/>
        <w:keepNext/>
      </w:pPr>
      <w:bookmarkStart w:id="85" w:name="_Ref526859995"/>
      <w:bookmarkStart w:id="86" w:name="_Toc530759480"/>
      <w:proofErr w:type="gramStart"/>
      <w:r>
        <w:lastRenderedPageBreak/>
        <w:t xml:space="preserve">Table </w:t>
      </w:r>
      <w:r w:rsidR="007E7BB7">
        <w:fldChar w:fldCharType="begin"/>
      </w:r>
      <w:r w:rsidR="007E7BB7">
        <w:instrText xml:space="preserve"> STYLEREF 1 \s </w:instrText>
      </w:r>
      <w:r w:rsidR="007E7BB7">
        <w:fldChar w:fldCharType="separate"/>
      </w:r>
      <w:r w:rsidR="00574650">
        <w:rPr>
          <w:noProof/>
        </w:rPr>
        <w:t>2</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r w:rsidR="00574650">
        <w:rPr>
          <w:noProof/>
        </w:rPr>
        <w:t>1</w:t>
      </w:r>
      <w:r w:rsidR="007E7BB7">
        <w:fldChar w:fldCharType="end"/>
      </w:r>
      <w:bookmarkEnd w:id="85"/>
      <w:r>
        <w:t xml:space="preserve"> </w:t>
      </w:r>
      <w:r w:rsidRPr="00EF5D5E">
        <w:t>Freedom of Information Request Questions asked of IAPT Service Providers</w:t>
      </w:r>
      <w:bookmarkEnd w:id="8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1083"/>
        <w:gridCol w:w="7943"/>
      </w:tblGrid>
      <w:tr w:rsidR="00E30483" w:rsidRPr="00A04279" w14:paraId="7BB62334" w14:textId="77777777" w:rsidTr="00646664">
        <w:trPr>
          <w:trHeight w:val="16"/>
        </w:trPr>
        <w:tc>
          <w:tcPr>
            <w:tcW w:w="1083" w:type="dxa"/>
            <w:tcBorders>
              <w:top w:val="single" w:sz="4" w:space="0" w:color="auto"/>
              <w:bottom w:val="single" w:sz="4" w:space="0" w:color="auto"/>
            </w:tcBorders>
            <w:shd w:val="clear" w:color="auto" w:fill="auto"/>
          </w:tcPr>
          <w:p w14:paraId="0B9F5C0B" w14:textId="77777777" w:rsidR="00E30483" w:rsidRPr="00156578" w:rsidRDefault="00E30483" w:rsidP="00646664">
            <w:pPr>
              <w:pStyle w:val="NoSpacing"/>
              <w:rPr>
                <w:b/>
              </w:rPr>
            </w:pPr>
            <w:r w:rsidRPr="00156578">
              <w:rPr>
                <w:b/>
              </w:rPr>
              <w:t>Question</w:t>
            </w:r>
          </w:p>
        </w:tc>
        <w:tc>
          <w:tcPr>
            <w:tcW w:w="7943" w:type="dxa"/>
            <w:tcBorders>
              <w:top w:val="single" w:sz="4" w:space="0" w:color="auto"/>
              <w:bottom w:val="single" w:sz="4" w:space="0" w:color="auto"/>
            </w:tcBorders>
            <w:shd w:val="clear" w:color="auto" w:fill="auto"/>
          </w:tcPr>
          <w:p w14:paraId="7B9AC64B" w14:textId="77777777" w:rsidR="00E30483" w:rsidRPr="00156578" w:rsidRDefault="00E30483" w:rsidP="00646664">
            <w:pPr>
              <w:pStyle w:val="NoSpacing"/>
              <w:rPr>
                <w:b/>
              </w:rPr>
            </w:pPr>
            <w:r w:rsidRPr="00156578">
              <w:rPr>
                <w:b/>
              </w:rPr>
              <w:t>Wording</w:t>
            </w:r>
          </w:p>
        </w:tc>
      </w:tr>
      <w:tr w:rsidR="00E30483" w:rsidRPr="00A04279" w14:paraId="49F5C04E" w14:textId="77777777" w:rsidTr="00646664">
        <w:tc>
          <w:tcPr>
            <w:tcW w:w="1083" w:type="dxa"/>
            <w:tcBorders>
              <w:top w:val="single" w:sz="4" w:space="0" w:color="auto"/>
            </w:tcBorders>
          </w:tcPr>
          <w:p w14:paraId="15717AC1" w14:textId="77777777" w:rsidR="00E30483" w:rsidRPr="00A04279" w:rsidRDefault="00E30483" w:rsidP="00646664">
            <w:pPr>
              <w:pStyle w:val="NoSpacing"/>
            </w:pPr>
            <w:r w:rsidRPr="00A04279">
              <w:t>1.</w:t>
            </w:r>
          </w:p>
        </w:tc>
        <w:tc>
          <w:tcPr>
            <w:tcW w:w="7943" w:type="dxa"/>
            <w:tcBorders>
              <w:top w:val="single" w:sz="4" w:space="0" w:color="auto"/>
            </w:tcBorders>
          </w:tcPr>
          <w:p w14:paraId="3D7EF124" w14:textId="77777777" w:rsidR="00E30483" w:rsidRPr="00A04279" w:rsidRDefault="00E30483" w:rsidP="00646664">
            <w:pPr>
              <w:pStyle w:val="NoSpacing"/>
            </w:pPr>
            <w:r w:rsidRPr="00A04279">
              <w:t xml:space="preserve">According to the dataset I have obtained from NHS Choices, you host the following services [service names]. </w:t>
            </w:r>
            <w:r w:rsidRPr="00083FD3">
              <w:rPr>
                <w:noProof/>
              </w:rPr>
              <w:t>Please</w:t>
            </w:r>
            <w:r w:rsidRPr="00A04279">
              <w:t xml:space="preserve"> can </w:t>
            </w:r>
            <w:r w:rsidRPr="00083FD3">
              <w:rPr>
                <w:noProof/>
              </w:rPr>
              <w:t>you</w:t>
            </w:r>
            <w:r w:rsidRPr="00A04279">
              <w:t xml:space="preserve"> confirm whether this list is complete and add any additional services that are not listed? (Including address and postcode).</w:t>
            </w:r>
          </w:p>
        </w:tc>
      </w:tr>
      <w:tr w:rsidR="00E30483" w:rsidRPr="00A04279" w14:paraId="66C63FE9" w14:textId="77777777" w:rsidTr="00646664">
        <w:tc>
          <w:tcPr>
            <w:tcW w:w="1083" w:type="dxa"/>
          </w:tcPr>
          <w:p w14:paraId="73DF3C16" w14:textId="77777777" w:rsidR="00E30483" w:rsidRPr="00A04279" w:rsidRDefault="00E30483" w:rsidP="00646664">
            <w:pPr>
              <w:pStyle w:val="NoSpacing"/>
            </w:pPr>
            <w:r w:rsidRPr="00A04279">
              <w:t>3.</w:t>
            </w:r>
          </w:p>
        </w:tc>
        <w:tc>
          <w:tcPr>
            <w:tcW w:w="7943" w:type="dxa"/>
          </w:tcPr>
          <w:p w14:paraId="56110A55" w14:textId="77777777" w:rsidR="00E30483" w:rsidRPr="00A04279" w:rsidRDefault="00E30483" w:rsidP="00646664">
            <w:pPr>
              <w:pStyle w:val="NoSpacing"/>
            </w:pPr>
            <w:r w:rsidRPr="00A04279">
              <w:t xml:space="preserve">If these services are not run directly by the NHS </w:t>
            </w:r>
            <w:r w:rsidRPr="00083FD3">
              <w:rPr>
                <w:noProof/>
              </w:rPr>
              <w:t>please</w:t>
            </w:r>
            <w:r w:rsidRPr="00A04279">
              <w:t xml:space="preserve"> state </w:t>
            </w:r>
            <w:proofErr w:type="gramStart"/>
            <w:r w:rsidRPr="00A04279">
              <w:t>who</w:t>
            </w:r>
            <w:proofErr w:type="gramEnd"/>
            <w:r w:rsidRPr="00A04279">
              <w:t xml:space="preserve"> runs them and what they are (e.g. Social Enterprise, Limited Company, third sector group).</w:t>
            </w:r>
          </w:p>
        </w:tc>
      </w:tr>
      <w:tr w:rsidR="00E30483" w:rsidRPr="00A04279" w14:paraId="50A22AA9" w14:textId="77777777" w:rsidTr="00646664">
        <w:tc>
          <w:tcPr>
            <w:tcW w:w="1083" w:type="dxa"/>
          </w:tcPr>
          <w:p w14:paraId="5E8EB019" w14:textId="77777777" w:rsidR="00E30483" w:rsidRPr="00A04279" w:rsidRDefault="00E30483" w:rsidP="00646664">
            <w:pPr>
              <w:pStyle w:val="NoSpacing"/>
            </w:pPr>
            <w:r w:rsidRPr="00A04279">
              <w:t>4.</w:t>
            </w:r>
          </w:p>
        </w:tc>
        <w:tc>
          <w:tcPr>
            <w:tcW w:w="7943" w:type="dxa"/>
          </w:tcPr>
          <w:p w14:paraId="2306A2D9" w14:textId="77777777" w:rsidR="00E30483" w:rsidRPr="00A04279" w:rsidRDefault="00E30483" w:rsidP="00646664">
            <w:pPr>
              <w:pStyle w:val="NoSpacing"/>
            </w:pPr>
            <w:r w:rsidRPr="00A04279">
              <w:t xml:space="preserve">If </w:t>
            </w:r>
            <w:r w:rsidRPr="00083FD3">
              <w:rPr>
                <w:noProof/>
              </w:rPr>
              <w:t>you</w:t>
            </w:r>
            <w:r w:rsidRPr="00A04279">
              <w:t xml:space="preserve"> provide an IAPT </w:t>
            </w:r>
            <w:proofErr w:type="gramStart"/>
            <w:r w:rsidRPr="00083FD3">
              <w:rPr>
                <w:noProof/>
              </w:rPr>
              <w:t>a</w:t>
            </w:r>
            <w:r w:rsidRPr="00A04279">
              <w:t xml:space="preserve"> service on behalf of another organisation (such as a care commissioning group, foundation trust or other) </w:t>
            </w:r>
            <w:r w:rsidRPr="00083FD3">
              <w:rPr>
                <w:noProof/>
              </w:rPr>
              <w:t>please</w:t>
            </w:r>
            <w:r w:rsidRPr="00A04279">
              <w:t xml:space="preserve"> state</w:t>
            </w:r>
            <w:proofErr w:type="gramEnd"/>
            <w:r w:rsidRPr="00A04279">
              <w:t xml:space="preserve"> the organisation’s name.</w:t>
            </w:r>
          </w:p>
        </w:tc>
      </w:tr>
      <w:tr w:rsidR="00E30483" w:rsidRPr="00A04279" w14:paraId="02A42132" w14:textId="77777777" w:rsidTr="00646664">
        <w:tc>
          <w:tcPr>
            <w:tcW w:w="1083" w:type="dxa"/>
          </w:tcPr>
          <w:p w14:paraId="784B6856" w14:textId="77777777" w:rsidR="00E30483" w:rsidRPr="00A04279" w:rsidRDefault="00E30483" w:rsidP="00646664">
            <w:pPr>
              <w:pStyle w:val="NoSpacing"/>
            </w:pPr>
            <w:r w:rsidRPr="00A04279">
              <w:t>5.</w:t>
            </w:r>
          </w:p>
        </w:tc>
        <w:tc>
          <w:tcPr>
            <w:tcW w:w="7943" w:type="dxa"/>
          </w:tcPr>
          <w:p w14:paraId="7FEEAE5D" w14:textId="77777777" w:rsidR="00E30483" w:rsidRPr="00A04279" w:rsidRDefault="00E30483" w:rsidP="00646664">
            <w:pPr>
              <w:pStyle w:val="NoSpacing"/>
            </w:pPr>
            <w:r w:rsidRPr="00A04279">
              <w:t xml:space="preserve">Please state the types of referral used by </w:t>
            </w:r>
            <w:r w:rsidRPr="00083FD3">
              <w:rPr>
                <w:noProof/>
              </w:rPr>
              <w:t>your</w:t>
            </w:r>
            <w:r w:rsidRPr="00A04279">
              <w:t xml:space="preserve"> organisation / IAPT </w:t>
            </w:r>
            <w:r w:rsidRPr="00083FD3">
              <w:rPr>
                <w:noProof/>
              </w:rPr>
              <w:t>i.e.</w:t>
            </w:r>
            <w:r w:rsidRPr="00A04279">
              <w:t xml:space="preserve"> GP, Self-Referral, Other.</w:t>
            </w:r>
          </w:p>
        </w:tc>
      </w:tr>
      <w:tr w:rsidR="00E30483" w:rsidRPr="00A04279" w14:paraId="67C91588" w14:textId="77777777" w:rsidTr="00646664">
        <w:tc>
          <w:tcPr>
            <w:tcW w:w="1083" w:type="dxa"/>
          </w:tcPr>
          <w:p w14:paraId="6D9A34EE" w14:textId="77777777" w:rsidR="00E30483" w:rsidRPr="00A04279" w:rsidRDefault="00E30483" w:rsidP="00646664">
            <w:pPr>
              <w:pStyle w:val="NoSpacing"/>
            </w:pPr>
            <w:r w:rsidRPr="00A04279">
              <w:t>6.</w:t>
            </w:r>
          </w:p>
        </w:tc>
        <w:tc>
          <w:tcPr>
            <w:tcW w:w="7943" w:type="dxa"/>
          </w:tcPr>
          <w:p w14:paraId="4FED9063" w14:textId="77777777" w:rsidR="00E30483" w:rsidRPr="00A04279" w:rsidRDefault="00E30483" w:rsidP="00646664">
            <w:pPr>
              <w:pStyle w:val="NoSpacing"/>
            </w:pPr>
            <w:r w:rsidRPr="00A04279">
              <w:t xml:space="preserve">If </w:t>
            </w:r>
            <w:r w:rsidRPr="00083FD3">
              <w:rPr>
                <w:noProof/>
              </w:rPr>
              <w:t>you</w:t>
            </w:r>
            <w:r w:rsidRPr="00A04279">
              <w:t xml:space="preserve"> offer a self-referral </w:t>
            </w:r>
            <w:r w:rsidRPr="00083FD3">
              <w:rPr>
                <w:noProof/>
              </w:rPr>
              <w:t>service</w:t>
            </w:r>
            <w:r w:rsidRPr="00A04279">
              <w:t xml:space="preserve"> do </w:t>
            </w:r>
            <w:r w:rsidRPr="00083FD3">
              <w:rPr>
                <w:noProof/>
              </w:rPr>
              <w:t>you</w:t>
            </w:r>
            <w:r w:rsidRPr="00A04279">
              <w:t xml:space="preserve"> have an online self-referral method such as a contact email address or a form on </w:t>
            </w:r>
            <w:r w:rsidRPr="00083FD3">
              <w:rPr>
                <w:noProof/>
              </w:rPr>
              <w:t>your</w:t>
            </w:r>
            <w:r w:rsidRPr="00A04279">
              <w:t xml:space="preserve"> website?</w:t>
            </w:r>
          </w:p>
        </w:tc>
      </w:tr>
      <w:tr w:rsidR="00E30483" w:rsidRPr="00A04279" w14:paraId="2030056E" w14:textId="77777777" w:rsidTr="00646664">
        <w:tc>
          <w:tcPr>
            <w:tcW w:w="1083" w:type="dxa"/>
          </w:tcPr>
          <w:p w14:paraId="284BEE01" w14:textId="77777777" w:rsidR="00E30483" w:rsidRPr="00A04279" w:rsidRDefault="00E30483" w:rsidP="00646664">
            <w:pPr>
              <w:pStyle w:val="NoSpacing"/>
            </w:pPr>
            <w:r w:rsidRPr="00A04279">
              <w:t>7.</w:t>
            </w:r>
          </w:p>
        </w:tc>
        <w:tc>
          <w:tcPr>
            <w:tcW w:w="7943" w:type="dxa"/>
          </w:tcPr>
          <w:p w14:paraId="03F66FEA" w14:textId="77777777" w:rsidR="00E30483" w:rsidRPr="00A04279" w:rsidRDefault="00E30483" w:rsidP="00646664">
            <w:pPr>
              <w:pStyle w:val="NoSpacing"/>
            </w:pPr>
            <w:r w:rsidRPr="00A04279">
              <w:t xml:space="preserve">Please state any e-therapies, computerised therapies, Internet-delivered therapies, online therapies, or advice/guidance websites for mental health issues that </w:t>
            </w:r>
            <w:r w:rsidRPr="00083FD3">
              <w:rPr>
                <w:noProof/>
              </w:rPr>
              <w:t>your</w:t>
            </w:r>
            <w:r w:rsidRPr="00A04279">
              <w:t xml:space="preserve"> organisation / IAPT service use or recommend to service users. For example, these might include, but are not limited to internet-delivered cognitive behaviour therapy with or without therapist support, internet-delivered therapy based on an approach other than cognitive behaviour therapy, online or email therapy/counselling, online social support networks, or informational websites. </w:t>
            </w:r>
          </w:p>
        </w:tc>
      </w:tr>
      <w:tr w:rsidR="00E30483" w:rsidRPr="00A04279" w14:paraId="19D31028" w14:textId="77777777" w:rsidTr="00646664">
        <w:tc>
          <w:tcPr>
            <w:tcW w:w="1083" w:type="dxa"/>
          </w:tcPr>
          <w:p w14:paraId="6D4D00E2" w14:textId="77777777" w:rsidR="00E30483" w:rsidRPr="00A04279" w:rsidRDefault="00E30483" w:rsidP="00646664">
            <w:pPr>
              <w:pStyle w:val="NoSpacing"/>
            </w:pPr>
            <w:r w:rsidRPr="00A04279">
              <w:t>8.</w:t>
            </w:r>
          </w:p>
        </w:tc>
        <w:tc>
          <w:tcPr>
            <w:tcW w:w="7943" w:type="dxa"/>
          </w:tcPr>
          <w:p w14:paraId="3E27D995" w14:textId="77777777" w:rsidR="00E30483" w:rsidRPr="00A04279" w:rsidRDefault="00E30483" w:rsidP="00646664">
            <w:pPr>
              <w:pStyle w:val="NoSpacing"/>
            </w:pPr>
            <w:r w:rsidRPr="00A04279">
              <w:t xml:space="preserve">Please state any </w:t>
            </w:r>
            <w:r w:rsidRPr="00083FD3">
              <w:rPr>
                <w:noProof/>
              </w:rPr>
              <w:t>smart phone</w:t>
            </w:r>
            <w:r w:rsidRPr="00A04279">
              <w:t xml:space="preserve"> apps </w:t>
            </w:r>
            <w:r w:rsidRPr="00083FD3">
              <w:rPr>
                <w:noProof/>
              </w:rPr>
              <w:t>your</w:t>
            </w:r>
            <w:r w:rsidRPr="00A04279">
              <w:t xml:space="preserve"> organisation / IAPT service use or recommend to service users. For example, these might include specific apps from the NHS Choices Health Apps </w:t>
            </w:r>
            <w:r w:rsidRPr="00083FD3">
              <w:rPr>
                <w:noProof/>
              </w:rPr>
              <w:t>Library,</w:t>
            </w:r>
            <w:r w:rsidRPr="00A04279">
              <w:t xml:space="preserve"> or others that professionals in </w:t>
            </w:r>
            <w:r w:rsidRPr="00083FD3">
              <w:rPr>
                <w:noProof/>
              </w:rPr>
              <w:t>your</w:t>
            </w:r>
            <w:r w:rsidRPr="00A04279">
              <w:t xml:space="preserve"> service recommend.</w:t>
            </w:r>
          </w:p>
        </w:tc>
      </w:tr>
      <w:tr w:rsidR="00E30483" w:rsidRPr="00A04279" w14:paraId="087D2E22" w14:textId="77777777" w:rsidTr="00646664">
        <w:tc>
          <w:tcPr>
            <w:tcW w:w="1083" w:type="dxa"/>
            <w:tcBorders>
              <w:bottom w:val="single" w:sz="4" w:space="0" w:color="auto"/>
            </w:tcBorders>
          </w:tcPr>
          <w:p w14:paraId="511F9F01" w14:textId="77777777" w:rsidR="00E30483" w:rsidRPr="00A04279" w:rsidRDefault="00E30483" w:rsidP="00646664">
            <w:pPr>
              <w:pStyle w:val="NoSpacing"/>
            </w:pPr>
            <w:r w:rsidRPr="00A04279">
              <w:t>9.</w:t>
            </w:r>
          </w:p>
        </w:tc>
        <w:tc>
          <w:tcPr>
            <w:tcW w:w="7943" w:type="dxa"/>
            <w:tcBorders>
              <w:bottom w:val="single" w:sz="4" w:space="0" w:color="auto"/>
            </w:tcBorders>
          </w:tcPr>
          <w:p w14:paraId="4523C659" w14:textId="77777777" w:rsidR="00E30483" w:rsidRPr="00A04279" w:rsidRDefault="00E30483" w:rsidP="00646664">
            <w:pPr>
              <w:pStyle w:val="NoSpacing"/>
            </w:pPr>
            <w:r w:rsidRPr="00A04279">
              <w:t xml:space="preserve">In 2013/14 could </w:t>
            </w:r>
            <w:r w:rsidRPr="00083FD3">
              <w:rPr>
                <w:noProof/>
              </w:rPr>
              <w:t>you</w:t>
            </w:r>
            <w:r w:rsidRPr="00A04279">
              <w:t xml:space="preserve"> give the total number of people </w:t>
            </w:r>
            <w:r w:rsidRPr="00083FD3">
              <w:rPr>
                <w:noProof/>
              </w:rPr>
              <w:t>your</w:t>
            </w:r>
            <w:r w:rsidRPr="00A04279">
              <w:t xml:space="preserve"> service saw under IAPT and also give a figure as to how many of those were aged 50 or over.</w:t>
            </w:r>
          </w:p>
        </w:tc>
      </w:tr>
    </w:tbl>
    <w:p w14:paraId="455F941C" w14:textId="745038E5" w:rsidR="00E30483" w:rsidRPr="00172C39" w:rsidRDefault="00E30483" w:rsidP="005E60F7">
      <w:pPr>
        <w:pStyle w:val="Heading4"/>
      </w:pPr>
      <w:r w:rsidRPr="00172C39">
        <w:t>NHS Mental Health Trusts</w:t>
      </w:r>
    </w:p>
    <w:p w14:paraId="7EC1D421" w14:textId="23610C26" w:rsidR="00E30483" w:rsidRDefault="00E30483" w:rsidP="00E30483">
      <w:pPr>
        <w:rPr>
          <w:rFonts w:cs="Times New Roman"/>
          <w:szCs w:val="24"/>
        </w:rPr>
      </w:pPr>
      <w:r w:rsidRPr="00083FD3">
        <w:rPr>
          <w:rFonts w:cs="Times New Roman"/>
          <w:noProof/>
          <w:szCs w:val="24"/>
        </w:rPr>
        <w:t>Many IAPT services are hosted by NHS Mental Health Trusts</w:t>
      </w:r>
      <w:r w:rsidRPr="00172C39">
        <w:rPr>
          <w:rFonts w:cs="Times New Roman"/>
          <w:szCs w:val="24"/>
        </w:rPr>
        <w:t xml:space="preserve">. </w:t>
      </w:r>
      <w:r w:rsidR="004525DB">
        <w:rPr>
          <w:rFonts w:cs="Times New Roman"/>
          <w:szCs w:val="24"/>
        </w:rPr>
        <w:t xml:space="preserve"> </w:t>
      </w:r>
      <w:r w:rsidRPr="00172C39">
        <w:rPr>
          <w:rFonts w:cs="Times New Roman"/>
          <w:szCs w:val="24"/>
        </w:rPr>
        <w:t xml:space="preserve">It is possible that the answers given by IAPT services may be missing elements that </w:t>
      </w:r>
      <w:r w:rsidRPr="00083FD3">
        <w:rPr>
          <w:rFonts w:cs="Times New Roman"/>
          <w:noProof/>
          <w:szCs w:val="24"/>
        </w:rPr>
        <w:t>are only</w:t>
      </w:r>
      <w:r w:rsidRPr="00172C39">
        <w:rPr>
          <w:rFonts w:cs="Times New Roman"/>
          <w:szCs w:val="24"/>
        </w:rPr>
        <w:t xml:space="preserve"> answerable at </w:t>
      </w:r>
      <w:r w:rsidRPr="00083FD3">
        <w:rPr>
          <w:rFonts w:cs="Times New Roman"/>
          <w:noProof/>
          <w:szCs w:val="24"/>
        </w:rPr>
        <w:t>a</w:t>
      </w:r>
      <w:r>
        <w:rPr>
          <w:rFonts w:cs="Times New Roman"/>
          <w:noProof/>
          <w:szCs w:val="24"/>
        </w:rPr>
        <w:t>n</w:t>
      </w:r>
      <w:r w:rsidRPr="00083FD3">
        <w:rPr>
          <w:rFonts w:cs="Times New Roman"/>
          <w:noProof/>
          <w:szCs w:val="24"/>
        </w:rPr>
        <w:t xml:space="preserve"> NHS</w:t>
      </w:r>
      <w:r w:rsidRPr="00172C39">
        <w:rPr>
          <w:rFonts w:cs="Times New Roman"/>
          <w:szCs w:val="24"/>
        </w:rPr>
        <w:t xml:space="preserve"> Trust level.  For example, an IAPT service hosted by a Trust may not be aware of its host’s activities around research and development.  Therefore, FOI emails were also sent to each Trust, using a list of 51 NHS Mental Health Trusts compiled from the NHS Choices mental health trust listing page on the 3rd of March 2015.  The questions asked are reported in </w:t>
      </w:r>
      <w:r w:rsidRPr="00685B4F">
        <w:rPr>
          <w:rFonts w:cs="Times New Roman"/>
          <w:szCs w:val="24"/>
        </w:rPr>
        <w:t xml:space="preserve">see </w:t>
      </w:r>
      <w:r>
        <w:rPr>
          <w:rFonts w:cs="Times New Roman"/>
          <w:szCs w:val="24"/>
        </w:rPr>
        <w:fldChar w:fldCharType="begin"/>
      </w:r>
      <w:r>
        <w:rPr>
          <w:rFonts w:cs="Times New Roman"/>
          <w:szCs w:val="24"/>
        </w:rPr>
        <w:instrText xml:space="preserve"> REF _Ref526861516 \h </w:instrText>
      </w:r>
      <w:r>
        <w:rPr>
          <w:rFonts w:cs="Times New Roman"/>
          <w:szCs w:val="24"/>
        </w:rPr>
      </w:r>
      <w:r>
        <w:rPr>
          <w:rFonts w:cs="Times New Roman"/>
          <w:szCs w:val="24"/>
        </w:rPr>
        <w:fldChar w:fldCharType="separate"/>
      </w:r>
      <w:r w:rsidR="00574650">
        <w:t xml:space="preserve">Table </w:t>
      </w:r>
      <w:r w:rsidR="00574650">
        <w:rPr>
          <w:noProof/>
        </w:rPr>
        <w:t>2</w:t>
      </w:r>
      <w:r w:rsidR="00574650">
        <w:t>.</w:t>
      </w:r>
      <w:r w:rsidR="00574650">
        <w:rPr>
          <w:noProof/>
        </w:rPr>
        <w:t>2</w:t>
      </w:r>
      <w:r>
        <w:rPr>
          <w:rFonts w:cs="Times New Roman"/>
          <w:szCs w:val="24"/>
        </w:rPr>
        <w:fldChar w:fldCharType="end"/>
      </w:r>
      <w:r w:rsidRPr="00172C39">
        <w:rPr>
          <w:rFonts w:cs="Times New Roman"/>
          <w:szCs w:val="24"/>
        </w:rPr>
        <w:t xml:space="preserve">. </w:t>
      </w:r>
      <w:r w:rsidR="001F5564">
        <w:rPr>
          <w:rFonts w:cs="Times New Roman"/>
          <w:szCs w:val="24"/>
        </w:rPr>
        <w:t xml:space="preserve"> </w:t>
      </w:r>
      <w:r w:rsidRPr="00172C39">
        <w:rPr>
          <w:rFonts w:cs="Times New Roman"/>
          <w:szCs w:val="24"/>
        </w:rPr>
        <w:t xml:space="preserve">No responses </w:t>
      </w:r>
      <w:r w:rsidRPr="00083FD3">
        <w:rPr>
          <w:rFonts w:cs="Times New Roman"/>
          <w:noProof/>
          <w:szCs w:val="24"/>
        </w:rPr>
        <w:t>were received</w:t>
      </w:r>
      <w:r w:rsidRPr="00172C39">
        <w:rPr>
          <w:rFonts w:cs="Times New Roman"/>
          <w:szCs w:val="24"/>
        </w:rPr>
        <w:t xml:space="preserve"> after the mandated response window.</w:t>
      </w:r>
    </w:p>
    <w:p w14:paraId="6CF3EDA5" w14:textId="5952183F" w:rsidR="00E30483" w:rsidRDefault="00E30483" w:rsidP="00E30483">
      <w:pPr>
        <w:pStyle w:val="Caption"/>
        <w:keepNext/>
      </w:pPr>
      <w:bookmarkStart w:id="87" w:name="_Ref526861516"/>
      <w:bookmarkStart w:id="88" w:name="_Toc530759481"/>
      <w:proofErr w:type="gramStart"/>
      <w:r>
        <w:t xml:space="preserve">Table </w:t>
      </w:r>
      <w:r w:rsidR="007E7BB7">
        <w:fldChar w:fldCharType="begin"/>
      </w:r>
      <w:r w:rsidR="007E7BB7">
        <w:instrText xml:space="preserve"> STYLEREF 1 \s </w:instrText>
      </w:r>
      <w:r w:rsidR="007E7BB7">
        <w:fldChar w:fldCharType="separate"/>
      </w:r>
      <w:r w:rsidR="00574650">
        <w:rPr>
          <w:noProof/>
        </w:rPr>
        <w:t>2</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r w:rsidR="00574650">
        <w:rPr>
          <w:noProof/>
        </w:rPr>
        <w:t>2</w:t>
      </w:r>
      <w:r w:rsidR="007E7BB7">
        <w:fldChar w:fldCharType="end"/>
      </w:r>
      <w:bookmarkEnd w:id="87"/>
      <w:r>
        <w:t xml:space="preserve"> </w:t>
      </w:r>
      <w:r w:rsidRPr="009F1A8F">
        <w:t>Freedom of Information Request Questions asked of NHS Trusts</w:t>
      </w:r>
      <w:bookmarkEnd w:id="88"/>
    </w:p>
    <w:tbl>
      <w:tblPr>
        <w:tblStyle w:val="TableGrid"/>
        <w:tblW w:w="0" w:type="auto"/>
        <w:tblInd w:w="-5" w:type="dxa"/>
        <w:tblBorders>
          <w:left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1051"/>
        <w:gridCol w:w="8312"/>
      </w:tblGrid>
      <w:tr w:rsidR="00E30483" w:rsidRPr="00172C39" w14:paraId="3BF7E534" w14:textId="77777777" w:rsidTr="00646664">
        <w:tc>
          <w:tcPr>
            <w:tcW w:w="1051" w:type="dxa"/>
            <w:tcBorders>
              <w:top w:val="single" w:sz="4" w:space="0" w:color="auto"/>
              <w:bottom w:val="single" w:sz="4" w:space="0" w:color="auto"/>
            </w:tcBorders>
            <w:shd w:val="clear" w:color="auto" w:fill="auto"/>
          </w:tcPr>
          <w:p w14:paraId="64F0D64A" w14:textId="77777777" w:rsidR="00E30483" w:rsidRPr="00156578" w:rsidRDefault="00E30483" w:rsidP="00646664">
            <w:pPr>
              <w:pStyle w:val="NoSpacing"/>
              <w:rPr>
                <w:b/>
              </w:rPr>
            </w:pPr>
            <w:r w:rsidRPr="00156578">
              <w:rPr>
                <w:b/>
              </w:rPr>
              <w:t>Question</w:t>
            </w:r>
          </w:p>
        </w:tc>
        <w:tc>
          <w:tcPr>
            <w:tcW w:w="8312" w:type="dxa"/>
            <w:tcBorders>
              <w:top w:val="single" w:sz="4" w:space="0" w:color="auto"/>
              <w:bottom w:val="single" w:sz="4" w:space="0" w:color="auto"/>
            </w:tcBorders>
            <w:shd w:val="clear" w:color="auto" w:fill="auto"/>
          </w:tcPr>
          <w:p w14:paraId="0659BEC3" w14:textId="77777777" w:rsidR="00E30483" w:rsidRPr="00156578" w:rsidRDefault="00E30483" w:rsidP="00646664">
            <w:pPr>
              <w:pStyle w:val="NoSpacing"/>
              <w:rPr>
                <w:b/>
              </w:rPr>
            </w:pPr>
            <w:r w:rsidRPr="00156578">
              <w:rPr>
                <w:b/>
              </w:rPr>
              <w:t>Wording</w:t>
            </w:r>
          </w:p>
        </w:tc>
      </w:tr>
      <w:tr w:rsidR="00E30483" w:rsidRPr="00172C39" w14:paraId="7AEC6BB2" w14:textId="77777777" w:rsidTr="00646664">
        <w:tc>
          <w:tcPr>
            <w:tcW w:w="1051" w:type="dxa"/>
            <w:tcBorders>
              <w:top w:val="single" w:sz="4" w:space="0" w:color="auto"/>
            </w:tcBorders>
          </w:tcPr>
          <w:p w14:paraId="3020D5BB" w14:textId="77777777" w:rsidR="00E30483" w:rsidRPr="00172C39" w:rsidRDefault="00E30483" w:rsidP="00646664">
            <w:pPr>
              <w:pStyle w:val="NoSpacing"/>
            </w:pPr>
            <w:r w:rsidRPr="00172C39">
              <w:t>1.</w:t>
            </w:r>
          </w:p>
        </w:tc>
        <w:tc>
          <w:tcPr>
            <w:tcW w:w="8312" w:type="dxa"/>
            <w:tcBorders>
              <w:top w:val="single" w:sz="4" w:space="0" w:color="auto"/>
            </w:tcBorders>
          </w:tcPr>
          <w:p w14:paraId="76B4389A" w14:textId="77777777" w:rsidR="00E30483" w:rsidRPr="00172C39" w:rsidRDefault="00E30483" w:rsidP="00646664">
            <w:pPr>
              <w:pStyle w:val="NoSpacing"/>
            </w:pPr>
            <w:r w:rsidRPr="00172C39">
              <w:t xml:space="preserve">Please state any e-therapies, computerised therapies, Internet-delivered therapies, online therapies, or advice/guidance websites for mental health issues that </w:t>
            </w:r>
            <w:r w:rsidRPr="00083FD3">
              <w:rPr>
                <w:noProof/>
              </w:rPr>
              <w:t>your</w:t>
            </w:r>
            <w:r w:rsidRPr="00172C39">
              <w:t xml:space="preserve"> trust use or recommend to service users. For example, these might include, but are not limited to internet-delivered cognitive behaviour therapy with or without therapist support, internet-delivered therapy based on an approach other than cognitive behaviour therapy, online or email therapy/counselling, online social support networks, or informational websites.  Format this as a list indicating which </w:t>
            </w:r>
            <w:r w:rsidRPr="00083FD3">
              <w:rPr>
                <w:noProof/>
              </w:rPr>
              <w:t>are recommended</w:t>
            </w:r>
            <w:r w:rsidRPr="00172C39">
              <w:t xml:space="preserve"> and which are used by the trust.</w:t>
            </w:r>
          </w:p>
        </w:tc>
      </w:tr>
      <w:tr w:rsidR="00E30483" w:rsidRPr="00172C39" w14:paraId="371A70E3" w14:textId="77777777" w:rsidTr="00646664">
        <w:tc>
          <w:tcPr>
            <w:tcW w:w="1051" w:type="dxa"/>
          </w:tcPr>
          <w:p w14:paraId="5AEC8053" w14:textId="77777777" w:rsidR="00E30483" w:rsidRPr="00172C39" w:rsidRDefault="00E30483" w:rsidP="00646664">
            <w:pPr>
              <w:pStyle w:val="NoSpacing"/>
            </w:pPr>
            <w:r w:rsidRPr="00172C39">
              <w:t>2.</w:t>
            </w:r>
          </w:p>
        </w:tc>
        <w:tc>
          <w:tcPr>
            <w:tcW w:w="8312" w:type="dxa"/>
          </w:tcPr>
          <w:p w14:paraId="3E03E950" w14:textId="77777777" w:rsidR="00E30483" w:rsidRPr="00172C39" w:rsidRDefault="00E30483" w:rsidP="00646664">
            <w:pPr>
              <w:pStyle w:val="NoSpacing"/>
            </w:pPr>
            <w:r w:rsidRPr="00172C39">
              <w:t xml:space="preserve">Please state any </w:t>
            </w:r>
            <w:r w:rsidRPr="00083FD3">
              <w:rPr>
                <w:noProof/>
              </w:rPr>
              <w:t>smart phone</w:t>
            </w:r>
            <w:r w:rsidRPr="00172C39">
              <w:t xml:space="preserve"> apps </w:t>
            </w:r>
            <w:r w:rsidRPr="00083FD3">
              <w:rPr>
                <w:noProof/>
              </w:rPr>
              <w:t>your</w:t>
            </w:r>
            <w:r w:rsidRPr="00172C39">
              <w:t xml:space="preserve"> trust use or recommend to service users. For example, these might include specific apps from the NHS Choices Health Apps </w:t>
            </w:r>
            <w:r w:rsidRPr="00083FD3">
              <w:rPr>
                <w:noProof/>
              </w:rPr>
              <w:t>Library,</w:t>
            </w:r>
            <w:r w:rsidRPr="00172C39">
              <w:t xml:space="preserve"> or </w:t>
            </w:r>
            <w:r w:rsidRPr="00172C39">
              <w:lastRenderedPageBreak/>
              <w:t xml:space="preserve">others that professionals in </w:t>
            </w:r>
            <w:r w:rsidRPr="00083FD3">
              <w:rPr>
                <w:noProof/>
              </w:rPr>
              <w:t>your</w:t>
            </w:r>
            <w:r w:rsidRPr="00172C39">
              <w:t xml:space="preserve"> service recommend. Format this as a list indicating which </w:t>
            </w:r>
            <w:r w:rsidRPr="00083FD3">
              <w:rPr>
                <w:noProof/>
              </w:rPr>
              <w:t>are recommended</w:t>
            </w:r>
            <w:r w:rsidRPr="00172C39">
              <w:t xml:space="preserve"> and which are used by the trust.</w:t>
            </w:r>
          </w:p>
        </w:tc>
      </w:tr>
      <w:tr w:rsidR="00E30483" w:rsidRPr="00172C39" w14:paraId="2911114F" w14:textId="77777777" w:rsidTr="00646664">
        <w:tc>
          <w:tcPr>
            <w:tcW w:w="1051" w:type="dxa"/>
          </w:tcPr>
          <w:p w14:paraId="0C69919B" w14:textId="77777777" w:rsidR="00E30483" w:rsidRPr="00172C39" w:rsidRDefault="00E30483" w:rsidP="00646664">
            <w:pPr>
              <w:pStyle w:val="NoSpacing"/>
            </w:pPr>
            <w:r w:rsidRPr="00172C39">
              <w:lastRenderedPageBreak/>
              <w:t>3.</w:t>
            </w:r>
          </w:p>
        </w:tc>
        <w:tc>
          <w:tcPr>
            <w:tcW w:w="8312" w:type="dxa"/>
          </w:tcPr>
          <w:p w14:paraId="49039251" w14:textId="77777777" w:rsidR="00E30483" w:rsidRPr="00172C39" w:rsidRDefault="00E30483" w:rsidP="00646664">
            <w:pPr>
              <w:pStyle w:val="NoSpacing"/>
            </w:pPr>
            <w:r w:rsidRPr="00172C39">
              <w:t xml:space="preserve">For the period 2013/14 could </w:t>
            </w:r>
            <w:r w:rsidRPr="00083FD3">
              <w:rPr>
                <w:noProof/>
              </w:rPr>
              <w:t>you</w:t>
            </w:r>
            <w:r w:rsidRPr="00172C39">
              <w:t xml:space="preserve"> state the total number of people </w:t>
            </w:r>
            <w:r w:rsidRPr="00083FD3">
              <w:rPr>
                <w:noProof/>
              </w:rPr>
              <w:t>your</w:t>
            </w:r>
            <w:r w:rsidRPr="00172C39">
              <w:t xml:space="preserve"> trust treated for </w:t>
            </w:r>
            <w:r w:rsidRPr="00083FD3">
              <w:rPr>
                <w:noProof/>
              </w:rPr>
              <w:t>depression / anxiety</w:t>
            </w:r>
            <w:r w:rsidRPr="00172C39">
              <w:t xml:space="preserve"> and also give a figure as to how many of those were aged 65 or over.</w:t>
            </w:r>
          </w:p>
        </w:tc>
      </w:tr>
    </w:tbl>
    <w:p w14:paraId="0ED1BC0C" w14:textId="44A395B0" w:rsidR="00E30483" w:rsidRPr="00172C39" w:rsidRDefault="00E30483" w:rsidP="005E60F7">
      <w:pPr>
        <w:pStyle w:val="Heading4"/>
      </w:pPr>
      <w:r w:rsidRPr="00172C39">
        <w:t>NHS Apps Libraries</w:t>
      </w:r>
    </w:p>
    <w:p w14:paraId="1F27E29E" w14:textId="6C49D27D" w:rsidR="00E30483" w:rsidRPr="00172C39" w:rsidRDefault="00E30483" w:rsidP="00E30483">
      <w:pPr>
        <w:rPr>
          <w:rFonts w:cs="Times New Roman"/>
          <w:szCs w:val="24"/>
        </w:rPr>
      </w:pPr>
      <w:r w:rsidRPr="00172C39">
        <w:rPr>
          <w:rFonts w:cs="Times New Roman"/>
          <w:szCs w:val="24"/>
        </w:rPr>
        <w:t xml:space="preserve">On the 26th of March 2015 web and smartphone apps were identified by carrying out four searches on the NHS Health Apps Library under the search terms “Mental Health”, “Depression”, “Anxiety”, “Stress”.  Additionally, the apps listed when clicking on the navigation menu category “Mental Health” </w:t>
      </w:r>
      <w:r w:rsidRPr="00083FD3">
        <w:rPr>
          <w:rFonts w:cs="Times New Roman"/>
          <w:noProof/>
          <w:szCs w:val="24"/>
        </w:rPr>
        <w:t>were also collected</w:t>
      </w:r>
      <w:r w:rsidRPr="00172C39">
        <w:rPr>
          <w:rFonts w:cs="Times New Roman"/>
          <w:szCs w:val="24"/>
        </w:rPr>
        <w:t>.</w:t>
      </w:r>
      <w:r w:rsidR="004525DB">
        <w:rPr>
          <w:rFonts w:cs="Times New Roman"/>
          <w:szCs w:val="24"/>
        </w:rPr>
        <w:t xml:space="preserve"> </w:t>
      </w:r>
      <w:r w:rsidRPr="00172C39">
        <w:rPr>
          <w:rFonts w:cs="Times New Roman"/>
          <w:szCs w:val="24"/>
        </w:rPr>
        <w:t xml:space="preserve"> The apps listed on the NHS Mental Health Apps Library (on the 2nd of November 2015) </w:t>
      </w:r>
      <w:r w:rsidRPr="00083FD3">
        <w:rPr>
          <w:rFonts w:cs="Times New Roman"/>
          <w:noProof/>
          <w:szCs w:val="24"/>
        </w:rPr>
        <w:t>were also collected</w:t>
      </w:r>
      <w:r w:rsidRPr="00172C39">
        <w:rPr>
          <w:rFonts w:cs="Times New Roman"/>
          <w:szCs w:val="24"/>
        </w:rPr>
        <w:t>.</w:t>
      </w:r>
    </w:p>
    <w:p w14:paraId="582D7B19" w14:textId="77777777" w:rsidR="00E30483" w:rsidRPr="00172C39" w:rsidRDefault="00E30483" w:rsidP="005E60F7">
      <w:pPr>
        <w:pStyle w:val="Heading2"/>
      </w:pPr>
      <w:bookmarkStart w:id="89" w:name="_Toc530598110"/>
      <w:bookmarkStart w:id="90" w:name="_Toc530660463"/>
      <w:bookmarkStart w:id="91" w:name="_Toc3538064"/>
      <w:r w:rsidRPr="00172C39">
        <w:t>Results</w:t>
      </w:r>
      <w:bookmarkEnd w:id="89"/>
      <w:bookmarkEnd w:id="90"/>
      <w:bookmarkEnd w:id="91"/>
    </w:p>
    <w:p w14:paraId="7D34A46B" w14:textId="3DAF45DF" w:rsidR="00E30483" w:rsidRPr="00EF7658" w:rsidRDefault="00E30483" w:rsidP="00E30483">
      <w:pPr>
        <w:rPr>
          <w:rFonts w:cs="Times New Roman"/>
          <w:szCs w:val="24"/>
        </w:rPr>
        <w:sectPr w:rsidR="00E30483" w:rsidRPr="00EF7658" w:rsidSect="00452C07">
          <w:pgSz w:w="11906" w:h="16838"/>
          <w:pgMar w:top="851" w:right="851" w:bottom="851" w:left="1134" w:header="0" w:footer="0" w:gutter="0"/>
          <w:cols w:space="720"/>
          <w:formProt w:val="0"/>
          <w:docGrid w:linePitch="360" w:charSpace="-2049"/>
        </w:sectPr>
      </w:pPr>
      <w:r w:rsidRPr="00172C39">
        <w:rPr>
          <w:rFonts w:cs="Times New Roman"/>
          <w:szCs w:val="24"/>
        </w:rPr>
        <w:t xml:space="preserve">We present the data from each of the sources separately in the following sections. </w:t>
      </w:r>
      <w:r w:rsidR="004525DB">
        <w:rPr>
          <w:rFonts w:cs="Times New Roman"/>
          <w:szCs w:val="24"/>
        </w:rPr>
        <w:t xml:space="preserve"> </w:t>
      </w:r>
      <w:r w:rsidRPr="00172C39">
        <w:rPr>
          <w:rFonts w:cs="Times New Roman"/>
          <w:szCs w:val="24"/>
        </w:rPr>
        <w:t xml:space="preserve">For IAPTs and Trusts, we present data </w:t>
      </w:r>
      <w:r w:rsidRPr="00083FD3">
        <w:rPr>
          <w:rFonts w:cs="Times New Roman"/>
          <w:noProof/>
          <w:szCs w:val="24"/>
        </w:rPr>
        <w:t>pertaining to</w:t>
      </w:r>
      <w:r w:rsidRPr="00172C39">
        <w:rPr>
          <w:rFonts w:cs="Times New Roman"/>
          <w:szCs w:val="24"/>
        </w:rPr>
        <w:t xml:space="preserve"> </w:t>
      </w:r>
      <w:proofErr w:type="spellStart"/>
      <w:r w:rsidRPr="00172C39">
        <w:rPr>
          <w:rFonts w:cs="Times New Roman"/>
          <w:szCs w:val="24"/>
        </w:rPr>
        <w:t>i</w:t>
      </w:r>
      <w:proofErr w:type="spellEnd"/>
      <w:r w:rsidRPr="00172C39">
        <w:rPr>
          <w:rFonts w:cs="Times New Roman"/>
          <w:szCs w:val="24"/>
        </w:rPr>
        <w:t xml:space="preserve">) response rates; ii) use of web and </w:t>
      </w:r>
      <w:r w:rsidRPr="00083FD3">
        <w:rPr>
          <w:rFonts w:cs="Times New Roman"/>
          <w:noProof/>
          <w:szCs w:val="24"/>
        </w:rPr>
        <w:t>smartphone</w:t>
      </w:r>
      <w:r w:rsidRPr="00172C39">
        <w:rPr>
          <w:rFonts w:cs="Times New Roman"/>
          <w:szCs w:val="24"/>
        </w:rPr>
        <w:t xml:space="preserve"> apps; iii) reports of being involved in research, piloting, or development of apps; and iv) whether they support online self-referral (IAPTs only). </w:t>
      </w:r>
      <w:r w:rsidR="004525DB">
        <w:rPr>
          <w:rFonts w:cs="Times New Roman"/>
          <w:szCs w:val="24"/>
        </w:rPr>
        <w:t xml:space="preserve"> </w:t>
      </w:r>
      <w:r w:rsidRPr="00172C39">
        <w:rPr>
          <w:rFonts w:cs="Times New Roman"/>
          <w:szCs w:val="24"/>
        </w:rPr>
        <w:t xml:space="preserve">For apps libraries, we report the apps which met our inclusion criterion. </w:t>
      </w:r>
      <w:r w:rsidR="004525DB">
        <w:rPr>
          <w:rFonts w:cs="Times New Roman"/>
          <w:szCs w:val="24"/>
        </w:rPr>
        <w:t xml:space="preserve"> </w:t>
      </w:r>
      <w:r w:rsidRPr="00172C39">
        <w:rPr>
          <w:rFonts w:cs="Times New Roman"/>
          <w:szCs w:val="24"/>
        </w:rPr>
        <w:t xml:space="preserve">The final list of e-therapies reported as being used or recommended by IAPTs or Trusts in England, or listed on the NHS Apps libraries for common mental health problems, is summarised in </w:t>
      </w:r>
      <w:r>
        <w:rPr>
          <w:rFonts w:cs="Times New Roman"/>
          <w:szCs w:val="24"/>
        </w:rPr>
        <w:fldChar w:fldCharType="begin"/>
      </w:r>
      <w:r>
        <w:rPr>
          <w:rFonts w:cs="Times New Roman"/>
          <w:szCs w:val="24"/>
        </w:rPr>
        <w:instrText xml:space="preserve"> REF _Ref526867556 \h </w:instrText>
      </w:r>
      <w:r>
        <w:rPr>
          <w:rFonts w:cs="Times New Roman"/>
          <w:szCs w:val="24"/>
        </w:rPr>
      </w:r>
      <w:r>
        <w:rPr>
          <w:rFonts w:cs="Times New Roman"/>
          <w:szCs w:val="24"/>
        </w:rPr>
        <w:fldChar w:fldCharType="separate"/>
      </w:r>
      <w:r w:rsidR="00574650">
        <w:t xml:space="preserve">Table </w:t>
      </w:r>
      <w:r w:rsidR="00574650">
        <w:rPr>
          <w:noProof/>
        </w:rPr>
        <w:t>2</w:t>
      </w:r>
      <w:r w:rsidR="00574650">
        <w:t>.</w:t>
      </w:r>
      <w:r w:rsidR="00574650">
        <w:rPr>
          <w:noProof/>
        </w:rPr>
        <w:t>3</w:t>
      </w:r>
      <w:r>
        <w:rPr>
          <w:rFonts w:cs="Times New Roman"/>
          <w:szCs w:val="24"/>
        </w:rPr>
        <w:fldChar w:fldCharType="end"/>
      </w:r>
      <w:r w:rsidRPr="00172C39">
        <w:rPr>
          <w:rFonts w:cs="Times New Roman"/>
          <w:szCs w:val="24"/>
        </w:rPr>
        <w:t>.</w:t>
      </w:r>
    </w:p>
    <w:p w14:paraId="67949295" w14:textId="7360EBF4" w:rsidR="00E30483" w:rsidRDefault="00E30483" w:rsidP="00E30483">
      <w:pPr>
        <w:pStyle w:val="Caption"/>
        <w:keepNext/>
      </w:pPr>
      <w:bookmarkStart w:id="92" w:name="_Ref526867556"/>
      <w:bookmarkStart w:id="93" w:name="_Toc530759482"/>
      <w:proofErr w:type="gramStart"/>
      <w:r>
        <w:lastRenderedPageBreak/>
        <w:t xml:space="preserve">Table </w:t>
      </w:r>
      <w:r w:rsidR="007E7BB7">
        <w:fldChar w:fldCharType="begin"/>
      </w:r>
      <w:r w:rsidR="007E7BB7">
        <w:instrText xml:space="preserve"> STYLEREF 1 \s </w:instrText>
      </w:r>
      <w:r w:rsidR="007E7BB7">
        <w:fldChar w:fldCharType="separate"/>
      </w:r>
      <w:r w:rsidR="00574650">
        <w:rPr>
          <w:noProof/>
        </w:rPr>
        <w:t>2</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r w:rsidR="00574650">
        <w:rPr>
          <w:noProof/>
        </w:rPr>
        <w:t>3</w:t>
      </w:r>
      <w:r w:rsidR="007E7BB7">
        <w:fldChar w:fldCharType="end"/>
      </w:r>
      <w:bookmarkEnd w:id="92"/>
      <w:r>
        <w:t xml:space="preserve"> </w:t>
      </w:r>
      <w:r w:rsidRPr="00EE73FC">
        <w:t>All web and smartphone apps reported to be used or recommended by the NHS for common mental health problems</w:t>
      </w:r>
      <w:bookmarkEnd w:id="93"/>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1688"/>
        <w:gridCol w:w="1763"/>
        <w:gridCol w:w="1826"/>
        <w:gridCol w:w="1314"/>
        <w:gridCol w:w="2535"/>
        <w:gridCol w:w="2224"/>
        <w:gridCol w:w="1799"/>
        <w:gridCol w:w="1920"/>
      </w:tblGrid>
      <w:tr w:rsidR="00E30483" w:rsidRPr="00D0198E" w14:paraId="5D0AA0AF" w14:textId="77777777" w:rsidTr="007C1C18">
        <w:trPr>
          <w:trHeight w:val="300"/>
        </w:trPr>
        <w:tc>
          <w:tcPr>
            <w:tcW w:w="560" w:type="pct"/>
            <w:tcBorders>
              <w:top w:val="single" w:sz="4" w:space="0" w:color="auto"/>
              <w:bottom w:val="single" w:sz="4" w:space="0" w:color="auto"/>
            </w:tcBorders>
            <w:shd w:val="clear" w:color="auto" w:fill="auto"/>
            <w:noWrap/>
            <w:hideMark/>
          </w:tcPr>
          <w:p w14:paraId="49C845C1" w14:textId="44DDE4EB" w:rsidR="00E30483" w:rsidRPr="00D0198E" w:rsidRDefault="00E30483" w:rsidP="00646664">
            <w:pPr>
              <w:pStyle w:val="NoSpacing"/>
              <w:rPr>
                <w:b/>
              </w:rPr>
            </w:pPr>
            <w:r w:rsidRPr="00D0198E">
              <w:rPr>
                <w:b/>
              </w:rPr>
              <w:t>App</w:t>
            </w:r>
          </w:p>
        </w:tc>
        <w:tc>
          <w:tcPr>
            <w:tcW w:w="585" w:type="pct"/>
            <w:tcBorders>
              <w:top w:val="single" w:sz="4" w:space="0" w:color="auto"/>
              <w:bottom w:val="single" w:sz="4" w:space="0" w:color="auto"/>
            </w:tcBorders>
          </w:tcPr>
          <w:p w14:paraId="71FEB279" w14:textId="77777777" w:rsidR="00E30483" w:rsidRPr="00D0198E" w:rsidRDefault="00E30483" w:rsidP="00646664">
            <w:pPr>
              <w:pStyle w:val="NoSpacing"/>
              <w:rPr>
                <w:b/>
              </w:rPr>
            </w:pPr>
            <w:r w:rsidRPr="00D0198E">
              <w:rPr>
                <w:b/>
              </w:rPr>
              <w:t>Format</w:t>
            </w:r>
          </w:p>
        </w:tc>
        <w:tc>
          <w:tcPr>
            <w:tcW w:w="606" w:type="pct"/>
            <w:tcBorders>
              <w:top w:val="single" w:sz="4" w:space="0" w:color="auto"/>
              <w:bottom w:val="single" w:sz="4" w:space="0" w:color="auto"/>
            </w:tcBorders>
            <w:shd w:val="clear" w:color="auto" w:fill="auto"/>
            <w:noWrap/>
            <w:hideMark/>
          </w:tcPr>
          <w:p w14:paraId="5311B8C1" w14:textId="0FA3D554" w:rsidR="00E30483" w:rsidRPr="00D0198E" w:rsidRDefault="00E30483" w:rsidP="00646664">
            <w:pPr>
              <w:pStyle w:val="NoSpacing"/>
              <w:rPr>
                <w:b/>
              </w:rPr>
            </w:pPr>
            <w:r w:rsidRPr="00D0198E">
              <w:rPr>
                <w:b/>
              </w:rPr>
              <w:t>Payment Model</w:t>
            </w:r>
          </w:p>
        </w:tc>
        <w:tc>
          <w:tcPr>
            <w:tcW w:w="436" w:type="pct"/>
            <w:tcBorders>
              <w:top w:val="single" w:sz="4" w:space="0" w:color="auto"/>
              <w:bottom w:val="single" w:sz="4" w:space="0" w:color="auto"/>
            </w:tcBorders>
            <w:shd w:val="clear" w:color="auto" w:fill="auto"/>
            <w:noWrap/>
            <w:hideMark/>
          </w:tcPr>
          <w:p w14:paraId="69E9940F" w14:textId="181A21C8" w:rsidR="00E30483" w:rsidRPr="00D0198E" w:rsidRDefault="00E30483" w:rsidP="00646664">
            <w:pPr>
              <w:pStyle w:val="NoSpacing"/>
              <w:rPr>
                <w:b/>
              </w:rPr>
            </w:pPr>
            <w:r w:rsidRPr="00D0198E">
              <w:rPr>
                <w:b/>
              </w:rPr>
              <w:t xml:space="preserve">Web or </w:t>
            </w:r>
            <w:r w:rsidRPr="00083FD3">
              <w:rPr>
                <w:b/>
                <w:noProof/>
              </w:rPr>
              <w:t>phone based</w:t>
            </w:r>
            <w:r w:rsidRPr="00D0198E">
              <w:rPr>
                <w:b/>
              </w:rPr>
              <w:t xml:space="preserve"> (w/p)</w:t>
            </w:r>
          </w:p>
        </w:tc>
        <w:tc>
          <w:tcPr>
            <w:tcW w:w="841" w:type="pct"/>
            <w:tcBorders>
              <w:top w:val="single" w:sz="4" w:space="0" w:color="auto"/>
              <w:bottom w:val="single" w:sz="4" w:space="0" w:color="auto"/>
            </w:tcBorders>
            <w:shd w:val="clear" w:color="auto" w:fill="auto"/>
            <w:noWrap/>
            <w:hideMark/>
          </w:tcPr>
          <w:p w14:paraId="40E1FC62" w14:textId="3F9EA9D8" w:rsidR="00E30483" w:rsidRPr="00D0198E" w:rsidRDefault="00E30483" w:rsidP="00646664">
            <w:pPr>
              <w:pStyle w:val="NoSpacing"/>
              <w:rPr>
                <w:b/>
              </w:rPr>
            </w:pPr>
            <w:r w:rsidRPr="00D0198E">
              <w:rPr>
                <w:b/>
              </w:rPr>
              <w:t>N of IAPTs using/ recommending (% of 191 IAPT services)</w:t>
            </w:r>
          </w:p>
          <w:p w14:paraId="389C1BE3" w14:textId="77777777" w:rsidR="00E30483" w:rsidRPr="00D0198E" w:rsidRDefault="00E30483" w:rsidP="00646664">
            <w:pPr>
              <w:pStyle w:val="NoSpacing"/>
              <w:rPr>
                <w:b/>
              </w:rPr>
            </w:pPr>
          </w:p>
        </w:tc>
        <w:tc>
          <w:tcPr>
            <w:tcW w:w="738" w:type="pct"/>
            <w:tcBorders>
              <w:top w:val="single" w:sz="4" w:space="0" w:color="auto"/>
              <w:bottom w:val="single" w:sz="4" w:space="0" w:color="auto"/>
            </w:tcBorders>
            <w:shd w:val="clear" w:color="auto" w:fill="auto"/>
            <w:noWrap/>
            <w:hideMark/>
          </w:tcPr>
          <w:p w14:paraId="57E69699" w14:textId="44E689D4" w:rsidR="00E30483" w:rsidRPr="00D0198E" w:rsidRDefault="00E30483" w:rsidP="00646664">
            <w:pPr>
              <w:pStyle w:val="NoSpacing"/>
              <w:rPr>
                <w:b/>
              </w:rPr>
            </w:pPr>
            <w:r w:rsidRPr="00D0198E">
              <w:rPr>
                <w:b/>
              </w:rPr>
              <w:t>N of Trusts using/ recommending (% of 51 Trusts)</w:t>
            </w:r>
          </w:p>
        </w:tc>
        <w:tc>
          <w:tcPr>
            <w:tcW w:w="597" w:type="pct"/>
            <w:tcBorders>
              <w:top w:val="single" w:sz="4" w:space="0" w:color="auto"/>
              <w:bottom w:val="single" w:sz="4" w:space="0" w:color="auto"/>
            </w:tcBorders>
            <w:shd w:val="clear" w:color="auto" w:fill="auto"/>
            <w:noWrap/>
            <w:hideMark/>
          </w:tcPr>
          <w:p w14:paraId="442C6232" w14:textId="5B4252FF" w:rsidR="00E30483" w:rsidRPr="00D0198E" w:rsidRDefault="00E30483" w:rsidP="00646664">
            <w:pPr>
              <w:pStyle w:val="NoSpacing"/>
              <w:rPr>
                <w:b/>
              </w:rPr>
            </w:pPr>
            <w:r w:rsidRPr="00D0198E">
              <w:rPr>
                <w:b/>
              </w:rPr>
              <w:t>Listed in NHS Health Apps Library (y/n)</w:t>
            </w:r>
          </w:p>
        </w:tc>
        <w:tc>
          <w:tcPr>
            <w:tcW w:w="637" w:type="pct"/>
            <w:tcBorders>
              <w:top w:val="single" w:sz="4" w:space="0" w:color="auto"/>
              <w:bottom w:val="single" w:sz="4" w:space="0" w:color="auto"/>
            </w:tcBorders>
            <w:shd w:val="clear" w:color="auto" w:fill="auto"/>
            <w:noWrap/>
            <w:hideMark/>
          </w:tcPr>
          <w:p w14:paraId="75BFE03E" w14:textId="1A76D755" w:rsidR="00E30483" w:rsidRPr="00D0198E" w:rsidRDefault="00E30483" w:rsidP="00646664">
            <w:pPr>
              <w:pStyle w:val="NoSpacing"/>
              <w:rPr>
                <w:b/>
              </w:rPr>
            </w:pPr>
            <w:r w:rsidRPr="00D0198E">
              <w:rPr>
                <w:b/>
              </w:rPr>
              <w:t>Listed in Mental Health Apps Library (y/n)</w:t>
            </w:r>
          </w:p>
        </w:tc>
      </w:tr>
      <w:tr w:rsidR="00E30483" w:rsidRPr="00172C39" w14:paraId="107FFF98" w14:textId="77777777" w:rsidTr="007C1C18">
        <w:trPr>
          <w:trHeight w:val="300"/>
        </w:trPr>
        <w:tc>
          <w:tcPr>
            <w:tcW w:w="560" w:type="pct"/>
            <w:tcBorders>
              <w:top w:val="single" w:sz="4" w:space="0" w:color="auto"/>
            </w:tcBorders>
            <w:shd w:val="clear" w:color="auto" w:fill="FFFFFF" w:themeFill="background1"/>
            <w:noWrap/>
            <w:hideMark/>
          </w:tcPr>
          <w:p w14:paraId="7BC344A5" w14:textId="77777777" w:rsidR="00E30483" w:rsidRPr="00172C39" w:rsidRDefault="00E30483" w:rsidP="00646664">
            <w:pPr>
              <w:pStyle w:val="NoSpacing"/>
            </w:pPr>
            <w:r w:rsidRPr="00172C39">
              <w:t>Living Life to the Full</w:t>
            </w:r>
          </w:p>
        </w:tc>
        <w:tc>
          <w:tcPr>
            <w:tcW w:w="585" w:type="pct"/>
            <w:tcBorders>
              <w:top w:val="single" w:sz="4" w:space="0" w:color="auto"/>
            </w:tcBorders>
            <w:shd w:val="clear" w:color="auto" w:fill="FFFFFF" w:themeFill="background1"/>
          </w:tcPr>
          <w:p w14:paraId="0D2D5D70" w14:textId="77777777" w:rsidR="00E30483" w:rsidRPr="00BF7226" w:rsidRDefault="00E30483" w:rsidP="00646664">
            <w:pPr>
              <w:pStyle w:val="NoSpacing"/>
            </w:pPr>
            <w:r w:rsidRPr="00BF7226">
              <w:t>Online modular self-help</w:t>
            </w:r>
          </w:p>
        </w:tc>
        <w:tc>
          <w:tcPr>
            <w:tcW w:w="606" w:type="pct"/>
            <w:tcBorders>
              <w:top w:val="single" w:sz="4" w:space="0" w:color="auto"/>
            </w:tcBorders>
            <w:shd w:val="clear" w:color="auto" w:fill="FFFFFF" w:themeFill="background1"/>
            <w:noWrap/>
            <w:hideMark/>
          </w:tcPr>
          <w:p w14:paraId="20664FF5" w14:textId="77777777" w:rsidR="00E30483" w:rsidRPr="00172C39" w:rsidRDefault="00E30483" w:rsidP="00646664">
            <w:pPr>
              <w:pStyle w:val="NoSpacing"/>
            </w:pPr>
            <w:r w:rsidRPr="00172C39">
              <w:t>Free to access</w:t>
            </w:r>
          </w:p>
        </w:tc>
        <w:tc>
          <w:tcPr>
            <w:tcW w:w="436" w:type="pct"/>
            <w:tcBorders>
              <w:top w:val="single" w:sz="4" w:space="0" w:color="auto"/>
            </w:tcBorders>
            <w:shd w:val="clear" w:color="auto" w:fill="FFFFFF" w:themeFill="background1"/>
            <w:noWrap/>
            <w:hideMark/>
          </w:tcPr>
          <w:p w14:paraId="10161B4F" w14:textId="55AEA39B" w:rsidR="00E30483" w:rsidRPr="00172C39" w:rsidRDefault="00090508" w:rsidP="00646664">
            <w:pPr>
              <w:pStyle w:val="NoSpacing"/>
              <w:jc w:val="center"/>
            </w:pPr>
            <w:r w:rsidRPr="00172C39">
              <w:t>W</w:t>
            </w:r>
          </w:p>
        </w:tc>
        <w:tc>
          <w:tcPr>
            <w:tcW w:w="841" w:type="pct"/>
            <w:tcBorders>
              <w:top w:val="single" w:sz="4" w:space="0" w:color="auto"/>
            </w:tcBorders>
            <w:shd w:val="clear" w:color="auto" w:fill="FFFFFF" w:themeFill="background1"/>
            <w:noWrap/>
            <w:hideMark/>
          </w:tcPr>
          <w:p w14:paraId="3B226D1B" w14:textId="77777777" w:rsidR="00E30483" w:rsidRPr="00172C39" w:rsidRDefault="00E30483" w:rsidP="00646664">
            <w:pPr>
              <w:pStyle w:val="NoSpacing"/>
              <w:jc w:val="center"/>
            </w:pPr>
            <w:r w:rsidRPr="00172C39">
              <w:t>94 (49.2%)</w:t>
            </w:r>
          </w:p>
        </w:tc>
        <w:tc>
          <w:tcPr>
            <w:tcW w:w="738" w:type="pct"/>
            <w:tcBorders>
              <w:top w:val="single" w:sz="4" w:space="0" w:color="auto"/>
            </w:tcBorders>
            <w:shd w:val="clear" w:color="auto" w:fill="FFFFFF" w:themeFill="background1"/>
            <w:noWrap/>
            <w:hideMark/>
          </w:tcPr>
          <w:p w14:paraId="32C0829F" w14:textId="77777777" w:rsidR="00E30483" w:rsidRPr="00172C39" w:rsidRDefault="00E30483" w:rsidP="00646664">
            <w:pPr>
              <w:pStyle w:val="NoSpacing"/>
              <w:jc w:val="center"/>
            </w:pPr>
            <w:r w:rsidRPr="00172C39">
              <w:t>24 (47.1%)</w:t>
            </w:r>
          </w:p>
        </w:tc>
        <w:tc>
          <w:tcPr>
            <w:tcW w:w="597" w:type="pct"/>
            <w:tcBorders>
              <w:top w:val="single" w:sz="4" w:space="0" w:color="auto"/>
            </w:tcBorders>
            <w:shd w:val="clear" w:color="auto" w:fill="FFFFFF" w:themeFill="background1"/>
            <w:noWrap/>
            <w:hideMark/>
          </w:tcPr>
          <w:p w14:paraId="1E5FD120" w14:textId="77777777" w:rsidR="00E30483" w:rsidRPr="00172C39" w:rsidRDefault="00E30483" w:rsidP="00646664">
            <w:pPr>
              <w:pStyle w:val="NoSpacing"/>
              <w:jc w:val="center"/>
            </w:pPr>
            <w:r w:rsidRPr="00172C39">
              <w:t>n</w:t>
            </w:r>
          </w:p>
        </w:tc>
        <w:tc>
          <w:tcPr>
            <w:tcW w:w="637" w:type="pct"/>
            <w:tcBorders>
              <w:top w:val="single" w:sz="4" w:space="0" w:color="auto"/>
            </w:tcBorders>
            <w:shd w:val="clear" w:color="auto" w:fill="FFFFFF" w:themeFill="background1"/>
            <w:noWrap/>
            <w:hideMark/>
          </w:tcPr>
          <w:p w14:paraId="5CE6776A" w14:textId="77777777" w:rsidR="00E30483" w:rsidRPr="00172C39" w:rsidRDefault="00E30483" w:rsidP="00646664">
            <w:pPr>
              <w:pStyle w:val="NoSpacing"/>
              <w:jc w:val="center"/>
            </w:pPr>
            <w:r w:rsidRPr="00172C39">
              <w:t>n</w:t>
            </w:r>
          </w:p>
        </w:tc>
      </w:tr>
      <w:tr w:rsidR="00E30483" w:rsidRPr="00172C39" w14:paraId="13919F01" w14:textId="77777777" w:rsidTr="007C1C18">
        <w:trPr>
          <w:trHeight w:val="300"/>
        </w:trPr>
        <w:tc>
          <w:tcPr>
            <w:tcW w:w="560" w:type="pct"/>
            <w:shd w:val="clear" w:color="auto" w:fill="FFFFFF" w:themeFill="background1"/>
            <w:noWrap/>
            <w:hideMark/>
          </w:tcPr>
          <w:p w14:paraId="197D14C8" w14:textId="77777777" w:rsidR="00E30483" w:rsidRPr="00172C39" w:rsidRDefault="00E30483" w:rsidP="00646664">
            <w:pPr>
              <w:pStyle w:val="NoSpacing"/>
            </w:pPr>
            <w:proofErr w:type="spellStart"/>
            <w:r w:rsidRPr="00172C39">
              <w:t>MoodGym</w:t>
            </w:r>
            <w:proofErr w:type="spellEnd"/>
          </w:p>
        </w:tc>
        <w:tc>
          <w:tcPr>
            <w:tcW w:w="585" w:type="pct"/>
            <w:shd w:val="clear" w:color="auto" w:fill="FFFFFF" w:themeFill="background1"/>
          </w:tcPr>
          <w:p w14:paraId="6E92F6B9" w14:textId="77777777" w:rsidR="00E30483" w:rsidRPr="00BF7226" w:rsidRDefault="00E30483" w:rsidP="00646664">
            <w:pPr>
              <w:pStyle w:val="NoSpacing"/>
            </w:pPr>
            <w:r w:rsidRPr="00BF7226">
              <w:t>Online modular self-help</w:t>
            </w:r>
          </w:p>
        </w:tc>
        <w:tc>
          <w:tcPr>
            <w:tcW w:w="606" w:type="pct"/>
            <w:shd w:val="clear" w:color="auto" w:fill="FFFFFF" w:themeFill="background1"/>
            <w:noWrap/>
            <w:hideMark/>
          </w:tcPr>
          <w:p w14:paraId="17100EA5" w14:textId="77777777" w:rsidR="00E30483" w:rsidRPr="00172C39" w:rsidRDefault="00E30483" w:rsidP="00646664">
            <w:pPr>
              <w:pStyle w:val="NoSpacing"/>
            </w:pPr>
            <w:r w:rsidRPr="00172C39">
              <w:t>Free to access</w:t>
            </w:r>
          </w:p>
        </w:tc>
        <w:tc>
          <w:tcPr>
            <w:tcW w:w="436" w:type="pct"/>
            <w:shd w:val="clear" w:color="auto" w:fill="FFFFFF" w:themeFill="background1"/>
            <w:noWrap/>
            <w:hideMark/>
          </w:tcPr>
          <w:p w14:paraId="5E0E9819" w14:textId="272CD95A" w:rsidR="00E30483" w:rsidRPr="00172C39" w:rsidRDefault="00090508" w:rsidP="00646664">
            <w:pPr>
              <w:pStyle w:val="NoSpacing"/>
              <w:jc w:val="center"/>
            </w:pPr>
            <w:r w:rsidRPr="00172C39">
              <w:t>W</w:t>
            </w:r>
          </w:p>
        </w:tc>
        <w:tc>
          <w:tcPr>
            <w:tcW w:w="841" w:type="pct"/>
            <w:shd w:val="clear" w:color="auto" w:fill="FFFFFF" w:themeFill="background1"/>
            <w:noWrap/>
            <w:hideMark/>
          </w:tcPr>
          <w:p w14:paraId="70EDCDD9" w14:textId="77777777" w:rsidR="00E30483" w:rsidRPr="00172C39" w:rsidRDefault="00E30483" w:rsidP="00646664">
            <w:pPr>
              <w:pStyle w:val="NoSpacing"/>
              <w:jc w:val="center"/>
            </w:pPr>
            <w:r w:rsidRPr="00172C39">
              <w:t>46 (24.1%)</w:t>
            </w:r>
          </w:p>
        </w:tc>
        <w:tc>
          <w:tcPr>
            <w:tcW w:w="738" w:type="pct"/>
            <w:shd w:val="clear" w:color="auto" w:fill="FFFFFF" w:themeFill="background1"/>
            <w:noWrap/>
            <w:hideMark/>
          </w:tcPr>
          <w:p w14:paraId="6DFEE4B5" w14:textId="77777777" w:rsidR="00E30483" w:rsidRPr="00172C39" w:rsidRDefault="00E30483" w:rsidP="00646664">
            <w:pPr>
              <w:pStyle w:val="NoSpacing"/>
              <w:jc w:val="center"/>
            </w:pPr>
            <w:r w:rsidRPr="00172C39">
              <w:t>10 (19.6%)</w:t>
            </w:r>
          </w:p>
        </w:tc>
        <w:tc>
          <w:tcPr>
            <w:tcW w:w="597" w:type="pct"/>
            <w:shd w:val="clear" w:color="auto" w:fill="FFFFFF" w:themeFill="background1"/>
            <w:noWrap/>
            <w:hideMark/>
          </w:tcPr>
          <w:p w14:paraId="6698DCBA" w14:textId="77777777" w:rsidR="00E30483" w:rsidRPr="00172C39" w:rsidRDefault="00E30483" w:rsidP="00646664">
            <w:pPr>
              <w:pStyle w:val="NoSpacing"/>
              <w:jc w:val="center"/>
            </w:pPr>
            <w:r w:rsidRPr="00172C39">
              <w:t>n</w:t>
            </w:r>
          </w:p>
        </w:tc>
        <w:tc>
          <w:tcPr>
            <w:tcW w:w="637" w:type="pct"/>
            <w:shd w:val="clear" w:color="auto" w:fill="FFFFFF" w:themeFill="background1"/>
            <w:noWrap/>
            <w:hideMark/>
          </w:tcPr>
          <w:p w14:paraId="1158B7D8" w14:textId="77777777" w:rsidR="00E30483" w:rsidRPr="00172C39" w:rsidRDefault="00E30483" w:rsidP="00646664">
            <w:pPr>
              <w:pStyle w:val="NoSpacing"/>
              <w:jc w:val="center"/>
            </w:pPr>
            <w:r w:rsidRPr="00172C39">
              <w:t>n</w:t>
            </w:r>
          </w:p>
        </w:tc>
      </w:tr>
      <w:tr w:rsidR="00E30483" w:rsidRPr="00172C39" w14:paraId="0FB1556B" w14:textId="77777777" w:rsidTr="007C1C18">
        <w:trPr>
          <w:trHeight w:val="300"/>
        </w:trPr>
        <w:tc>
          <w:tcPr>
            <w:tcW w:w="560" w:type="pct"/>
            <w:shd w:val="clear" w:color="auto" w:fill="FFFFFF" w:themeFill="background1"/>
            <w:noWrap/>
            <w:hideMark/>
          </w:tcPr>
          <w:p w14:paraId="548DB26B" w14:textId="77777777" w:rsidR="00E30483" w:rsidRPr="00172C39" w:rsidRDefault="00E30483" w:rsidP="00646664">
            <w:pPr>
              <w:pStyle w:val="NoSpacing"/>
            </w:pPr>
            <w:r w:rsidRPr="00172C39">
              <w:t>Big White Wall</w:t>
            </w:r>
          </w:p>
        </w:tc>
        <w:tc>
          <w:tcPr>
            <w:tcW w:w="585" w:type="pct"/>
            <w:shd w:val="clear" w:color="auto" w:fill="FFFFFF" w:themeFill="background1"/>
          </w:tcPr>
          <w:p w14:paraId="5B029088" w14:textId="44F225AB" w:rsidR="00E30483" w:rsidRPr="00BF7226" w:rsidRDefault="00E30483" w:rsidP="00646664">
            <w:pPr>
              <w:pStyle w:val="NoSpacing"/>
            </w:pPr>
            <w:r w:rsidRPr="00BF7226">
              <w:t>Online forum with tools, courses and one to one messenger</w:t>
            </w:r>
            <w:r w:rsidR="00551BF4">
              <w:t>-</w:t>
            </w:r>
            <w:r w:rsidRPr="00BF7226">
              <w:t>based chat with a professional.</w:t>
            </w:r>
          </w:p>
        </w:tc>
        <w:tc>
          <w:tcPr>
            <w:tcW w:w="606" w:type="pct"/>
            <w:shd w:val="clear" w:color="auto" w:fill="FFFFFF" w:themeFill="background1"/>
            <w:noWrap/>
            <w:hideMark/>
          </w:tcPr>
          <w:p w14:paraId="0C6F8D32" w14:textId="684D857C" w:rsidR="00E30483" w:rsidRPr="00172C39" w:rsidRDefault="00E30483" w:rsidP="00646664">
            <w:pPr>
              <w:pStyle w:val="NoSpacing"/>
            </w:pPr>
            <w:r w:rsidRPr="00172C39">
              <w:t>Paid for by provider (but only available in some areas) or end user</w:t>
            </w:r>
          </w:p>
        </w:tc>
        <w:tc>
          <w:tcPr>
            <w:tcW w:w="436" w:type="pct"/>
            <w:shd w:val="clear" w:color="auto" w:fill="FFFFFF" w:themeFill="background1"/>
            <w:noWrap/>
            <w:hideMark/>
          </w:tcPr>
          <w:p w14:paraId="2E887E33" w14:textId="20E503D3" w:rsidR="00E30483" w:rsidRPr="00172C39" w:rsidRDefault="00090508" w:rsidP="00646664">
            <w:pPr>
              <w:pStyle w:val="NoSpacing"/>
              <w:jc w:val="center"/>
            </w:pPr>
            <w:r w:rsidRPr="00172C39">
              <w:t>W</w:t>
            </w:r>
          </w:p>
        </w:tc>
        <w:tc>
          <w:tcPr>
            <w:tcW w:w="841" w:type="pct"/>
            <w:shd w:val="clear" w:color="auto" w:fill="FFFFFF" w:themeFill="background1"/>
            <w:noWrap/>
            <w:hideMark/>
          </w:tcPr>
          <w:p w14:paraId="455E257F" w14:textId="77777777" w:rsidR="00E30483" w:rsidRPr="00172C39" w:rsidRDefault="00E30483" w:rsidP="00646664">
            <w:pPr>
              <w:pStyle w:val="NoSpacing"/>
              <w:jc w:val="center"/>
            </w:pPr>
            <w:r w:rsidRPr="00172C39">
              <w:t>39 (20.4%)</w:t>
            </w:r>
          </w:p>
        </w:tc>
        <w:tc>
          <w:tcPr>
            <w:tcW w:w="738" w:type="pct"/>
            <w:shd w:val="clear" w:color="auto" w:fill="FFFFFF" w:themeFill="background1"/>
            <w:noWrap/>
            <w:hideMark/>
          </w:tcPr>
          <w:p w14:paraId="47D1511A" w14:textId="77777777" w:rsidR="00E30483" w:rsidRPr="00172C39" w:rsidRDefault="00E30483" w:rsidP="00646664">
            <w:pPr>
              <w:pStyle w:val="NoSpacing"/>
              <w:jc w:val="center"/>
            </w:pPr>
            <w:r w:rsidRPr="00172C39">
              <w:t>12 (23.5%)</w:t>
            </w:r>
          </w:p>
        </w:tc>
        <w:tc>
          <w:tcPr>
            <w:tcW w:w="597" w:type="pct"/>
            <w:shd w:val="clear" w:color="auto" w:fill="FFFFFF" w:themeFill="background1"/>
            <w:noWrap/>
            <w:hideMark/>
          </w:tcPr>
          <w:p w14:paraId="442135BA" w14:textId="77777777" w:rsidR="00E30483" w:rsidRPr="00172C39" w:rsidRDefault="00E30483" w:rsidP="00646664">
            <w:pPr>
              <w:pStyle w:val="NoSpacing"/>
              <w:jc w:val="center"/>
            </w:pPr>
            <w:r w:rsidRPr="00172C39">
              <w:t>y</w:t>
            </w:r>
          </w:p>
        </w:tc>
        <w:tc>
          <w:tcPr>
            <w:tcW w:w="637" w:type="pct"/>
            <w:shd w:val="clear" w:color="auto" w:fill="FFFFFF" w:themeFill="background1"/>
            <w:noWrap/>
            <w:hideMark/>
          </w:tcPr>
          <w:p w14:paraId="4916EDE5" w14:textId="77777777" w:rsidR="00E30483" w:rsidRPr="00172C39" w:rsidRDefault="00E30483" w:rsidP="00646664">
            <w:pPr>
              <w:pStyle w:val="NoSpacing"/>
              <w:jc w:val="center"/>
            </w:pPr>
            <w:r w:rsidRPr="00172C39">
              <w:t>y</w:t>
            </w:r>
          </w:p>
        </w:tc>
      </w:tr>
      <w:tr w:rsidR="00E30483" w:rsidRPr="00172C39" w14:paraId="3FE3E4A4" w14:textId="77777777" w:rsidTr="007C1C18">
        <w:trPr>
          <w:trHeight w:val="300"/>
        </w:trPr>
        <w:tc>
          <w:tcPr>
            <w:tcW w:w="560" w:type="pct"/>
            <w:noWrap/>
            <w:hideMark/>
          </w:tcPr>
          <w:p w14:paraId="21269A94" w14:textId="77777777" w:rsidR="00E30483" w:rsidRPr="00172C39" w:rsidRDefault="00E30483" w:rsidP="00646664">
            <w:pPr>
              <w:pStyle w:val="NoSpacing"/>
            </w:pPr>
            <w:r w:rsidRPr="00172C39">
              <w:t xml:space="preserve">Beating the </w:t>
            </w:r>
            <w:r w:rsidRPr="00083FD3">
              <w:rPr>
                <w:noProof/>
              </w:rPr>
              <w:t>Blues</w:t>
            </w:r>
            <w:r w:rsidRPr="00083FD3">
              <w:rPr>
                <w:noProof/>
                <w:vertAlign w:val="superscript"/>
              </w:rPr>
              <w:t>a</w:t>
            </w:r>
          </w:p>
        </w:tc>
        <w:tc>
          <w:tcPr>
            <w:tcW w:w="585" w:type="pct"/>
          </w:tcPr>
          <w:p w14:paraId="6104D5CA" w14:textId="77777777" w:rsidR="00E30483" w:rsidRPr="00BF7226" w:rsidRDefault="00E30483" w:rsidP="00646664">
            <w:pPr>
              <w:pStyle w:val="NoSpacing"/>
            </w:pPr>
            <w:r w:rsidRPr="00BF7226">
              <w:t xml:space="preserve">Online modular </w:t>
            </w:r>
            <w:r w:rsidRPr="00083FD3">
              <w:rPr>
                <w:noProof/>
              </w:rPr>
              <w:t>self help</w:t>
            </w:r>
          </w:p>
        </w:tc>
        <w:tc>
          <w:tcPr>
            <w:tcW w:w="606" w:type="pct"/>
            <w:noWrap/>
            <w:hideMark/>
          </w:tcPr>
          <w:p w14:paraId="118A7ECD" w14:textId="4522EF92" w:rsidR="00E30483" w:rsidRPr="00172C39" w:rsidRDefault="00E30483" w:rsidP="00646664">
            <w:pPr>
              <w:pStyle w:val="NoSpacing"/>
            </w:pPr>
            <w:r w:rsidRPr="00172C39">
              <w:t>Paid for by provider (but only available in some areas) or end user</w:t>
            </w:r>
          </w:p>
        </w:tc>
        <w:tc>
          <w:tcPr>
            <w:tcW w:w="436" w:type="pct"/>
            <w:noWrap/>
            <w:hideMark/>
          </w:tcPr>
          <w:p w14:paraId="092F3ED7" w14:textId="77777777" w:rsidR="00E30483" w:rsidRPr="00172C39" w:rsidRDefault="00E30483" w:rsidP="00646664">
            <w:pPr>
              <w:pStyle w:val="NoSpacing"/>
              <w:jc w:val="center"/>
            </w:pPr>
            <w:r w:rsidRPr="00172C39">
              <w:t>w</w:t>
            </w:r>
          </w:p>
        </w:tc>
        <w:tc>
          <w:tcPr>
            <w:tcW w:w="841" w:type="pct"/>
            <w:noWrap/>
            <w:hideMark/>
          </w:tcPr>
          <w:p w14:paraId="748A72B4" w14:textId="77777777" w:rsidR="00E30483" w:rsidRPr="00172C39" w:rsidRDefault="00E30483" w:rsidP="00646664">
            <w:pPr>
              <w:pStyle w:val="NoSpacing"/>
              <w:jc w:val="center"/>
            </w:pPr>
            <w:r w:rsidRPr="00172C39">
              <w:t>34 (17.8%)</w:t>
            </w:r>
          </w:p>
        </w:tc>
        <w:tc>
          <w:tcPr>
            <w:tcW w:w="738" w:type="pct"/>
            <w:noWrap/>
            <w:hideMark/>
          </w:tcPr>
          <w:p w14:paraId="7E5F50DB" w14:textId="77777777" w:rsidR="00E30483" w:rsidRPr="00172C39" w:rsidRDefault="00E30483" w:rsidP="00646664">
            <w:pPr>
              <w:pStyle w:val="NoSpacing"/>
              <w:jc w:val="center"/>
            </w:pPr>
            <w:r w:rsidRPr="00172C39">
              <w:t>13 (25.5%)</w:t>
            </w:r>
          </w:p>
        </w:tc>
        <w:tc>
          <w:tcPr>
            <w:tcW w:w="597" w:type="pct"/>
            <w:noWrap/>
            <w:hideMark/>
          </w:tcPr>
          <w:p w14:paraId="29ADF04C" w14:textId="77777777" w:rsidR="00E30483" w:rsidRPr="00172C39" w:rsidRDefault="00E30483" w:rsidP="00646664">
            <w:pPr>
              <w:pStyle w:val="NoSpacing"/>
              <w:jc w:val="center"/>
            </w:pPr>
            <w:r w:rsidRPr="00172C39">
              <w:t>n</w:t>
            </w:r>
          </w:p>
        </w:tc>
        <w:tc>
          <w:tcPr>
            <w:tcW w:w="637" w:type="pct"/>
            <w:noWrap/>
            <w:hideMark/>
          </w:tcPr>
          <w:p w14:paraId="10E86E80" w14:textId="77777777" w:rsidR="00E30483" w:rsidRPr="00172C39" w:rsidRDefault="00E30483" w:rsidP="00646664">
            <w:pPr>
              <w:pStyle w:val="NoSpacing"/>
              <w:jc w:val="center"/>
            </w:pPr>
            <w:r w:rsidRPr="00172C39">
              <w:t>n</w:t>
            </w:r>
          </w:p>
        </w:tc>
      </w:tr>
      <w:tr w:rsidR="00E30483" w:rsidRPr="00172C39" w14:paraId="41F33617" w14:textId="77777777" w:rsidTr="007C1C18">
        <w:trPr>
          <w:trHeight w:val="300"/>
        </w:trPr>
        <w:tc>
          <w:tcPr>
            <w:tcW w:w="560" w:type="pct"/>
            <w:noWrap/>
            <w:hideMark/>
          </w:tcPr>
          <w:p w14:paraId="24C72DA3" w14:textId="77777777" w:rsidR="00E30483" w:rsidRPr="00172C39" w:rsidRDefault="00E30483" w:rsidP="00646664">
            <w:pPr>
              <w:pStyle w:val="NoSpacing"/>
            </w:pPr>
            <w:proofErr w:type="spellStart"/>
            <w:r w:rsidRPr="00172C39">
              <w:t>SilverCloud</w:t>
            </w:r>
            <w:proofErr w:type="spellEnd"/>
            <w:r w:rsidRPr="00172C39">
              <w:t xml:space="preserve"> Health</w:t>
            </w:r>
          </w:p>
        </w:tc>
        <w:tc>
          <w:tcPr>
            <w:tcW w:w="585" w:type="pct"/>
          </w:tcPr>
          <w:p w14:paraId="082E99B0" w14:textId="77777777" w:rsidR="00E30483" w:rsidRPr="00BF7226" w:rsidRDefault="00E30483" w:rsidP="00646664">
            <w:pPr>
              <w:pStyle w:val="NoSpacing"/>
            </w:pPr>
            <w:r w:rsidRPr="00BF7226">
              <w:t>Online modular self-help with therapist support</w:t>
            </w:r>
          </w:p>
        </w:tc>
        <w:tc>
          <w:tcPr>
            <w:tcW w:w="606" w:type="pct"/>
            <w:noWrap/>
            <w:hideMark/>
          </w:tcPr>
          <w:p w14:paraId="7ECAB5BF" w14:textId="77777777" w:rsidR="00E30483" w:rsidRPr="00172C39" w:rsidRDefault="00E30483" w:rsidP="00646664">
            <w:pPr>
              <w:pStyle w:val="NoSpacing"/>
            </w:pPr>
            <w:r w:rsidRPr="00172C39">
              <w:t>Paid for by provider (but only available in some areas)</w:t>
            </w:r>
          </w:p>
        </w:tc>
        <w:tc>
          <w:tcPr>
            <w:tcW w:w="436" w:type="pct"/>
            <w:noWrap/>
            <w:hideMark/>
          </w:tcPr>
          <w:p w14:paraId="41AB6529" w14:textId="77777777" w:rsidR="00E30483" w:rsidRPr="00172C39" w:rsidRDefault="00E30483" w:rsidP="00646664">
            <w:pPr>
              <w:pStyle w:val="NoSpacing"/>
              <w:jc w:val="center"/>
            </w:pPr>
            <w:r w:rsidRPr="00172C39">
              <w:t>w</w:t>
            </w:r>
          </w:p>
        </w:tc>
        <w:tc>
          <w:tcPr>
            <w:tcW w:w="841" w:type="pct"/>
            <w:noWrap/>
            <w:hideMark/>
          </w:tcPr>
          <w:p w14:paraId="6754AAA3" w14:textId="77777777" w:rsidR="00E30483" w:rsidRPr="00172C39" w:rsidRDefault="00E30483" w:rsidP="00646664">
            <w:pPr>
              <w:pStyle w:val="NoSpacing"/>
              <w:jc w:val="center"/>
            </w:pPr>
            <w:r w:rsidRPr="00172C39">
              <w:t>27 (14.1%)</w:t>
            </w:r>
          </w:p>
        </w:tc>
        <w:tc>
          <w:tcPr>
            <w:tcW w:w="738" w:type="pct"/>
            <w:noWrap/>
            <w:hideMark/>
          </w:tcPr>
          <w:p w14:paraId="362319C4" w14:textId="77777777" w:rsidR="00E30483" w:rsidRPr="00172C39" w:rsidRDefault="00E30483" w:rsidP="00646664">
            <w:pPr>
              <w:pStyle w:val="NoSpacing"/>
              <w:jc w:val="center"/>
            </w:pPr>
            <w:r w:rsidRPr="00172C39">
              <w:t>5 (9.8%)</w:t>
            </w:r>
          </w:p>
        </w:tc>
        <w:tc>
          <w:tcPr>
            <w:tcW w:w="597" w:type="pct"/>
            <w:noWrap/>
            <w:hideMark/>
          </w:tcPr>
          <w:p w14:paraId="7BA032EA" w14:textId="77777777" w:rsidR="00E30483" w:rsidRPr="00172C39" w:rsidRDefault="00E30483" w:rsidP="00646664">
            <w:pPr>
              <w:pStyle w:val="NoSpacing"/>
              <w:jc w:val="center"/>
            </w:pPr>
            <w:r w:rsidRPr="00172C39">
              <w:t>n</w:t>
            </w:r>
          </w:p>
        </w:tc>
        <w:tc>
          <w:tcPr>
            <w:tcW w:w="637" w:type="pct"/>
            <w:noWrap/>
            <w:hideMark/>
          </w:tcPr>
          <w:p w14:paraId="4BCE3C7C" w14:textId="77777777" w:rsidR="00E30483" w:rsidRPr="00172C39" w:rsidRDefault="00E30483" w:rsidP="00646664">
            <w:pPr>
              <w:pStyle w:val="NoSpacing"/>
              <w:jc w:val="center"/>
            </w:pPr>
            <w:r w:rsidRPr="00172C39">
              <w:t>y</w:t>
            </w:r>
          </w:p>
        </w:tc>
      </w:tr>
      <w:tr w:rsidR="00E30483" w:rsidRPr="00172C39" w14:paraId="198A7655" w14:textId="77777777" w:rsidTr="007C1C18">
        <w:trPr>
          <w:trHeight w:val="300"/>
        </w:trPr>
        <w:tc>
          <w:tcPr>
            <w:tcW w:w="560" w:type="pct"/>
            <w:noWrap/>
            <w:hideMark/>
          </w:tcPr>
          <w:p w14:paraId="2A6EF06A" w14:textId="77777777" w:rsidR="00E30483" w:rsidRPr="00172C39" w:rsidRDefault="00E30483" w:rsidP="00646664">
            <w:pPr>
              <w:pStyle w:val="NoSpacing"/>
            </w:pPr>
            <w:proofErr w:type="spellStart"/>
            <w:r w:rsidRPr="00172C39">
              <w:t>Ieso</w:t>
            </w:r>
            <w:proofErr w:type="spellEnd"/>
            <w:r w:rsidRPr="00172C39">
              <w:t xml:space="preserve"> Digital Health Ltd</w:t>
            </w:r>
          </w:p>
        </w:tc>
        <w:tc>
          <w:tcPr>
            <w:tcW w:w="585" w:type="pct"/>
          </w:tcPr>
          <w:p w14:paraId="7D09E719" w14:textId="2DE3C815" w:rsidR="00E30483" w:rsidRPr="00BF7226" w:rsidRDefault="00E30483" w:rsidP="00646664">
            <w:pPr>
              <w:pStyle w:val="NoSpacing"/>
            </w:pPr>
            <w:r w:rsidRPr="00BF7226">
              <w:t>Online one to one messenger</w:t>
            </w:r>
            <w:r w:rsidR="00551BF4">
              <w:t>-</w:t>
            </w:r>
            <w:r w:rsidRPr="00BF7226">
              <w:t>bas</w:t>
            </w:r>
            <w:r w:rsidR="00551BF4">
              <w:t>e</w:t>
            </w:r>
            <w:r w:rsidRPr="00BF7226">
              <w:t>d chat with a professional</w:t>
            </w:r>
          </w:p>
        </w:tc>
        <w:tc>
          <w:tcPr>
            <w:tcW w:w="606" w:type="pct"/>
            <w:noWrap/>
            <w:hideMark/>
          </w:tcPr>
          <w:p w14:paraId="7FF3AD0E" w14:textId="77777777" w:rsidR="00E30483" w:rsidRPr="00172C39" w:rsidRDefault="00E30483" w:rsidP="00646664">
            <w:pPr>
              <w:pStyle w:val="NoSpacing"/>
            </w:pPr>
            <w:r w:rsidRPr="00172C39">
              <w:t>Paid for by provider (but only available in some areas)</w:t>
            </w:r>
          </w:p>
        </w:tc>
        <w:tc>
          <w:tcPr>
            <w:tcW w:w="436" w:type="pct"/>
            <w:noWrap/>
            <w:hideMark/>
          </w:tcPr>
          <w:p w14:paraId="4242DF68" w14:textId="77777777" w:rsidR="00E30483" w:rsidRPr="00172C39" w:rsidRDefault="00E30483" w:rsidP="00646664">
            <w:pPr>
              <w:pStyle w:val="NoSpacing"/>
              <w:jc w:val="center"/>
            </w:pPr>
            <w:r w:rsidRPr="00172C39">
              <w:t>w</w:t>
            </w:r>
          </w:p>
        </w:tc>
        <w:tc>
          <w:tcPr>
            <w:tcW w:w="841" w:type="pct"/>
            <w:noWrap/>
            <w:hideMark/>
          </w:tcPr>
          <w:p w14:paraId="1A817339" w14:textId="77777777" w:rsidR="00E30483" w:rsidRPr="00172C39" w:rsidRDefault="00E30483" w:rsidP="00646664">
            <w:pPr>
              <w:pStyle w:val="NoSpacing"/>
              <w:jc w:val="center"/>
            </w:pPr>
            <w:r w:rsidRPr="00172C39">
              <w:t>22 (11.5%)</w:t>
            </w:r>
          </w:p>
        </w:tc>
        <w:tc>
          <w:tcPr>
            <w:tcW w:w="738" w:type="pct"/>
            <w:noWrap/>
            <w:hideMark/>
          </w:tcPr>
          <w:p w14:paraId="732E0E65" w14:textId="77777777" w:rsidR="00E30483" w:rsidRPr="00172C39" w:rsidRDefault="00E30483" w:rsidP="00646664">
            <w:pPr>
              <w:pStyle w:val="NoSpacing"/>
              <w:jc w:val="center"/>
            </w:pPr>
            <w:r w:rsidRPr="00172C39">
              <w:t>5 (9.8%)</w:t>
            </w:r>
          </w:p>
        </w:tc>
        <w:tc>
          <w:tcPr>
            <w:tcW w:w="597" w:type="pct"/>
            <w:noWrap/>
            <w:hideMark/>
          </w:tcPr>
          <w:p w14:paraId="48EB3DD7" w14:textId="77777777" w:rsidR="00E30483" w:rsidRPr="00172C39" w:rsidRDefault="00E30483" w:rsidP="00646664">
            <w:pPr>
              <w:pStyle w:val="NoSpacing"/>
              <w:jc w:val="center"/>
            </w:pPr>
            <w:r w:rsidRPr="00172C39">
              <w:t>y</w:t>
            </w:r>
          </w:p>
        </w:tc>
        <w:tc>
          <w:tcPr>
            <w:tcW w:w="637" w:type="pct"/>
            <w:noWrap/>
            <w:hideMark/>
          </w:tcPr>
          <w:p w14:paraId="03B03268" w14:textId="77777777" w:rsidR="00E30483" w:rsidRPr="00172C39" w:rsidRDefault="00E30483" w:rsidP="00646664">
            <w:pPr>
              <w:pStyle w:val="NoSpacing"/>
              <w:jc w:val="center"/>
            </w:pPr>
            <w:r w:rsidRPr="00172C39">
              <w:t>y</w:t>
            </w:r>
          </w:p>
        </w:tc>
      </w:tr>
      <w:tr w:rsidR="00E30483" w:rsidRPr="00172C39" w14:paraId="2A275BFC" w14:textId="77777777" w:rsidTr="007C1C18">
        <w:trPr>
          <w:trHeight w:val="300"/>
        </w:trPr>
        <w:tc>
          <w:tcPr>
            <w:tcW w:w="560" w:type="pct"/>
            <w:noWrap/>
            <w:hideMark/>
          </w:tcPr>
          <w:p w14:paraId="6FEA5758" w14:textId="77777777" w:rsidR="00E30483" w:rsidRPr="00172C39" w:rsidRDefault="00E30483" w:rsidP="00646664">
            <w:pPr>
              <w:pStyle w:val="NoSpacing"/>
            </w:pPr>
            <w:r w:rsidRPr="00172C39">
              <w:t>Fear Fighter</w:t>
            </w:r>
          </w:p>
        </w:tc>
        <w:tc>
          <w:tcPr>
            <w:tcW w:w="585" w:type="pct"/>
          </w:tcPr>
          <w:p w14:paraId="0C25BB37" w14:textId="77777777" w:rsidR="00E30483" w:rsidRPr="00BF7226" w:rsidRDefault="00E30483" w:rsidP="00646664">
            <w:pPr>
              <w:pStyle w:val="NoSpacing"/>
            </w:pPr>
            <w:r w:rsidRPr="00BF7226">
              <w:t>Online modular self-help</w:t>
            </w:r>
          </w:p>
        </w:tc>
        <w:tc>
          <w:tcPr>
            <w:tcW w:w="606" w:type="pct"/>
            <w:noWrap/>
            <w:hideMark/>
          </w:tcPr>
          <w:p w14:paraId="1E8BE45B" w14:textId="77777777" w:rsidR="00E30483" w:rsidRPr="00172C39" w:rsidRDefault="00E30483" w:rsidP="00646664">
            <w:pPr>
              <w:pStyle w:val="NoSpacing"/>
            </w:pPr>
            <w:r w:rsidRPr="00172C39">
              <w:t xml:space="preserve">Paid for by provider (but only available in some areas) or </w:t>
            </w:r>
            <w:r w:rsidRPr="00172C39">
              <w:lastRenderedPageBreak/>
              <w:t>end user</w:t>
            </w:r>
          </w:p>
        </w:tc>
        <w:tc>
          <w:tcPr>
            <w:tcW w:w="436" w:type="pct"/>
            <w:noWrap/>
            <w:hideMark/>
          </w:tcPr>
          <w:p w14:paraId="77C43373" w14:textId="77777777" w:rsidR="00E30483" w:rsidRPr="00172C39" w:rsidRDefault="00E30483" w:rsidP="00646664">
            <w:pPr>
              <w:pStyle w:val="NoSpacing"/>
              <w:jc w:val="center"/>
            </w:pPr>
            <w:r w:rsidRPr="00172C39">
              <w:lastRenderedPageBreak/>
              <w:t>w</w:t>
            </w:r>
          </w:p>
        </w:tc>
        <w:tc>
          <w:tcPr>
            <w:tcW w:w="841" w:type="pct"/>
            <w:noWrap/>
            <w:hideMark/>
          </w:tcPr>
          <w:p w14:paraId="3CF6AC0D" w14:textId="77777777" w:rsidR="00E30483" w:rsidRPr="00172C39" w:rsidRDefault="00E30483" w:rsidP="00646664">
            <w:pPr>
              <w:pStyle w:val="NoSpacing"/>
              <w:jc w:val="center"/>
            </w:pPr>
            <w:r w:rsidRPr="00172C39">
              <w:t>20 (10.5%)</w:t>
            </w:r>
          </w:p>
        </w:tc>
        <w:tc>
          <w:tcPr>
            <w:tcW w:w="738" w:type="pct"/>
            <w:noWrap/>
            <w:hideMark/>
          </w:tcPr>
          <w:p w14:paraId="5E335081" w14:textId="77777777" w:rsidR="00E30483" w:rsidRPr="00172C39" w:rsidRDefault="00E30483" w:rsidP="00646664">
            <w:pPr>
              <w:pStyle w:val="NoSpacing"/>
              <w:jc w:val="center"/>
            </w:pPr>
            <w:r w:rsidRPr="00172C39">
              <w:t>5 (9.8%)</w:t>
            </w:r>
          </w:p>
        </w:tc>
        <w:tc>
          <w:tcPr>
            <w:tcW w:w="597" w:type="pct"/>
            <w:noWrap/>
            <w:hideMark/>
          </w:tcPr>
          <w:p w14:paraId="71A44046" w14:textId="77777777" w:rsidR="00E30483" w:rsidRPr="00172C39" w:rsidRDefault="00E30483" w:rsidP="00646664">
            <w:pPr>
              <w:pStyle w:val="NoSpacing"/>
              <w:jc w:val="center"/>
            </w:pPr>
            <w:r w:rsidRPr="00172C39">
              <w:t>n</w:t>
            </w:r>
          </w:p>
        </w:tc>
        <w:tc>
          <w:tcPr>
            <w:tcW w:w="637" w:type="pct"/>
            <w:noWrap/>
            <w:hideMark/>
          </w:tcPr>
          <w:p w14:paraId="4542AE59" w14:textId="77777777" w:rsidR="00E30483" w:rsidRPr="00172C39" w:rsidRDefault="00E30483" w:rsidP="00646664">
            <w:pPr>
              <w:pStyle w:val="NoSpacing"/>
              <w:jc w:val="center"/>
            </w:pPr>
            <w:r w:rsidRPr="00172C39">
              <w:t>y</w:t>
            </w:r>
          </w:p>
        </w:tc>
      </w:tr>
      <w:tr w:rsidR="00E30483" w:rsidRPr="00172C39" w14:paraId="4F5262A7" w14:textId="77777777" w:rsidTr="007C1C18">
        <w:trPr>
          <w:trHeight w:val="300"/>
        </w:trPr>
        <w:tc>
          <w:tcPr>
            <w:tcW w:w="560" w:type="pct"/>
            <w:noWrap/>
            <w:hideMark/>
          </w:tcPr>
          <w:p w14:paraId="4300893F" w14:textId="77777777" w:rsidR="00E30483" w:rsidRPr="00172C39" w:rsidRDefault="00E30483" w:rsidP="00646664">
            <w:pPr>
              <w:pStyle w:val="NoSpacing"/>
            </w:pPr>
            <w:proofErr w:type="spellStart"/>
            <w:r w:rsidRPr="00172C39">
              <w:lastRenderedPageBreak/>
              <w:t>HeadSpace</w:t>
            </w:r>
            <w:proofErr w:type="spellEnd"/>
          </w:p>
        </w:tc>
        <w:tc>
          <w:tcPr>
            <w:tcW w:w="585" w:type="pct"/>
          </w:tcPr>
          <w:p w14:paraId="069E004B" w14:textId="77777777" w:rsidR="00E30483" w:rsidRPr="00BF7226" w:rsidRDefault="00E30483" w:rsidP="00646664">
            <w:pPr>
              <w:pStyle w:val="NoSpacing"/>
            </w:pPr>
            <w:r w:rsidRPr="00BF7226">
              <w:t>Meditation via app or online</w:t>
            </w:r>
          </w:p>
        </w:tc>
        <w:tc>
          <w:tcPr>
            <w:tcW w:w="606" w:type="pct"/>
            <w:noWrap/>
            <w:hideMark/>
          </w:tcPr>
          <w:p w14:paraId="767DFEE1" w14:textId="77777777" w:rsidR="00E30483" w:rsidRPr="00172C39" w:rsidRDefault="00E30483" w:rsidP="00646664">
            <w:pPr>
              <w:pStyle w:val="NoSpacing"/>
            </w:pPr>
            <w:r w:rsidRPr="00172C39">
              <w:t>Paid for by end user</w:t>
            </w:r>
          </w:p>
        </w:tc>
        <w:tc>
          <w:tcPr>
            <w:tcW w:w="436" w:type="pct"/>
            <w:noWrap/>
            <w:hideMark/>
          </w:tcPr>
          <w:p w14:paraId="5AA8026F" w14:textId="77777777" w:rsidR="00E30483" w:rsidRPr="00172C39" w:rsidRDefault="00E30483" w:rsidP="00646664">
            <w:pPr>
              <w:pStyle w:val="NoSpacing"/>
              <w:jc w:val="center"/>
            </w:pPr>
            <w:r w:rsidRPr="00172C39">
              <w:t>p</w:t>
            </w:r>
          </w:p>
        </w:tc>
        <w:tc>
          <w:tcPr>
            <w:tcW w:w="841" w:type="pct"/>
            <w:noWrap/>
            <w:hideMark/>
          </w:tcPr>
          <w:p w14:paraId="7A725089" w14:textId="77777777" w:rsidR="00E30483" w:rsidRPr="00172C39" w:rsidRDefault="00E30483" w:rsidP="00646664">
            <w:pPr>
              <w:pStyle w:val="NoSpacing"/>
              <w:jc w:val="center"/>
            </w:pPr>
            <w:r w:rsidRPr="00172C39">
              <w:t>11 (5.8%)</w:t>
            </w:r>
          </w:p>
        </w:tc>
        <w:tc>
          <w:tcPr>
            <w:tcW w:w="738" w:type="pct"/>
            <w:noWrap/>
            <w:hideMark/>
          </w:tcPr>
          <w:p w14:paraId="0E888D69" w14:textId="77777777" w:rsidR="00E30483" w:rsidRPr="00172C39" w:rsidRDefault="00E30483" w:rsidP="00646664">
            <w:pPr>
              <w:pStyle w:val="NoSpacing"/>
              <w:jc w:val="center"/>
            </w:pPr>
            <w:r w:rsidRPr="00172C39">
              <w:t>3 (5.9%)</w:t>
            </w:r>
          </w:p>
        </w:tc>
        <w:tc>
          <w:tcPr>
            <w:tcW w:w="597" w:type="pct"/>
            <w:noWrap/>
            <w:hideMark/>
          </w:tcPr>
          <w:p w14:paraId="27A5AF84" w14:textId="77777777" w:rsidR="00E30483" w:rsidRPr="00172C39" w:rsidRDefault="00E30483" w:rsidP="00646664">
            <w:pPr>
              <w:pStyle w:val="NoSpacing"/>
              <w:jc w:val="center"/>
            </w:pPr>
            <w:r w:rsidRPr="00172C39">
              <w:t>n</w:t>
            </w:r>
          </w:p>
        </w:tc>
        <w:tc>
          <w:tcPr>
            <w:tcW w:w="637" w:type="pct"/>
            <w:noWrap/>
            <w:hideMark/>
          </w:tcPr>
          <w:p w14:paraId="1A4B218A" w14:textId="77777777" w:rsidR="00E30483" w:rsidRPr="00172C39" w:rsidRDefault="00E30483" w:rsidP="00646664">
            <w:pPr>
              <w:pStyle w:val="NoSpacing"/>
              <w:jc w:val="center"/>
            </w:pPr>
            <w:r w:rsidRPr="00172C39">
              <w:t>n</w:t>
            </w:r>
          </w:p>
        </w:tc>
      </w:tr>
      <w:tr w:rsidR="00E30483" w:rsidRPr="00172C39" w14:paraId="11DAB26A" w14:textId="77777777" w:rsidTr="007C1C18">
        <w:trPr>
          <w:trHeight w:val="300"/>
        </w:trPr>
        <w:tc>
          <w:tcPr>
            <w:tcW w:w="560" w:type="pct"/>
            <w:noWrap/>
            <w:hideMark/>
          </w:tcPr>
          <w:p w14:paraId="269F915D" w14:textId="77777777" w:rsidR="00E30483" w:rsidRPr="00172C39" w:rsidRDefault="00E30483" w:rsidP="00646664">
            <w:pPr>
              <w:pStyle w:val="NoSpacing"/>
            </w:pPr>
            <w:r w:rsidRPr="00172C39">
              <w:t xml:space="preserve">Buddy </w:t>
            </w:r>
            <w:r w:rsidRPr="00083FD3">
              <w:rPr>
                <w:noProof/>
              </w:rPr>
              <w:t>App</w:t>
            </w:r>
            <w:r w:rsidRPr="00083FD3">
              <w:rPr>
                <w:noProof/>
                <w:vertAlign w:val="superscript"/>
              </w:rPr>
              <w:t>b</w:t>
            </w:r>
          </w:p>
        </w:tc>
        <w:tc>
          <w:tcPr>
            <w:tcW w:w="585" w:type="pct"/>
          </w:tcPr>
          <w:p w14:paraId="52985774" w14:textId="77777777" w:rsidR="00E30483" w:rsidRPr="00BF7226" w:rsidRDefault="00E30483" w:rsidP="00646664">
            <w:pPr>
              <w:pStyle w:val="NoSpacing"/>
            </w:pPr>
            <w:r w:rsidRPr="00BF7226">
              <w:t>Tool to support face-to-face therapy</w:t>
            </w:r>
          </w:p>
        </w:tc>
        <w:tc>
          <w:tcPr>
            <w:tcW w:w="606" w:type="pct"/>
            <w:noWrap/>
            <w:hideMark/>
          </w:tcPr>
          <w:p w14:paraId="395FDF99" w14:textId="77777777" w:rsidR="00E30483" w:rsidRPr="00172C39" w:rsidRDefault="00E30483" w:rsidP="00646664">
            <w:pPr>
              <w:pStyle w:val="NoSpacing"/>
            </w:pPr>
            <w:r w:rsidRPr="00172C39">
              <w:t xml:space="preserve">Paid for by </w:t>
            </w:r>
            <w:r w:rsidRPr="00083FD3">
              <w:rPr>
                <w:noProof/>
              </w:rPr>
              <w:t>provider</w:t>
            </w:r>
          </w:p>
        </w:tc>
        <w:tc>
          <w:tcPr>
            <w:tcW w:w="436" w:type="pct"/>
            <w:noWrap/>
            <w:hideMark/>
          </w:tcPr>
          <w:p w14:paraId="2E11BDFC" w14:textId="77777777" w:rsidR="00E30483" w:rsidRPr="00172C39" w:rsidRDefault="00E30483" w:rsidP="00646664">
            <w:pPr>
              <w:pStyle w:val="NoSpacing"/>
              <w:jc w:val="center"/>
            </w:pPr>
            <w:r w:rsidRPr="00172C39">
              <w:t>w</w:t>
            </w:r>
          </w:p>
        </w:tc>
        <w:tc>
          <w:tcPr>
            <w:tcW w:w="841" w:type="pct"/>
            <w:noWrap/>
            <w:hideMark/>
          </w:tcPr>
          <w:p w14:paraId="79B2385F" w14:textId="77777777" w:rsidR="00E30483" w:rsidRPr="00172C39" w:rsidRDefault="00E30483" w:rsidP="00646664">
            <w:pPr>
              <w:pStyle w:val="NoSpacing"/>
              <w:jc w:val="center"/>
            </w:pPr>
            <w:r w:rsidRPr="00172C39">
              <w:t>6 (3.1%)</w:t>
            </w:r>
          </w:p>
        </w:tc>
        <w:tc>
          <w:tcPr>
            <w:tcW w:w="738" w:type="pct"/>
            <w:noWrap/>
            <w:hideMark/>
          </w:tcPr>
          <w:p w14:paraId="45298DD2" w14:textId="77777777" w:rsidR="00E30483" w:rsidRPr="00172C39" w:rsidRDefault="00E30483" w:rsidP="00646664">
            <w:pPr>
              <w:pStyle w:val="NoSpacing"/>
              <w:jc w:val="center"/>
            </w:pPr>
            <w:r w:rsidRPr="00172C39">
              <w:t>2 (3.9%)</w:t>
            </w:r>
          </w:p>
        </w:tc>
        <w:tc>
          <w:tcPr>
            <w:tcW w:w="597" w:type="pct"/>
            <w:noWrap/>
            <w:hideMark/>
          </w:tcPr>
          <w:p w14:paraId="66328E20" w14:textId="77777777" w:rsidR="00E30483" w:rsidRPr="00172C39" w:rsidRDefault="00E30483" w:rsidP="00646664">
            <w:pPr>
              <w:pStyle w:val="NoSpacing"/>
              <w:jc w:val="center"/>
            </w:pPr>
            <w:r w:rsidRPr="00172C39">
              <w:t>y</w:t>
            </w:r>
          </w:p>
        </w:tc>
        <w:tc>
          <w:tcPr>
            <w:tcW w:w="637" w:type="pct"/>
            <w:noWrap/>
            <w:hideMark/>
          </w:tcPr>
          <w:p w14:paraId="3C833D7D" w14:textId="77777777" w:rsidR="00E30483" w:rsidRPr="00172C39" w:rsidRDefault="00E30483" w:rsidP="00646664">
            <w:pPr>
              <w:pStyle w:val="NoSpacing"/>
              <w:jc w:val="center"/>
            </w:pPr>
            <w:r w:rsidRPr="00172C39">
              <w:t>y</w:t>
            </w:r>
          </w:p>
        </w:tc>
      </w:tr>
      <w:tr w:rsidR="00E30483" w:rsidRPr="00172C39" w14:paraId="52C78C9F" w14:textId="77777777" w:rsidTr="007C1C18">
        <w:trPr>
          <w:trHeight w:val="300"/>
        </w:trPr>
        <w:tc>
          <w:tcPr>
            <w:tcW w:w="560" w:type="pct"/>
            <w:noWrap/>
            <w:hideMark/>
          </w:tcPr>
          <w:p w14:paraId="0DFB435C" w14:textId="77777777" w:rsidR="00E30483" w:rsidRPr="00172C39" w:rsidRDefault="00E30483" w:rsidP="00646664">
            <w:pPr>
              <w:pStyle w:val="NoSpacing"/>
            </w:pPr>
            <w:r w:rsidRPr="00172C39">
              <w:t>Don’t Panic!</w:t>
            </w:r>
          </w:p>
        </w:tc>
        <w:tc>
          <w:tcPr>
            <w:tcW w:w="585" w:type="pct"/>
          </w:tcPr>
          <w:p w14:paraId="7B53D265" w14:textId="77777777" w:rsidR="00E30483" w:rsidRPr="00BF7226" w:rsidRDefault="00E30483" w:rsidP="00646664">
            <w:pPr>
              <w:pStyle w:val="NoSpacing"/>
            </w:pPr>
            <w:r w:rsidRPr="00BF7226">
              <w:t>Self-help resources</w:t>
            </w:r>
          </w:p>
        </w:tc>
        <w:tc>
          <w:tcPr>
            <w:tcW w:w="606" w:type="pct"/>
            <w:noWrap/>
            <w:hideMark/>
          </w:tcPr>
          <w:p w14:paraId="59BB72D0" w14:textId="77777777" w:rsidR="00E30483" w:rsidRPr="00172C39" w:rsidRDefault="00E30483" w:rsidP="00646664">
            <w:pPr>
              <w:pStyle w:val="NoSpacing"/>
            </w:pPr>
            <w:r w:rsidRPr="00172C39">
              <w:t>Free to access</w:t>
            </w:r>
          </w:p>
        </w:tc>
        <w:tc>
          <w:tcPr>
            <w:tcW w:w="436" w:type="pct"/>
            <w:noWrap/>
            <w:hideMark/>
          </w:tcPr>
          <w:p w14:paraId="073074CD" w14:textId="77777777" w:rsidR="00E30483" w:rsidRPr="00172C39" w:rsidRDefault="00E30483" w:rsidP="00646664">
            <w:pPr>
              <w:pStyle w:val="NoSpacing"/>
              <w:jc w:val="center"/>
            </w:pPr>
            <w:r w:rsidRPr="00172C39">
              <w:t>p</w:t>
            </w:r>
          </w:p>
        </w:tc>
        <w:tc>
          <w:tcPr>
            <w:tcW w:w="841" w:type="pct"/>
            <w:noWrap/>
            <w:hideMark/>
          </w:tcPr>
          <w:p w14:paraId="68FD8AC7" w14:textId="77777777" w:rsidR="00E30483" w:rsidRPr="00172C39" w:rsidRDefault="00E30483" w:rsidP="00646664">
            <w:pPr>
              <w:pStyle w:val="NoSpacing"/>
              <w:jc w:val="center"/>
            </w:pPr>
            <w:r w:rsidRPr="00172C39">
              <w:t>5 (2.6%)</w:t>
            </w:r>
          </w:p>
        </w:tc>
        <w:tc>
          <w:tcPr>
            <w:tcW w:w="738" w:type="pct"/>
            <w:noWrap/>
            <w:hideMark/>
          </w:tcPr>
          <w:p w14:paraId="61C1D7DF" w14:textId="77777777" w:rsidR="00E30483" w:rsidRPr="00172C39" w:rsidRDefault="00E30483" w:rsidP="00646664">
            <w:pPr>
              <w:pStyle w:val="NoSpacing"/>
              <w:jc w:val="center"/>
            </w:pPr>
            <w:r w:rsidRPr="00172C39">
              <w:t>1 (2.0%)</w:t>
            </w:r>
          </w:p>
        </w:tc>
        <w:tc>
          <w:tcPr>
            <w:tcW w:w="597" w:type="pct"/>
            <w:noWrap/>
            <w:hideMark/>
          </w:tcPr>
          <w:p w14:paraId="64836F36" w14:textId="77777777" w:rsidR="00E30483" w:rsidRPr="00172C39" w:rsidRDefault="00E30483" w:rsidP="00646664">
            <w:pPr>
              <w:pStyle w:val="NoSpacing"/>
              <w:jc w:val="center"/>
            </w:pPr>
            <w:r w:rsidRPr="00172C39">
              <w:t>n</w:t>
            </w:r>
          </w:p>
        </w:tc>
        <w:tc>
          <w:tcPr>
            <w:tcW w:w="637" w:type="pct"/>
            <w:noWrap/>
            <w:hideMark/>
          </w:tcPr>
          <w:p w14:paraId="214E455C" w14:textId="77777777" w:rsidR="00E30483" w:rsidRPr="00172C39" w:rsidRDefault="00E30483" w:rsidP="00646664">
            <w:pPr>
              <w:pStyle w:val="NoSpacing"/>
              <w:jc w:val="center"/>
            </w:pPr>
            <w:r w:rsidRPr="00172C39">
              <w:t>n</w:t>
            </w:r>
          </w:p>
        </w:tc>
      </w:tr>
      <w:tr w:rsidR="00E30483" w:rsidRPr="00172C39" w14:paraId="6F9899E5" w14:textId="77777777" w:rsidTr="007C1C18">
        <w:trPr>
          <w:trHeight w:val="300"/>
        </w:trPr>
        <w:tc>
          <w:tcPr>
            <w:tcW w:w="560" w:type="pct"/>
            <w:noWrap/>
            <w:hideMark/>
          </w:tcPr>
          <w:p w14:paraId="4C6AA46D" w14:textId="77777777" w:rsidR="00E30483" w:rsidRPr="00172C39" w:rsidRDefault="00E30483" w:rsidP="00646664">
            <w:pPr>
              <w:pStyle w:val="NoSpacing"/>
            </w:pPr>
            <w:proofErr w:type="spellStart"/>
            <w:r w:rsidRPr="00172C39">
              <w:t>MyMoodTracker</w:t>
            </w:r>
            <w:proofErr w:type="spellEnd"/>
          </w:p>
        </w:tc>
        <w:tc>
          <w:tcPr>
            <w:tcW w:w="585" w:type="pct"/>
          </w:tcPr>
          <w:p w14:paraId="3232BC52" w14:textId="77777777" w:rsidR="00E30483" w:rsidRPr="00BF7226" w:rsidRDefault="00E30483" w:rsidP="00646664">
            <w:pPr>
              <w:pStyle w:val="NoSpacing"/>
            </w:pPr>
            <w:r w:rsidRPr="00BF7226">
              <w:t>Mood tracker</w:t>
            </w:r>
          </w:p>
        </w:tc>
        <w:tc>
          <w:tcPr>
            <w:tcW w:w="606" w:type="pct"/>
            <w:noWrap/>
            <w:hideMark/>
          </w:tcPr>
          <w:p w14:paraId="5F6F5DA5" w14:textId="77777777" w:rsidR="00E30483" w:rsidRPr="00172C39" w:rsidRDefault="00E30483" w:rsidP="00646664">
            <w:pPr>
              <w:pStyle w:val="NoSpacing"/>
            </w:pPr>
            <w:r w:rsidRPr="00172C39">
              <w:t>Paid for by end user</w:t>
            </w:r>
          </w:p>
        </w:tc>
        <w:tc>
          <w:tcPr>
            <w:tcW w:w="436" w:type="pct"/>
            <w:noWrap/>
            <w:hideMark/>
          </w:tcPr>
          <w:p w14:paraId="4E686433" w14:textId="77777777" w:rsidR="00E30483" w:rsidRPr="00172C39" w:rsidRDefault="00E30483" w:rsidP="00646664">
            <w:pPr>
              <w:pStyle w:val="NoSpacing"/>
              <w:jc w:val="center"/>
            </w:pPr>
            <w:r w:rsidRPr="00172C39">
              <w:t>p</w:t>
            </w:r>
          </w:p>
        </w:tc>
        <w:tc>
          <w:tcPr>
            <w:tcW w:w="841" w:type="pct"/>
            <w:noWrap/>
            <w:hideMark/>
          </w:tcPr>
          <w:p w14:paraId="15D8C987" w14:textId="77777777" w:rsidR="00E30483" w:rsidRPr="00172C39" w:rsidRDefault="00E30483" w:rsidP="00646664">
            <w:pPr>
              <w:pStyle w:val="NoSpacing"/>
              <w:jc w:val="center"/>
            </w:pPr>
            <w:r w:rsidRPr="00172C39">
              <w:t>2 (1.0%)</w:t>
            </w:r>
          </w:p>
        </w:tc>
        <w:tc>
          <w:tcPr>
            <w:tcW w:w="738" w:type="pct"/>
            <w:noWrap/>
            <w:hideMark/>
          </w:tcPr>
          <w:p w14:paraId="38B80115" w14:textId="77777777" w:rsidR="00E30483" w:rsidRPr="00172C39" w:rsidRDefault="00E30483" w:rsidP="00646664">
            <w:pPr>
              <w:pStyle w:val="NoSpacing"/>
              <w:jc w:val="center"/>
            </w:pPr>
            <w:r w:rsidRPr="00172C39">
              <w:t>1 (2.0%)</w:t>
            </w:r>
          </w:p>
        </w:tc>
        <w:tc>
          <w:tcPr>
            <w:tcW w:w="597" w:type="pct"/>
            <w:noWrap/>
            <w:hideMark/>
          </w:tcPr>
          <w:p w14:paraId="060E4F96" w14:textId="77777777" w:rsidR="00E30483" w:rsidRPr="00172C39" w:rsidRDefault="00E30483" w:rsidP="00646664">
            <w:pPr>
              <w:pStyle w:val="NoSpacing"/>
              <w:jc w:val="center"/>
            </w:pPr>
            <w:r w:rsidRPr="00172C39">
              <w:t>n</w:t>
            </w:r>
          </w:p>
        </w:tc>
        <w:tc>
          <w:tcPr>
            <w:tcW w:w="637" w:type="pct"/>
            <w:noWrap/>
            <w:hideMark/>
          </w:tcPr>
          <w:p w14:paraId="6E0FCF82" w14:textId="77777777" w:rsidR="00E30483" w:rsidRPr="00172C39" w:rsidRDefault="00E30483" w:rsidP="00646664">
            <w:pPr>
              <w:pStyle w:val="NoSpacing"/>
              <w:jc w:val="center"/>
            </w:pPr>
            <w:r w:rsidRPr="00172C39">
              <w:t>n</w:t>
            </w:r>
          </w:p>
        </w:tc>
      </w:tr>
      <w:tr w:rsidR="00E30483" w:rsidRPr="00172C39" w14:paraId="24A288D9" w14:textId="77777777" w:rsidTr="007C1C18">
        <w:trPr>
          <w:trHeight w:val="300"/>
        </w:trPr>
        <w:tc>
          <w:tcPr>
            <w:tcW w:w="560" w:type="pct"/>
            <w:noWrap/>
            <w:hideMark/>
          </w:tcPr>
          <w:p w14:paraId="4C54E724" w14:textId="77777777" w:rsidR="00E30483" w:rsidRPr="00172C39" w:rsidRDefault="00E30483" w:rsidP="00646664">
            <w:pPr>
              <w:pStyle w:val="NoSpacing"/>
            </w:pPr>
            <w:r w:rsidRPr="00172C39">
              <w:t xml:space="preserve">Mindfulness Bell </w:t>
            </w:r>
          </w:p>
        </w:tc>
        <w:tc>
          <w:tcPr>
            <w:tcW w:w="585" w:type="pct"/>
          </w:tcPr>
          <w:p w14:paraId="70344124" w14:textId="77777777" w:rsidR="00E30483" w:rsidRPr="00BF7226" w:rsidRDefault="00E30483" w:rsidP="00646664">
            <w:pPr>
              <w:pStyle w:val="NoSpacing"/>
            </w:pPr>
            <w:r w:rsidRPr="00BF7226">
              <w:t>Meditation</w:t>
            </w:r>
          </w:p>
        </w:tc>
        <w:tc>
          <w:tcPr>
            <w:tcW w:w="606" w:type="pct"/>
            <w:noWrap/>
            <w:hideMark/>
          </w:tcPr>
          <w:p w14:paraId="1FB405F4" w14:textId="77777777" w:rsidR="00E30483" w:rsidRPr="00172C39" w:rsidRDefault="00E30483" w:rsidP="00646664">
            <w:pPr>
              <w:pStyle w:val="NoSpacing"/>
            </w:pPr>
            <w:r w:rsidRPr="00172C39">
              <w:t>Paid for by end user</w:t>
            </w:r>
          </w:p>
        </w:tc>
        <w:tc>
          <w:tcPr>
            <w:tcW w:w="436" w:type="pct"/>
            <w:noWrap/>
            <w:hideMark/>
          </w:tcPr>
          <w:p w14:paraId="58552F7D" w14:textId="77777777" w:rsidR="00E30483" w:rsidRPr="00172C39" w:rsidRDefault="00E30483" w:rsidP="00646664">
            <w:pPr>
              <w:pStyle w:val="NoSpacing"/>
              <w:jc w:val="center"/>
            </w:pPr>
            <w:r w:rsidRPr="00172C39">
              <w:t>p</w:t>
            </w:r>
          </w:p>
        </w:tc>
        <w:tc>
          <w:tcPr>
            <w:tcW w:w="841" w:type="pct"/>
            <w:noWrap/>
            <w:hideMark/>
          </w:tcPr>
          <w:p w14:paraId="570BC40C" w14:textId="77777777" w:rsidR="00E30483" w:rsidRPr="00172C39" w:rsidRDefault="00E30483" w:rsidP="00646664">
            <w:pPr>
              <w:pStyle w:val="NoSpacing"/>
              <w:jc w:val="center"/>
            </w:pPr>
            <w:r w:rsidRPr="00172C39">
              <w:t>2 (1.0%)</w:t>
            </w:r>
          </w:p>
        </w:tc>
        <w:tc>
          <w:tcPr>
            <w:tcW w:w="738" w:type="pct"/>
            <w:noWrap/>
            <w:hideMark/>
          </w:tcPr>
          <w:p w14:paraId="796CE0F0" w14:textId="77777777" w:rsidR="00E30483" w:rsidRPr="00172C39" w:rsidRDefault="00E30483" w:rsidP="00646664">
            <w:pPr>
              <w:pStyle w:val="NoSpacing"/>
              <w:jc w:val="center"/>
            </w:pPr>
            <w:r w:rsidRPr="00172C39">
              <w:t>0 (0%)</w:t>
            </w:r>
          </w:p>
        </w:tc>
        <w:tc>
          <w:tcPr>
            <w:tcW w:w="597" w:type="pct"/>
            <w:noWrap/>
            <w:hideMark/>
          </w:tcPr>
          <w:p w14:paraId="60FE5C8F" w14:textId="77777777" w:rsidR="00E30483" w:rsidRPr="00172C39" w:rsidRDefault="00E30483" w:rsidP="00646664">
            <w:pPr>
              <w:pStyle w:val="NoSpacing"/>
              <w:jc w:val="center"/>
            </w:pPr>
            <w:r w:rsidRPr="00172C39">
              <w:t>n</w:t>
            </w:r>
          </w:p>
        </w:tc>
        <w:tc>
          <w:tcPr>
            <w:tcW w:w="637" w:type="pct"/>
            <w:noWrap/>
            <w:hideMark/>
          </w:tcPr>
          <w:p w14:paraId="1931C014" w14:textId="77777777" w:rsidR="00E30483" w:rsidRPr="00172C39" w:rsidRDefault="00E30483" w:rsidP="00646664">
            <w:pPr>
              <w:pStyle w:val="NoSpacing"/>
              <w:jc w:val="center"/>
            </w:pPr>
            <w:r w:rsidRPr="00172C39">
              <w:t>n</w:t>
            </w:r>
          </w:p>
        </w:tc>
      </w:tr>
      <w:tr w:rsidR="00E30483" w:rsidRPr="00172C39" w14:paraId="6AEA0E99" w14:textId="77777777" w:rsidTr="007C1C18">
        <w:trPr>
          <w:trHeight w:val="300"/>
        </w:trPr>
        <w:tc>
          <w:tcPr>
            <w:tcW w:w="560" w:type="pct"/>
            <w:noWrap/>
            <w:hideMark/>
          </w:tcPr>
          <w:p w14:paraId="0A68AE8C" w14:textId="77777777" w:rsidR="00E30483" w:rsidRPr="00172C39" w:rsidRDefault="00E30483" w:rsidP="00646664">
            <w:pPr>
              <w:pStyle w:val="NoSpacing"/>
            </w:pPr>
            <w:proofErr w:type="spellStart"/>
            <w:r w:rsidRPr="00172C39">
              <w:t>Moodkit</w:t>
            </w:r>
            <w:proofErr w:type="spellEnd"/>
            <w:r w:rsidRPr="00172C39">
              <w:t xml:space="preserve"> – Mood Improvement Tools</w:t>
            </w:r>
          </w:p>
        </w:tc>
        <w:tc>
          <w:tcPr>
            <w:tcW w:w="585" w:type="pct"/>
          </w:tcPr>
          <w:p w14:paraId="6CFCEFCC" w14:textId="77777777" w:rsidR="00E30483" w:rsidRPr="00BF7226" w:rsidRDefault="00E30483" w:rsidP="00646664">
            <w:pPr>
              <w:pStyle w:val="NoSpacing"/>
            </w:pPr>
            <w:r w:rsidRPr="00BF7226">
              <w:t>Tools to improve mood</w:t>
            </w:r>
          </w:p>
        </w:tc>
        <w:tc>
          <w:tcPr>
            <w:tcW w:w="606" w:type="pct"/>
            <w:noWrap/>
            <w:hideMark/>
          </w:tcPr>
          <w:p w14:paraId="3E885521" w14:textId="77777777" w:rsidR="00E30483" w:rsidRPr="00172C39" w:rsidRDefault="00E30483" w:rsidP="00646664">
            <w:pPr>
              <w:pStyle w:val="NoSpacing"/>
            </w:pPr>
            <w:r w:rsidRPr="00172C39">
              <w:t>Paid for by end user</w:t>
            </w:r>
          </w:p>
        </w:tc>
        <w:tc>
          <w:tcPr>
            <w:tcW w:w="436" w:type="pct"/>
            <w:noWrap/>
            <w:hideMark/>
          </w:tcPr>
          <w:p w14:paraId="0F369BBF" w14:textId="77777777" w:rsidR="00E30483" w:rsidRPr="00172C39" w:rsidRDefault="00E30483" w:rsidP="00646664">
            <w:pPr>
              <w:pStyle w:val="NoSpacing"/>
              <w:jc w:val="center"/>
            </w:pPr>
            <w:r w:rsidRPr="00172C39">
              <w:t>p</w:t>
            </w:r>
          </w:p>
        </w:tc>
        <w:tc>
          <w:tcPr>
            <w:tcW w:w="841" w:type="pct"/>
            <w:noWrap/>
            <w:hideMark/>
          </w:tcPr>
          <w:p w14:paraId="3D01B02D" w14:textId="77777777" w:rsidR="00E30483" w:rsidRPr="00172C39" w:rsidRDefault="00E30483" w:rsidP="00646664">
            <w:pPr>
              <w:pStyle w:val="NoSpacing"/>
              <w:jc w:val="center"/>
            </w:pPr>
            <w:r w:rsidRPr="00172C39">
              <w:t>2 (1.0%)</w:t>
            </w:r>
          </w:p>
        </w:tc>
        <w:tc>
          <w:tcPr>
            <w:tcW w:w="738" w:type="pct"/>
            <w:noWrap/>
            <w:hideMark/>
          </w:tcPr>
          <w:p w14:paraId="04D07442" w14:textId="77777777" w:rsidR="00E30483" w:rsidRPr="00172C39" w:rsidRDefault="00E30483" w:rsidP="00646664">
            <w:pPr>
              <w:pStyle w:val="NoSpacing"/>
              <w:jc w:val="center"/>
            </w:pPr>
            <w:r w:rsidRPr="00172C39">
              <w:t>0 (0%)</w:t>
            </w:r>
          </w:p>
        </w:tc>
        <w:tc>
          <w:tcPr>
            <w:tcW w:w="597" w:type="pct"/>
            <w:noWrap/>
            <w:hideMark/>
          </w:tcPr>
          <w:p w14:paraId="4C08CD82" w14:textId="77777777" w:rsidR="00E30483" w:rsidRPr="00172C39" w:rsidRDefault="00E30483" w:rsidP="00646664">
            <w:pPr>
              <w:pStyle w:val="NoSpacing"/>
              <w:jc w:val="center"/>
            </w:pPr>
            <w:r w:rsidRPr="00172C39">
              <w:t>y</w:t>
            </w:r>
          </w:p>
        </w:tc>
        <w:tc>
          <w:tcPr>
            <w:tcW w:w="637" w:type="pct"/>
            <w:noWrap/>
            <w:hideMark/>
          </w:tcPr>
          <w:p w14:paraId="08C0E3A6" w14:textId="77777777" w:rsidR="00E30483" w:rsidRPr="00172C39" w:rsidRDefault="00E30483" w:rsidP="00646664">
            <w:pPr>
              <w:pStyle w:val="NoSpacing"/>
              <w:jc w:val="center"/>
            </w:pPr>
            <w:r w:rsidRPr="00172C39">
              <w:t>n</w:t>
            </w:r>
          </w:p>
        </w:tc>
      </w:tr>
      <w:tr w:rsidR="00E30483" w:rsidRPr="00172C39" w14:paraId="5D3DC180" w14:textId="77777777" w:rsidTr="007C1C18">
        <w:trPr>
          <w:trHeight w:val="300"/>
        </w:trPr>
        <w:tc>
          <w:tcPr>
            <w:tcW w:w="560" w:type="pct"/>
            <w:noWrap/>
            <w:hideMark/>
          </w:tcPr>
          <w:p w14:paraId="303F05BC" w14:textId="77777777" w:rsidR="00E30483" w:rsidRPr="00172C39" w:rsidRDefault="00E30483" w:rsidP="00646664">
            <w:pPr>
              <w:pStyle w:val="NoSpacing"/>
            </w:pPr>
            <w:r w:rsidRPr="00172C39">
              <w:t>Thought Diary Pro</w:t>
            </w:r>
          </w:p>
        </w:tc>
        <w:tc>
          <w:tcPr>
            <w:tcW w:w="585" w:type="pct"/>
          </w:tcPr>
          <w:p w14:paraId="7CCBC467" w14:textId="77777777" w:rsidR="00E30483" w:rsidRPr="00BF7226" w:rsidRDefault="00E30483" w:rsidP="00646664">
            <w:pPr>
              <w:pStyle w:val="NoSpacing"/>
            </w:pPr>
            <w:r w:rsidRPr="00BF7226">
              <w:t>Thought diary</w:t>
            </w:r>
          </w:p>
        </w:tc>
        <w:tc>
          <w:tcPr>
            <w:tcW w:w="606" w:type="pct"/>
            <w:noWrap/>
            <w:hideMark/>
          </w:tcPr>
          <w:p w14:paraId="303A8BB8" w14:textId="77777777" w:rsidR="00E30483" w:rsidRPr="00172C39" w:rsidRDefault="00E30483" w:rsidP="00646664">
            <w:pPr>
              <w:pStyle w:val="NoSpacing"/>
            </w:pPr>
            <w:r w:rsidRPr="00172C39">
              <w:t>Paid for by end user</w:t>
            </w:r>
          </w:p>
        </w:tc>
        <w:tc>
          <w:tcPr>
            <w:tcW w:w="436" w:type="pct"/>
            <w:noWrap/>
            <w:hideMark/>
          </w:tcPr>
          <w:p w14:paraId="510EE5B0" w14:textId="77777777" w:rsidR="00E30483" w:rsidRPr="00172C39" w:rsidRDefault="00E30483" w:rsidP="00646664">
            <w:pPr>
              <w:pStyle w:val="NoSpacing"/>
              <w:jc w:val="center"/>
            </w:pPr>
            <w:r w:rsidRPr="00172C39">
              <w:t>p</w:t>
            </w:r>
          </w:p>
        </w:tc>
        <w:tc>
          <w:tcPr>
            <w:tcW w:w="841" w:type="pct"/>
            <w:noWrap/>
            <w:hideMark/>
          </w:tcPr>
          <w:p w14:paraId="438E7498" w14:textId="77777777" w:rsidR="00E30483" w:rsidRPr="00172C39" w:rsidRDefault="00E30483" w:rsidP="00646664">
            <w:pPr>
              <w:pStyle w:val="NoSpacing"/>
              <w:jc w:val="center"/>
            </w:pPr>
            <w:r w:rsidRPr="00172C39">
              <w:t>2 (1.0%)</w:t>
            </w:r>
          </w:p>
        </w:tc>
        <w:tc>
          <w:tcPr>
            <w:tcW w:w="738" w:type="pct"/>
            <w:noWrap/>
            <w:hideMark/>
          </w:tcPr>
          <w:p w14:paraId="4B1BB506" w14:textId="77777777" w:rsidR="00E30483" w:rsidRPr="00172C39" w:rsidRDefault="00E30483" w:rsidP="00646664">
            <w:pPr>
              <w:pStyle w:val="NoSpacing"/>
              <w:jc w:val="center"/>
            </w:pPr>
            <w:r w:rsidRPr="00172C39">
              <w:t>0 (0%)</w:t>
            </w:r>
          </w:p>
        </w:tc>
        <w:tc>
          <w:tcPr>
            <w:tcW w:w="597" w:type="pct"/>
            <w:noWrap/>
            <w:hideMark/>
          </w:tcPr>
          <w:p w14:paraId="00FC7DCD" w14:textId="77777777" w:rsidR="00E30483" w:rsidRPr="00172C39" w:rsidRDefault="00E30483" w:rsidP="00646664">
            <w:pPr>
              <w:pStyle w:val="NoSpacing"/>
              <w:jc w:val="center"/>
            </w:pPr>
            <w:r w:rsidRPr="00172C39">
              <w:t>n</w:t>
            </w:r>
          </w:p>
        </w:tc>
        <w:tc>
          <w:tcPr>
            <w:tcW w:w="637" w:type="pct"/>
            <w:noWrap/>
            <w:hideMark/>
          </w:tcPr>
          <w:p w14:paraId="7172D40C" w14:textId="77777777" w:rsidR="00E30483" w:rsidRPr="00172C39" w:rsidRDefault="00E30483" w:rsidP="00646664">
            <w:pPr>
              <w:pStyle w:val="NoSpacing"/>
              <w:jc w:val="center"/>
            </w:pPr>
            <w:r w:rsidRPr="00172C39">
              <w:t>n</w:t>
            </w:r>
          </w:p>
        </w:tc>
      </w:tr>
      <w:tr w:rsidR="00E30483" w:rsidRPr="00172C39" w14:paraId="5BA15C4C" w14:textId="77777777" w:rsidTr="007C1C18">
        <w:trPr>
          <w:trHeight w:val="300"/>
        </w:trPr>
        <w:tc>
          <w:tcPr>
            <w:tcW w:w="560" w:type="pct"/>
            <w:noWrap/>
            <w:hideMark/>
          </w:tcPr>
          <w:p w14:paraId="25353B85" w14:textId="77777777" w:rsidR="00E30483" w:rsidRPr="00172C39" w:rsidRDefault="00E30483" w:rsidP="00646664">
            <w:pPr>
              <w:pStyle w:val="NoSpacing"/>
            </w:pPr>
            <w:proofErr w:type="spellStart"/>
            <w:r w:rsidRPr="00172C39">
              <w:t>WellMind</w:t>
            </w:r>
            <w:proofErr w:type="spellEnd"/>
          </w:p>
        </w:tc>
        <w:tc>
          <w:tcPr>
            <w:tcW w:w="585" w:type="pct"/>
          </w:tcPr>
          <w:p w14:paraId="06392600" w14:textId="77777777" w:rsidR="00E30483" w:rsidRPr="00BF7226" w:rsidRDefault="00E30483" w:rsidP="00646664">
            <w:pPr>
              <w:pStyle w:val="NoSpacing"/>
            </w:pPr>
            <w:r w:rsidRPr="00BF7226">
              <w:t>Tools to help with depression, stress, anxiety</w:t>
            </w:r>
          </w:p>
        </w:tc>
        <w:tc>
          <w:tcPr>
            <w:tcW w:w="606" w:type="pct"/>
            <w:noWrap/>
            <w:hideMark/>
          </w:tcPr>
          <w:p w14:paraId="597388D1" w14:textId="77777777" w:rsidR="00E30483" w:rsidRPr="00172C39" w:rsidRDefault="00E30483" w:rsidP="00646664">
            <w:pPr>
              <w:pStyle w:val="NoSpacing"/>
            </w:pPr>
            <w:r w:rsidRPr="00172C39">
              <w:t>Free to access</w:t>
            </w:r>
          </w:p>
        </w:tc>
        <w:tc>
          <w:tcPr>
            <w:tcW w:w="436" w:type="pct"/>
            <w:noWrap/>
            <w:hideMark/>
          </w:tcPr>
          <w:p w14:paraId="4054AA52" w14:textId="77777777" w:rsidR="00E30483" w:rsidRPr="00172C39" w:rsidRDefault="00E30483" w:rsidP="00646664">
            <w:pPr>
              <w:pStyle w:val="NoSpacing"/>
              <w:jc w:val="center"/>
            </w:pPr>
            <w:r w:rsidRPr="00172C39">
              <w:t>p</w:t>
            </w:r>
          </w:p>
        </w:tc>
        <w:tc>
          <w:tcPr>
            <w:tcW w:w="841" w:type="pct"/>
            <w:noWrap/>
            <w:hideMark/>
          </w:tcPr>
          <w:p w14:paraId="0B16D0F4" w14:textId="77777777" w:rsidR="00E30483" w:rsidRPr="00172C39" w:rsidRDefault="00E30483" w:rsidP="00646664">
            <w:pPr>
              <w:pStyle w:val="NoSpacing"/>
              <w:jc w:val="center"/>
            </w:pPr>
            <w:r w:rsidRPr="00172C39">
              <w:t>2 (1.0%)</w:t>
            </w:r>
          </w:p>
        </w:tc>
        <w:tc>
          <w:tcPr>
            <w:tcW w:w="738" w:type="pct"/>
            <w:noWrap/>
            <w:hideMark/>
          </w:tcPr>
          <w:p w14:paraId="055AC6DC" w14:textId="77777777" w:rsidR="00E30483" w:rsidRPr="00172C39" w:rsidRDefault="00E30483" w:rsidP="00646664">
            <w:pPr>
              <w:pStyle w:val="NoSpacing"/>
              <w:jc w:val="center"/>
            </w:pPr>
            <w:r w:rsidRPr="00172C39">
              <w:t>1 (2.0%)</w:t>
            </w:r>
          </w:p>
        </w:tc>
        <w:tc>
          <w:tcPr>
            <w:tcW w:w="597" w:type="pct"/>
            <w:noWrap/>
            <w:hideMark/>
          </w:tcPr>
          <w:p w14:paraId="068B8B77" w14:textId="77777777" w:rsidR="00E30483" w:rsidRPr="00172C39" w:rsidRDefault="00E30483" w:rsidP="00646664">
            <w:pPr>
              <w:pStyle w:val="NoSpacing"/>
              <w:jc w:val="center"/>
            </w:pPr>
            <w:r w:rsidRPr="00172C39">
              <w:t>n</w:t>
            </w:r>
          </w:p>
        </w:tc>
        <w:tc>
          <w:tcPr>
            <w:tcW w:w="637" w:type="pct"/>
            <w:noWrap/>
            <w:hideMark/>
          </w:tcPr>
          <w:p w14:paraId="327207C8" w14:textId="77777777" w:rsidR="00E30483" w:rsidRPr="00172C39" w:rsidRDefault="00E30483" w:rsidP="00646664">
            <w:pPr>
              <w:pStyle w:val="NoSpacing"/>
              <w:jc w:val="center"/>
            </w:pPr>
            <w:r w:rsidRPr="00172C39">
              <w:t>n</w:t>
            </w:r>
          </w:p>
        </w:tc>
      </w:tr>
      <w:tr w:rsidR="00E30483" w:rsidRPr="00172C39" w14:paraId="4FE72CE7" w14:textId="77777777" w:rsidTr="007C1C18">
        <w:trPr>
          <w:trHeight w:val="300"/>
        </w:trPr>
        <w:tc>
          <w:tcPr>
            <w:tcW w:w="560" w:type="pct"/>
            <w:noWrap/>
            <w:hideMark/>
          </w:tcPr>
          <w:p w14:paraId="585EA4E0" w14:textId="77777777" w:rsidR="00E30483" w:rsidRPr="00172C39" w:rsidRDefault="00E30483" w:rsidP="00646664">
            <w:pPr>
              <w:pStyle w:val="NoSpacing"/>
            </w:pPr>
            <w:proofErr w:type="spellStart"/>
            <w:r w:rsidRPr="00172C39">
              <w:t>Moodometer</w:t>
            </w:r>
            <w:proofErr w:type="spellEnd"/>
          </w:p>
        </w:tc>
        <w:tc>
          <w:tcPr>
            <w:tcW w:w="585" w:type="pct"/>
          </w:tcPr>
          <w:p w14:paraId="41E81A57" w14:textId="77777777" w:rsidR="00E30483" w:rsidRPr="00BF7226" w:rsidRDefault="00E30483" w:rsidP="00646664">
            <w:pPr>
              <w:pStyle w:val="NoSpacing"/>
            </w:pPr>
            <w:r w:rsidRPr="00BF7226">
              <w:t>Tool to support face-to-face therapy</w:t>
            </w:r>
          </w:p>
        </w:tc>
        <w:tc>
          <w:tcPr>
            <w:tcW w:w="606" w:type="pct"/>
            <w:noWrap/>
            <w:hideMark/>
          </w:tcPr>
          <w:p w14:paraId="004743D7" w14:textId="77777777" w:rsidR="00E30483" w:rsidRPr="00172C39" w:rsidRDefault="00E30483" w:rsidP="00646664">
            <w:pPr>
              <w:pStyle w:val="NoSpacing"/>
            </w:pPr>
            <w:r w:rsidRPr="00172C39">
              <w:t>Free to access</w:t>
            </w:r>
          </w:p>
        </w:tc>
        <w:tc>
          <w:tcPr>
            <w:tcW w:w="436" w:type="pct"/>
            <w:noWrap/>
            <w:hideMark/>
          </w:tcPr>
          <w:p w14:paraId="4902467A" w14:textId="77777777" w:rsidR="00E30483" w:rsidRPr="00172C39" w:rsidRDefault="00E30483" w:rsidP="00646664">
            <w:pPr>
              <w:pStyle w:val="NoSpacing"/>
              <w:jc w:val="center"/>
            </w:pPr>
            <w:r w:rsidRPr="00172C39">
              <w:t>p</w:t>
            </w:r>
          </w:p>
        </w:tc>
        <w:tc>
          <w:tcPr>
            <w:tcW w:w="841" w:type="pct"/>
            <w:noWrap/>
            <w:hideMark/>
          </w:tcPr>
          <w:p w14:paraId="77569913" w14:textId="77777777" w:rsidR="00E30483" w:rsidRPr="00172C39" w:rsidRDefault="00E30483" w:rsidP="00646664">
            <w:pPr>
              <w:pStyle w:val="NoSpacing"/>
              <w:jc w:val="center"/>
            </w:pPr>
            <w:r w:rsidRPr="00172C39">
              <w:t>2 (1.0%)</w:t>
            </w:r>
          </w:p>
        </w:tc>
        <w:tc>
          <w:tcPr>
            <w:tcW w:w="738" w:type="pct"/>
            <w:noWrap/>
            <w:hideMark/>
          </w:tcPr>
          <w:p w14:paraId="503B6590" w14:textId="77777777" w:rsidR="00E30483" w:rsidRPr="00172C39" w:rsidRDefault="00E30483" w:rsidP="00646664">
            <w:pPr>
              <w:pStyle w:val="NoSpacing"/>
              <w:jc w:val="center"/>
            </w:pPr>
            <w:r w:rsidRPr="00172C39">
              <w:t>0 (0%)</w:t>
            </w:r>
          </w:p>
        </w:tc>
        <w:tc>
          <w:tcPr>
            <w:tcW w:w="597" w:type="pct"/>
            <w:noWrap/>
            <w:hideMark/>
          </w:tcPr>
          <w:p w14:paraId="11B4224D" w14:textId="77777777" w:rsidR="00E30483" w:rsidRPr="00172C39" w:rsidRDefault="00E30483" w:rsidP="00646664">
            <w:pPr>
              <w:pStyle w:val="NoSpacing"/>
              <w:jc w:val="center"/>
            </w:pPr>
            <w:r w:rsidRPr="00172C39">
              <w:t>n</w:t>
            </w:r>
          </w:p>
        </w:tc>
        <w:tc>
          <w:tcPr>
            <w:tcW w:w="637" w:type="pct"/>
            <w:noWrap/>
            <w:hideMark/>
          </w:tcPr>
          <w:p w14:paraId="4694A768" w14:textId="77777777" w:rsidR="00E30483" w:rsidRPr="00172C39" w:rsidRDefault="00E30483" w:rsidP="00646664">
            <w:pPr>
              <w:pStyle w:val="NoSpacing"/>
              <w:jc w:val="center"/>
            </w:pPr>
            <w:r w:rsidRPr="00172C39">
              <w:t>n</w:t>
            </w:r>
          </w:p>
        </w:tc>
      </w:tr>
      <w:tr w:rsidR="00E30483" w:rsidRPr="00172C39" w14:paraId="71FA343F" w14:textId="77777777" w:rsidTr="007C1C18">
        <w:trPr>
          <w:trHeight w:val="300"/>
        </w:trPr>
        <w:tc>
          <w:tcPr>
            <w:tcW w:w="560" w:type="pct"/>
            <w:noWrap/>
            <w:hideMark/>
          </w:tcPr>
          <w:p w14:paraId="72B277E0" w14:textId="77777777" w:rsidR="00E30483" w:rsidRPr="00172C39" w:rsidRDefault="00E30483" w:rsidP="00646664">
            <w:pPr>
              <w:pStyle w:val="NoSpacing"/>
            </w:pPr>
            <w:proofErr w:type="spellStart"/>
            <w:r w:rsidRPr="00172C39">
              <w:t>Kooth</w:t>
            </w:r>
            <w:proofErr w:type="spellEnd"/>
          </w:p>
        </w:tc>
        <w:tc>
          <w:tcPr>
            <w:tcW w:w="585" w:type="pct"/>
          </w:tcPr>
          <w:p w14:paraId="43ADC409" w14:textId="5DD9608B" w:rsidR="00E30483" w:rsidRPr="00BF7226" w:rsidRDefault="00E30483" w:rsidP="00646664">
            <w:pPr>
              <w:pStyle w:val="NoSpacing"/>
            </w:pPr>
            <w:r w:rsidRPr="00BF7226">
              <w:t>Online one to one messenger</w:t>
            </w:r>
            <w:r w:rsidR="00551BF4">
              <w:t>-</w:t>
            </w:r>
            <w:r w:rsidRPr="00BF7226">
              <w:t>based chat with a professional for children and young adults aged 11 to 19</w:t>
            </w:r>
          </w:p>
        </w:tc>
        <w:tc>
          <w:tcPr>
            <w:tcW w:w="606" w:type="pct"/>
            <w:noWrap/>
            <w:hideMark/>
          </w:tcPr>
          <w:p w14:paraId="7C466A41" w14:textId="77777777" w:rsidR="00E30483" w:rsidRPr="00172C39" w:rsidRDefault="00E30483" w:rsidP="00646664">
            <w:pPr>
              <w:pStyle w:val="NoSpacing"/>
            </w:pPr>
            <w:r w:rsidRPr="00172C39">
              <w:t>Free to access (but only available in some areas)</w:t>
            </w:r>
          </w:p>
        </w:tc>
        <w:tc>
          <w:tcPr>
            <w:tcW w:w="436" w:type="pct"/>
            <w:noWrap/>
            <w:hideMark/>
          </w:tcPr>
          <w:p w14:paraId="3467296A" w14:textId="77777777" w:rsidR="00E30483" w:rsidRPr="00172C39" w:rsidRDefault="00E30483" w:rsidP="00646664">
            <w:pPr>
              <w:pStyle w:val="NoSpacing"/>
              <w:jc w:val="center"/>
            </w:pPr>
            <w:r w:rsidRPr="00172C39">
              <w:t>w</w:t>
            </w:r>
          </w:p>
        </w:tc>
        <w:tc>
          <w:tcPr>
            <w:tcW w:w="841" w:type="pct"/>
            <w:noWrap/>
            <w:hideMark/>
          </w:tcPr>
          <w:p w14:paraId="74AC8D43" w14:textId="77777777" w:rsidR="00E30483" w:rsidRPr="00172C39" w:rsidRDefault="00E30483" w:rsidP="00646664">
            <w:pPr>
              <w:pStyle w:val="NoSpacing"/>
              <w:jc w:val="center"/>
            </w:pPr>
            <w:r w:rsidRPr="00172C39">
              <w:t>2 (1.0%)</w:t>
            </w:r>
          </w:p>
        </w:tc>
        <w:tc>
          <w:tcPr>
            <w:tcW w:w="738" w:type="pct"/>
            <w:noWrap/>
            <w:hideMark/>
          </w:tcPr>
          <w:p w14:paraId="1AB447AA" w14:textId="77777777" w:rsidR="00E30483" w:rsidRPr="00172C39" w:rsidRDefault="00E30483" w:rsidP="00646664">
            <w:pPr>
              <w:pStyle w:val="NoSpacing"/>
              <w:jc w:val="center"/>
            </w:pPr>
            <w:r w:rsidRPr="00172C39">
              <w:t>2 (3.9%)</w:t>
            </w:r>
          </w:p>
        </w:tc>
        <w:tc>
          <w:tcPr>
            <w:tcW w:w="597" w:type="pct"/>
            <w:noWrap/>
            <w:hideMark/>
          </w:tcPr>
          <w:p w14:paraId="112E1635" w14:textId="77777777" w:rsidR="00E30483" w:rsidRPr="00172C39" w:rsidRDefault="00E30483" w:rsidP="00646664">
            <w:pPr>
              <w:pStyle w:val="NoSpacing"/>
              <w:jc w:val="center"/>
            </w:pPr>
            <w:r w:rsidRPr="00172C39">
              <w:t>n</w:t>
            </w:r>
          </w:p>
        </w:tc>
        <w:tc>
          <w:tcPr>
            <w:tcW w:w="637" w:type="pct"/>
            <w:noWrap/>
            <w:hideMark/>
          </w:tcPr>
          <w:p w14:paraId="3016B3BD" w14:textId="77777777" w:rsidR="00E30483" w:rsidRPr="00172C39" w:rsidRDefault="00E30483" w:rsidP="00646664">
            <w:pPr>
              <w:pStyle w:val="NoSpacing"/>
              <w:jc w:val="center"/>
            </w:pPr>
            <w:r w:rsidRPr="00172C39">
              <w:t>y</w:t>
            </w:r>
          </w:p>
        </w:tc>
      </w:tr>
      <w:tr w:rsidR="00E30483" w:rsidRPr="00172C39" w14:paraId="0F39E0D3" w14:textId="77777777" w:rsidTr="007C1C18">
        <w:trPr>
          <w:trHeight w:val="300"/>
        </w:trPr>
        <w:tc>
          <w:tcPr>
            <w:tcW w:w="560" w:type="pct"/>
            <w:noWrap/>
            <w:hideMark/>
          </w:tcPr>
          <w:p w14:paraId="26B345E1" w14:textId="77777777" w:rsidR="00E30483" w:rsidRPr="00172C39" w:rsidRDefault="00E30483" w:rsidP="00646664">
            <w:pPr>
              <w:pStyle w:val="NoSpacing"/>
            </w:pPr>
            <w:proofErr w:type="spellStart"/>
            <w:r w:rsidRPr="00172C39">
              <w:t>CBTReferee</w:t>
            </w:r>
            <w:proofErr w:type="spellEnd"/>
          </w:p>
        </w:tc>
        <w:tc>
          <w:tcPr>
            <w:tcW w:w="585" w:type="pct"/>
          </w:tcPr>
          <w:p w14:paraId="468C9F48" w14:textId="77777777" w:rsidR="00E30483" w:rsidRPr="00BF7226" w:rsidRDefault="00E30483" w:rsidP="00646664">
            <w:pPr>
              <w:pStyle w:val="NoSpacing"/>
            </w:pPr>
            <w:r w:rsidRPr="00BF7226">
              <w:t xml:space="preserve">Journal to assist </w:t>
            </w:r>
            <w:r w:rsidRPr="00BF7226">
              <w:lastRenderedPageBreak/>
              <w:t>face-to-face CBT</w:t>
            </w:r>
          </w:p>
        </w:tc>
        <w:tc>
          <w:tcPr>
            <w:tcW w:w="606" w:type="pct"/>
            <w:noWrap/>
            <w:hideMark/>
          </w:tcPr>
          <w:p w14:paraId="1BC75F21" w14:textId="77777777" w:rsidR="00E30483" w:rsidRPr="00172C39" w:rsidRDefault="00E30483" w:rsidP="00646664">
            <w:pPr>
              <w:pStyle w:val="NoSpacing"/>
            </w:pPr>
            <w:r w:rsidRPr="00172C39">
              <w:lastRenderedPageBreak/>
              <w:t xml:space="preserve">Paid for by end </w:t>
            </w:r>
            <w:r w:rsidRPr="00172C39">
              <w:lastRenderedPageBreak/>
              <w:t>user</w:t>
            </w:r>
          </w:p>
        </w:tc>
        <w:tc>
          <w:tcPr>
            <w:tcW w:w="436" w:type="pct"/>
            <w:noWrap/>
            <w:hideMark/>
          </w:tcPr>
          <w:p w14:paraId="4A9943E3" w14:textId="77777777" w:rsidR="00E30483" w:rsidRPr="00172C39" w:rsidRDefault="00E30483" w:rsidP="00646664">
            <w:pPr>
              <w:pStyle w:val="NoSpacing"/>
              <w:jc w:val="center"/>
            </w:pPr>
            <w:r w:rsidRPr="00172C39">
              <w:lastRenderedPageBreak/>
              <w:t>p</w:t>
            </w:r>
          </w:p>
        </w:tc>
        <w:tc>
          <w:tcPr>
            <w:tcW w:w="841" w:type="pct"/>
            <w:noWrap/>
            <w:hideMark/>
          </w:tcPr>
          <w:p w14:paraId="74CE3F91" w14:textId="77777777" w:rsidR="00E30483" w:rsidRPr="00172C39" w:rsidRDefault="00E30483" w:rsidP="00646664">
            <w:pPr>
              <w:pStyle w:val="NoSpacing"/>
              <w:jc w:val="center"/>
            </w:pPr>
            <w:r w:rsidRPr="00172C39">
              <w:t>1 (0.5%)</w:t>
            </w:r>
          </w:p>
        </w:tc>
        <w:tc>
          <w:tcPr>
            <w:tcW w:w="738" w:type="pct"/>
            <w:noWrap/>
            <w:hideMark/>
          </w:tcPr>
          <w:p w14:paraId="2769914B" w14:textId="77777777" w:rsidR="00E30483" w:rsidRPr="00172C39" w:rsidRDefault="00E30483" w:rsidP="00646664">
            <w:pPr>
              <w:pStyle w:val="NoSpacing"/>
              <w:jc w:val="center"/>
            </w:pPr>
            <w:r w:rsidRPr="00172C39">
              <w:t>1 (2.0%)</w:t>
            </w:r>
          </w:p>
        </w:tc>
        <w:tc>
          <w:tcPr>
            <w:tcW w:w="597" w:type="pct"/>
            <w:noWrap/>
            <w:hideMark/>
          </w:tcPr>
          <w:p w14:paraId="17F7A837" w14:textId="77777777" w:rsidR="00E30483" w:rsidRPr="00172C39" w:rsidRDefault="00E30483" w:rsidP="00646664">
            <w:pPr>
              <w:pStyle w:val="NoSpacing"/>
              <w:jc w:val="center"/>
            </w:pPr>
            <w:r w:rsidRPr="00172C39">
              <w:t>n</w:t>
            </w:r>
          </w:p>
        </w:tc>
        <w:tc>
          <w:tcPr>
            <w:tcW w:w="637" w:type="pct"/>
            <w:noWrap/>
            <w:hideMark/>
          </w:tcPr>
          <w:p w14:paraId="12FD01C7" w14:textId="77777777" w:rsidR="00E30483" w:rsidRPr="00172C39" w:rsidRDefault="00E30483" w:rsidP="00646664">
            <w:pPr>
              <w:pStyle w:val="NoSpacing"/>
              <w:jc w:val="center"/>
            </w:pPr>
            <w:r w:rsidRPr="00172C39">
              <w:t>n</w:t>
            </w:r>
          </w:p>
        </w:tc>
      </w:tr>
      <w:tr w:rsidR="00E30483" w:rsidRPr="00172C39" w14:paraId="06F10240" w14:textId="77777777" w:rsidTr="007C1C18">
        <w:trPr>
          <w:trHeight w:val="300"/>
        </w:trPr>
        <w:tc>
          <w:tcPr>
            <w:tcW w:w="560" w:type="pct"/>
            <w:noWrap/>
            <w:hideMark/>
          </w:tcPr>
          <w:p w14:paraId="3A72B49A" w14:textId="77777777" w:rsidR="00E30483" w:rsidRPr="00172C39" w:rsidRDefault="00E30483" w:rsidP="00646664">
            <w:pPr>
              <w:pStyle w:val="NoSpacing"/>
            </w:pPr>
            <w:proofErr w:type="spellStart"/>
            <w:r w:rsidRPr="00172C39">
              <w:lastRenderedPageBreak/>
              <w:t>iCBT</w:t>
            </w:r>
            <w:proofErr w:type="spellEnd"/>
          </w:p>
        </w:tc>
        <w:tc>
          <w:tcPr>
            <w:tcW w:w="585" w:type="pct"/>
          </w:tcPr>
          <w:p w14:paraId="5D874964" w14:textId="77777777" w:rsidR="00E30483" w:rsidRPr="00BF7226" w:rsidRDefault="00E30483" w:rsidP="00646664">
            <w:pPr>
              <w:pStyle w:val="NoSpacing"/>
            </w:pPr>
            <w:r w:rsidRPr="00BF7226">
              <w:t>Tool for self-help using CBT</w:t>
            </w:r>
          </w:p>
        </w:tc>
        <w:tc>
          <w:tcPr>
            <w:tcW w:w="606" w:type="pct"/>
            <w:noWrap/>
            <w:hideMark/>
          </w:tcPr>
          <w:p w14:paraId="2A176C2D" w14:textId="77777777" w:rsidR="00E30483" w:rsidRPr="00172C39" w:rsidRDefault="00E30483" w:rsidP="00646664">
            <w:pPr>
              <w:pStyle w:val="NoSpacing"/>
            </w:pPr>
            <w:r w:rsidRPr="00172C39">
              <w:t>Paid for by end user</w:t>
            </w:r>
          </w:p>
        </w:tc>
        <w:tc>
          <w:tcPr>
            <w:tcW w:w="436" w:type="pct"/>
            <w:noWrap/>
            <w:hideMark/>
          </w:tcPr>
          <w:p w14:paraId="5F9DD4EF" w14:textId="77777777" w:rsidR="00E30483" w:rsidRPr="00172C39" w:rsidRDefault="00E30483" w:rsidP="00646664">
            <w:pPr>
              <w:pStyle w:val="NoSpacing"/>
              <w:jc w:val="center"/>
            </w:pPr>
            <w:r w:rsidRPr="00172C39">
              <w:t>p</w:t>
            </w:r>
          </w:p>
        </w:tc>
        <w:tc>
          <w:tcPr>
            <w:tcW w:w="841" w:type="pct"/>
            <w:noWrap/>
            <w:hideMark/>
          </w:tcPr>
          <w:p w14:paraId="44FEC5D1" w14:textId="77777777" w:rsidR="00E30483" w:rsidRPr="00172C39" w:rsidRDefault="00E30483" w:rsidP="00646664">
            <w:pPr>
              <w:pStyle w:val="NoSpacing"/>
              <w:jc w:val="center"/>
            </w:pPr>
            <w:r w:rsidRPr="00172C39">
              <w:t>1 (0.5%)</w:t>
            </w:r>
          </w:p>
        </w:tc>
        <w:tc>
          <w:tcPr>
            <w:tcW w:w="738" w:type="pct"/>
            <w:noWrap/>
            <w:hideMark/>
          </w:tcPr>
          <w:p w14:paraId="7CF7B977" w14:textId="77777777" w:rsidR="00E30483" w:rsidRPr="00172C39" w:rsidRDefault="00E30483" w:rsidP="00646664">
            <w:pPr>
              <w:pStyle w:val="NoSpacing"/>
              <w:jc w:val="center"/>
            </w:pPr>
            <w:r w:rsidRPr="00172C39">
              <w:t>0 (0%)</w:t>
            </w:r>
          </w:p>
        </w:tc>
        <w:tc>
          <w:tcPr>
            <w:tcW w:w="597" w:type="pct"/>
            <w:noWrap/>
            <w:hideMark/>
          </w:tcPr>
          <w:p w14:paraId="46930291" w14:textId="77777777" w:rsidR="00E30483" w:rsidRPr="00172C39" w:rsidRDefault="00E30483" w:rsidP="00646664">
            <w:pPr>
              <w:pStyle w:val="NoSpacing"/>
              <w:jc w:val="center"/>
            </w:pPr>
            <w:r w:rsidRPr="00172C39">
              <w:t>n</w:t>
            </w:r>
          </w:p>
        </w:tc>
        <w:tc>
          <w:tcPr>
            <w:tcW w:w="637" w:type="pct"/>
            <w:noWrap/>
            <w:hideMark/>
          </w:tcPr>
          <w:p w14:paraId="10D643BA" w14:textId="77777777" w:rsidR="00E30483" w:rsidRPr="00172C39" w:rsidRDefault="00E30483" w:rsidP="00646664">
            <w:pPr>
              <w:pStyle w:val="NoSpacing"/>
              <w:jc w:val="center"/>
            </w:pPr>
            <w:r w:rsidRPr="00172C39">
              <w:t>n</w:t>
            </w:r>
          </w:p>
        </w:tc>
      </w:tr>
      <w:tr w:rsidR="00E30483" w:rsidRPr="00172C39" w14:paraId="21DB0A4C" w14:textId="77777777" w:rsidTr="007C1C18">
        <w:trPr>
          <w:trHeight w:val="300"/>
        </w:trPr>
        <w:tc>
          <w:tcPr>
            <w:tcW w:w="560" w:type="pct"/>
            <w:noWrap/>
            <w:hideMark/>
          </w:tcPr>
          <w:p w14:paraId="66F01642" w14:textId="77777777" w:rsidR="00E30483" w:rsidRPr="00172C39" w:rsidRDefault="00E30483" w:rsidP="00646664">
            <w:pPr>
              <w:pStyle w:val="NoSpacing"/>
            </w:pPr>
            <w:r w:rsidRPr="00172C39">
              <w:t>Thought Diary</w:t>
            </w:r>
          </w:p>
        </w:tc>
        <w:tc>
          <w:tcPr>
            <w:tcW w:w="585" w:type="pct"/>
          </w:tcPr>
          <w:p w14:paraId="2392C6FB" w14:textId="77777777" w:rsidR="00E30483" w:rsidRPr="00BF7226" w:rsidRDefault="00E30483" w:rsidP="00646664">
            <w:pPr>
              <w:pStyle w:val="NoSpacing"/>
            </w:pPr>
            <w:r w:rsidRPr="00BF7226">
              <w:t>Thought diary</w:t>
            </w:r>
          </w:p>
        </w:tc>
        <w:tc>
          <w:tcPr>
            <w:tcW w:w="606" w:type="pct"/>
            <w:noWrap/>
            <w:hideMark/>
          </w:tcPr>
          <w:p w14:paraId="50E85F54" w14:textId="77777777" w:rsidR="00E30483" w:rsidRPr="00172C39" w:rsidRDefault="00E30483" w:rsidP="00646664">
            <w:pPr>
              <w:pStyle w:val="NoSpacing"/>
            </w:pPr>
            <w:r w:rsidRPr="00172C39">
              <w:t>Paid for by end user</w:t>
            </w:r>
          </w:p>
        </w:tc>
        <w:tc>
          <w:tcPr>
            <w:tcW w:w="436" w:type="pct"/>
            <w:noWrap/>
            <w:hideMark/>
          </w:tcPr>
          <w:p w14:paraId="7D9DF2AD" w14:textId="77777777" w:rsidR="00E30483" w:rsidRPr="00172C39" w:rsidRDefault="00E30483" w:rsidP="00646664">
            <w:pPr>
              <w:pStyle w:val="NoSpacing"/>
              <w:jc w:val="center"/>
            </w:pPr>
            <w:r w:rsidRPr="00172C39">
              <w:t>p</w:t>
            </w:r>
          </w:p>
        </w:tc>
        <w:tc>
          <w:tcPr>
            <w:tcW w:w="841" w:type="pct"/>
            <w:noWrap/>
            <w:hideMark/>
          </w:tcPr>
          <w:p w14:paraId="2F73DCE5" w14:textId="77777777" w:rsidR="00E30483" w:rsidRPr="00172C39" w:rsidRDefault="00E30483" w:rsidP="00646664">
            <w:pPr>
              <w:pStyle w:val="NoSpacing"/>
              <w:jc w:val="center"/>
            </w:pPr>
            <w:r w:rsidRPr="00172C39">
              <w:t>1 (0.5%)</w:t>
            </w:r>
          </w:p>
        </w:tc>
        <w:tc>
          <w:tcPr>
            <w:tcW w:w="738" w:type="pct"/>
            <w:noWrap/>
            <w:hideMark/>
          </w:tcPr>
          <w:p w14:paraId="0AEE1563" w14:textId="77777777" w:rsidR="00E30483" w:rsidRPr="00172C39" w:rsidRDefault="00E30483" w:rsidP="00646664">
            <w:pPr>
              <w:pStyle w:val="NoSpacing"/>
              <w:jc w:val="center"/>
            </w:pPr>
            <w:r w:rsidRPr="00172C39">
              <w:t>0 (0%)</w:t>
            </w:r>
          </w:p>
        </w:tc>
        <w:tc>
          <w:tcPr>
            <w:tcW w:w="597" w:type="pct"/>
            <w:noWrap/>
            <w:hideMark/>
          </w:tcPr>
          <w:p w14:paraId="6AB7226C" w14:textId="77777777" w:rsidR="00E30483" w:rsidRPr="00172C39" w:rsidRDefault="00E30483" w:rsidP="00646664">
            <w:pPr>
              <w:pStyle w:val="NoSpacing"/>
              <w:jc w:val="center"/>
            </w:pPr>
            <w:r w:rsidRPr="00172C39">
              <w:t>n</w:t>
            </w:r>
          </w:p>
        </w:tc>
        <w:tc>
          <w:tcPr>
            <w:tcW w:w="637" w:type="pct"/>
            <w:noWrap/>
            <w:hideMark/>
          </w:tcPr>
          <w:p w14:paraId="0EB07090" w14:textId="77777777" w:rsidR="00E30483" w:rsidRPr="00172C39" w:rsidRDefault="00E30483" w:rsidP="00646664">
            <w:pPr>
              <w:pStyle w:val="NoSpacing"/>
              <w:jc w:val="center"/>
            </w:pPr>
            <w:r w:rsidRPr="00172C39">
              <w:t>n</w:t>
            </w:r>
          </w:p>
        </w:tc>
      </w:tr>
      <w:tr w:rsidR="00E30483" w:rsidRPr="00172C39" w14:paraId="56AB3A79" w14:textId="77777777" w:rsidTr="007C1C18">
        <w:trPr>
          <w:trHeight w:val="300"/>
        </w:trPr>
        <w:tc>
          <w:tcPr>
            <w:tcW w:w="560" w:type="pct"/>
            <w:noWrap/>
            <w:hideMark/>
          </w:tcPr>
          <w:p w14:paraId="6B26D21C" w14:textId="77777777" w:rsidR="00E30483" w:rsidRPr="00172C39" w:rsidRDefault="00E30483" w:rsidP="00646664">
            <w:pPr>
              <w:pStyle w:val="NoSpacing"/>
            </w:pPr>
            <w:r w:rsidRPr="00172C39">
              <w:t>Stay Alive</w:t>
            </w:r>
          </w:p>
        </w:tc>
        <w:tc>
          <w:tcPr>
            <w:tcW w:w="585" w:type="pct"/>
          </w:tcPr>
          <w:p w14:paraId="4B576778" w14:textId="77777777" w:rsidR="00E30483" w:rsidRPr="00BF7226" w:rsidRDefault="00E30483" w:rsidP="00646664">
            <w:pPr>
              <w:pStyle w:val="NoSpacing"/>
            </w:pPr>
            <w:r w:rsidRPr="00BF7226">
              <w:t>Tools to prevent suicide</w:t>
            </w:r>
          </w:p>
        </w:tc>
        <w:tc>
          <w:tcPr>
            <w:tcW w:w="606" w:type="pct"/>
            <w:noWrap/>
            <w:hideMark/>
          </w:tcPr>
          <w:p w14:paraId="732944A0" w14:textId="77777777" w:rsidR="00E30483" w:rsidRPr="00172C39" w:rsidRDefault="00E30483" w:rsidP="00646664">
            <w:pPr>
              <w:pStyle w:val="NoSpacing"/>
            </w:pPr>
            <w:r w:rsidRPr="00172C39">
              <w:t>Free to access</w:t>
            </w:r>
          </w:p>
        </w:tc>
        <w:tc>
          <w:tcPr>
            <w:tcW w:w="436" w:type="pct"/>
            <w:noWrap/>
            <w:hideMark/>
          </w:tcPr>
          <w:p w14:paraId="113AACC2" w14:textId="77777777" w:rsidR="00E30483" w:rsidRPr="00172C39" w:rsidRDefault="00E30483" w:rsidP="00646664">
            <w:pPr>
              <w:pStyle w:val="NoSpacing"/>
              <w:jc w:val="center"/>
            </w:pPr>
            <w:r w:rsidRPr="00172C39">
              <w:t>p</w:t>
            </w:r>
          </w:p>
        </w:tc>
        <w:tc>
          <w:tcPr>
            <w:tcW w:w="841" w:type="pct"/>
            <w:noWrap/>
            <w:hideMark/>
          </w:tcPr>
          <w:p w14:paraId="1302410E" w14:textId="77777777" w:rsidR="00E30483" w:rsidRPr="00172C39" w:rsidRDefault="00E30483" w:rsidP="00646664">
            <w:pPr>
              <w:pStyle w:val="NoSpacing"/>
              <w:jc w:val="center"/>
            </w:pPr>
            <w:r w:rsidRPr="00172C39">
              <w:t>1 (0.5%)</w:t>
            </w:r>
          </w:p>
        </w:tc>
        <w:tc>
          <w:tcPr>
            <w:tcW w:w="738" w:type="pct"/>
            <w:noWrap/>
            <w:hideMark/>
          </w:tcPr>
          <w:p w14:paraId="588680DD" w14:textId="77777777" w:rsidR="00E30483" w:rsidRPr="00172C39" w:rsidRDefault="00E30483" w:rsidP="00646664">
            <w:pPr>
              <w:pStyle w:val="NoSpacing"/>
              <w:jc w:val="center"/>
            </w:pPr>
            <w:r w:rsidRPr="00172C39">
              <w:t>1 (2.0%)</w:t>
            </w:r>
          </w:p>
        </w:tc>
        <w:tc>
          <w:tcPr>
            <w:tcW w:w="597" w:type="pct"/>
            <w:noWrap/>
            <w:hideMark/>
          </w:tcPr>
          <w:p w14:paraId="3B0A82C4" w14:textId="77777777" w:rsidR="00E30483" w:rsidRPr="00172C39" w:rsidRDefault="00E30483" w:rsidP="00646664">
            <w:pPr>
              <w:pStyle w:val="NoSpacing"/>
              <w:jc w:val="center"/>
            </w:pPr>
            <w:r w:rsidRPr="00172C39">
              <w:t>n</w:t>
            </w:r>
          </w:p>
        </w:tc>
        <w:tc>
          <w:tcPr>
            <w:tcW w:w="637" w:type="pct"/>
            <w:noWrap/>
            <w:hideMark/>
          </w:tcPr>
          <w:p w14:paraId="1D4762EF" w14:textId="77777777" w:rsidR="00E30483" w:rsidRPr="00172C39" w:rsidRDefault="00E30483" w:rsidP="00646664">
            <w:pPr>
              <w:pStyle w:val="NoSpacing"/>
              <w:jc w:val="center"/>
            </w:pPr>
            <w:r w:rsidRPr="00172C39">
              <w:t>n</w:t>
            </w:r>
          </w:p>
        </w:tc>
      </w:tr>
      <w:tr w:rsidR="00E30483" w:rsidRPr="00172C39" w14:paraId="432F6775" w14:textId="77777777" w:rsidTr="007C1C18">
        <w:trPr>
          <w:trHeight w:val="300"/>
        </w:trPr>
        <w:tc>
          <w:tcPr>
            <w:tcW w:w="560" w:type="pct"/>
            <w:noWrap/>
            <w:hideMark/>
          </w:tcPr>
          <w:p w14:paraId="01EF1106" w14:textId="77777777" w:rsidR="00E30483" w:rsidRPr="00172C39" w:rsidRDefault="00E30483" w:rsidP="00646664">
            <w:pPr>
              <w:pStyle w:val="NoSpacing"/>
            </w:pPr>
            <w:r w:rsidRPr="00172C39">
              <w:t>Take a break!</w:t>
            </w:r>
          </w:p>
        </w:tc>
        <w:tc>
          <w:tcPr>
            <w:tcW w:w="585" w:type="pct"/>
          </w:tcPr>
          <w:p w14:paraId="4B6CB738" w14:textId="77777777" w:rsidR="00E30483" w:rsidRPr="00BF7226" w:rsidRDefault="00E30483" w:rsidP="00646664">
            <w:pPr>
              <w:pStyle w:val="NoSpacing"/>
            </w:pPr>
            <w:r w:rsidRPr="00BF7226">
              <w:t>Meditation app</w:t>
            </w:r>
          </w:p>
        </w:tc>
        <w:tc>
          <w:tcPr>
            <w:tcW w:w="606" w:type="pct"/>
            <w:noWrap/>
            <w:hideMark/>
          </w:tcPr>
          <w:p w14:paraId="24BDC759" w14:textId="77777777" w:rsidR="00E30483" w:rsidRPr="00172C39" w:rsidRDefault="00E30483" w:rsidP="00646664">
            <w:pPr>
              <w:pStyle w:val="NoSpacing"/>
            </w:pPr>
            <w:r w:rsidRPr="00172C39">
              <w:t>Free to access</w:t>
            </w:r>
          </w:p>
        </w:tc>
        <w:tc>
          <w:tcPr>
            <w:tcW w:w="436" w:type="pct"/>
            <w:noWrap/>
            <w:hideMark/>
          </w:tcPr>
          <w:p w14:paraId="1F95704F" w14:textId="77777777" w:rsidR="00E30483" w:rsidRPr="00172C39" w:rsidRDefault="00E30483" w:rsidP="00646664">
            <w:pPr>
              <w:pStyle w:val="NoSpacing"/>
              <w:jc w:val="center"/>
            </w:pPr>
            <w:r w:rsidRPr="00172C39">
              <w:t>p</w:t>
            </w:r>
          </w:p>
        </w:tc>
        <w:tc>
          <w:tcPr>
            <w:tcW w:w="841" w:type="pct"/>
            <w:noWrap/>
            <w:hideMark/>
          </w:tcPr>
          <w:p w14:paraId="43024B69" w14:textId="77777777" w:rsidR="00E30483" w:rsidRPr="00172C39" w:rsidRDefault="00E30483" w:rsidP="00646664">
            <w:pPr>
              <w:pStyle w:val="NoSpacing"/>
              <w:jc w:val="center"/>
            </w:pPr>
            <w:r w:rsidRPr="00172C39">
              <w:t>1 (0.5%)</w:t>
            </w:r>
          </w:p>
        </w:tc>
        <w:tc>
          <w:tcPr>
            <w:tcW w:w="738" w:type="pct"/>
            <w:noWrap/>
            <w:hideMark/>
          </w:tcPr>
          <w:p w14:paraId="4A13C446" w14:textId="77777777" w:rsidR="00E30483" w:rsidRPr="00172C39" w:rsidRDefault="00E30483" w:rsidP="00646664">
            <w:pPr>
              <w:pStyle w:val="NoSpacing"/>
              <w:jc w:val="center"/>
            </w:pPr>
            <w:r w:rsidRPr="00172C39">
              <w:t>1 (2.0%)</w:t>
            </w:r>
          </w:p>
        </w:tc>
        <w:tc>
          <w:tcPr>
            <w:tcW w:w="597" w:type="pct"/>
            <w:noWrap/>
            <w:hideMark/>
          </w:tcPr>
          <w:p w14:paraId="735D960E" w14:textId="77777777" w:rsidR="00E30483" w:rsidRPr="00172C39" w:rsidRDefault="00E30483" w:rsidP="00646664">
            <w:pPr>
              <w:pStyle w:val="NoSpacing"/>
              <w:jc w:val="center"/>
            </w:pPr>
            <w:r w:rsidRPr="00172C39">
              <w:t>n</w:t>
            </w:r>
          </w:p>
        </w:tc>
        <w:tc>
          <w:tcPr>
            <w:tcW w:w="637" w:type="pct"/>
            <w:noWrap/>
            <w:hideMark/>
          </w:tcPr>
          <w:p w14:paraId="6852951D" w14:textId="77777777" w:rsidR="00E30483" w:rsidRPr="00172C39" w:rsidRDefault="00E30483" w:rsidP="00646664">
            <w:pPr>
              <w:pStyle w:val="NoSpacing"/>
              <w:jc w:val="center"/>
            </w:pPr>
            <w:r w:rsidRPr="00172C39">
              <w:t>n</w:t>
            </w:r>
          </w:p>
        </w:tc>
      </w:tr>
      <w:tr w:rsidR="00E30483" w:rsidRPr="00172C39" w14:paraId="1CF519F7" w14:textId="77777777" w:rsidTr="007C1C18">
        <w:trPr>
          <w:trHeight w:val="300"/>
        </w:trPr>
        <w:tc>
          <w:tcPr>
            <w:tcW w:w="560" w:type="pct"/>
            <w:noWrap/>
            <w:hideMark/>
          </w:tcPr>
          <w:p w14:paraId="0CA0B8E4" w14:textId="77777777" w:rsidR="00E30483" w:rsidRPr="00172C39" w:rsidRDefault="00E30483" w:rsidP="00646664">
            <w:pPr>
              <w:pStyle w:val="NoSpacing"/>
            </w:pPr>
            <w:proofErr w:type="spellStart"/>
            <w:r w:rsidRPr="00172C39">
              <w:t>Mindshift</w:t>
            </w:r>
            <w:proofErr w:type="spellEnd"/>
          </w:p>
        </w:tc>
        <w:tc>
          <w:tcPr>
            <w:tcW w:w="585" w:type="pct"/>
          </w:tcPr>
          <w:p w14:paraId="0CE1BDF3" w14:textId="77777777" w:rsidR="00E30483" w:rsidRPr="00BF7226" w:rsidRDefault="00E30483" w:rsidP="00646664">
            <w:pPr>
              <w:pStyle w:val="NoSpacing"/>
            </w:pPr>
            <w:r w:rsidRPr="00BF7226">
              <w:t>Tools to help with anxiety</w:t>
            </w:r>
          </w:p>
        </w:tc>
        <w:tc>
          <w:tcPr>
            <w:tcW w:w="606" w:type="pct"/>
            <w:noWrap/>
            <w:hideMark/>
          </w:tcPr>
          <w:p w14:paraId="4B40D2D1" w14:textId="77777777" w:rsidR="00E30483" w:rsidRPr="00172C39" w:rsidRDefault="00E30483" w:rsidP="00646664">
            <w:pPr>
              <w:pStyle w:val="NoSpacing"/>
            </w:pPr>
            <w:r w:rsidRPr="00172C39">
              <w:t>Free to access</w:t>
            </w:r>
          </w:p>
        </w:tc>
        <w:tc>
          <w:tcPr>
            <w:tcW w:w="436" w:type="pct"/>
            <w:noWrap/>
            <w:hideMark/>
          </w:tcPr>
          <w:p w14:paraId="10E476F8" w14:textId="77777777" w:rsidR="00E30483" w:rsidRPr="00172C39" w:rsidRDefault="00E30483" w:rsidP="00646664">
            <w:pPr>
              <w:pStyle w:val="NoSpacing"/>
              <w:jc w:val="center"/>
            </w:pPr>
            <w:r w:rsidRPr="00172C39">
              <w:t>p</w:t>
            </w:r>
          </w:p>
        </w:tc>
        <w:tc>
          <w:tcPr>
            <w:tcW w:w="841" w:type="pct"/>
            <w:noWrap/>
            <w:hideMark/>
          </w:tcPr>
          <w:p w14:paraId="27B4AFCF" w14:textId="77777777" w:rsidR="00E30483" w:rsidRPr="00172C39" w:rsidRDefault="00E30483" w:rsidP="00646664">
            <w:pPr>
              <w:pStyle w:val="NoSpacing"/>
              <w:jc w:val="center"/>
            </w:pPr>
            <w:r w:rsidRPr="00172C39">
              <w:t>1 (0.5%)</w:t>
            </w:r>
          </w:p>
        </w:tc>
        <w:tc>
          <w:tcPr>
            <w:tcW w:w="738" w:type="pct"/>
            <w:noWrap/>
            <w:hideMark/>
          </w:tcPr>
          <w:p w14:paraId="59C95604" w14:textId="77777777" w:rsidR="00E30483" w:rsidRPr="00172C39" w:rsidRDefault="00E30483" w:rsidP="00646664">
            <w:pPr>
              <w:pStyle w:val="NoSpacing"/>
              <w:jc w:val="center"/>
            </w:pPr>
            <w:r w:rsidRPr="00172C39">
              <w:t>0 (0%)</w:t>
            </w:r>
          </w:p>
        </w:tc>
        <w:tc>
          <w:tcPr>
            <w:tcW w:w="597" w:type="pct"/>
            <w:noWrap/>
            <w:hideMark/>
          </w:tcPr>
          <w:p w14:paraId="1BF5ABAD" w14:textId="77777777" w:rsidR="00E30483" w:rsidRPr="00172C39" w:rsidRDefault="00E30483" w:rsidP="00646664">
            <w:pPr>
              <w:pStyle w:val="NoSpacing"/>
              <w:jc w:val="center"/>
            </w:pPr>
            <w:r w:rsidRPr="00172C39">
              <w:t>n</w:t>
            </w:r>
          </w:p>
        </w:tc>
        <w:tc>
          <w:tcPr>
            <w:tcW w:w="637" w:type="pct"/>
            <w:noWrap/>
            <w:hideMark/>
          </w:tcPr>
          <w:p w14:paraId="3AC7C59E" w14:textId="77777777" w:rsidR="00E30483" w:rsidRPr="00172C39" w:rsidRDefault="00E30483" w:rsidP="00646664">
            <w:pPr>
              <w:pStyle w:val="NoSpacing"/>
              <w:jc w:val="center"/>
            </w:pPr>
            <w:r w:rsidRPr="00172C39">
              <w:t>n</w:t>
            </w:r>
          </w:p>
        </w:tc>
      </w:tr>
      <w:tr w:rsidR="00E30483" w:rsidRPr="00172C39" w14:paraId="30EFFDC0" w14:textId="77777777" w:rsidTr="007C1C18">
        <w:trPr>
          <w:trHeight w:val="300"/>
        </w:trPr>
        <w:tc>
          <w:tcPr>
            <w:tcW w:w="560" w:type="pct"/>
            <w:noWrap/>
            <w:hideMark/>
          </w:tcPr>
          <w:p w14:paraId="01F1CADD" w14:textId="77777777" w:rsidR="00E30483" w:rsidRPr="00172C39" w:rsidRDefault="00E30483" w:rsidP="00646664">
            <w:pPr>
              <w:pStyle w:val="NoSpacing"/>
            </w:pPr>
            <w:proofErr w:type="spellStart"/>
            <w:r w:rsidRPr="00172C39">
              <w:t>Moodscope</w:t>
            </w:r>
            <w:proofErr w:type="spellEnd"/>
          </w:p>
        </w:tc>
        <w:tc>
          <w:tcPr>
            <w:tcW w:w="585" w:type="pct"/>
          </w:tcPr>
          <w:p w14:paraId="34002141" w14:textId="77777777" w:rsidR="00E30483" w:rsidRPr="00BF7226" w:rsidRDefault="00E30483" w:rsidP="00646664">
            <w:pPr>
              <w:pStyle w:val="NoSpacing"/>
            </w:pPr>
            <w:r w:rsidRPr="00BF7226">
              <w:t>Tool to monitor mood</w:t>
            </w:r>
          </w:p>
        </w:tc>
        <w:tc>
          <w:tcPr>
            <w:tcW w:w="606" w:type="pct"/>
            <w:noWrap/>
            <w:hideMark/>
          </w:tcPr>
          <w:p w14:paraId="04089176" w14:textId="77777777" w:rsidR="00E30483" w:rsidRPr="00172C39" w:rsidRDefault="00E30483" w:rsidP="00646664">
            <w:pPr>
              <w:pStyle w:val="NoSpacing"/>
            </w:pPr>
            <w:r w:rsidRPr="00172C39">
              <w:t xml:space="preserve">Free to access, stepped payment </w:t>
            </w:r>
          </w:p>
        </w:tc>
        <w:tc>
          <w:tcPr>
            <w:tcW w:w="436" w:type="pct"/>
            <w:noWrap/>
            <w:hideMark/>
          </w:tcPr>
          <w:p w14:paraId="57C113FD" w14:textId="77777777" w:rsidR="00E30483" w:rsidRPr="00172C39" w:rsidRDefault="00E30483" w:rsidP="00646664">
            <w:pPr>
              <w:pStyle w:val="NoSpacing"/>
              <w:jc w:val="center"/>
            </w:pPr>
            <w:r w:rsidRPr="00172C39">
              <w:t>w</w:t>
            </w:r>
          </w:p>
        </w:tc>
        <w:tc>
          <w:tcPr>
            <w:tcW w:w="841" w:type="pct"/>
            <w:noWrap/>
            <w:hideMark/>
          </w:tcPr>
          <w:p w14:paraId="2528ACA0" w14:textId="77777777" w:rsidR="00E30483" w:rsidRPr="00172C39" w:rsidRDefault="00E30483" w:rsidP="00646664">
            <w:pPr>
              <w:pStyle w:val="NoSpacing"/>
              <w:jc w:val="center"/>
            </w:pPr>
            <w:r w:rsidRPr="00172C39">
              <w:t>1 (0.5%)</w:t>
            </w:r>
          </w:p>
        </w:tc>
        <w:tc>
          <w:tcPr>
            <w:tcW w:w="738" w:type="pct"/>
            <w:noWrap/>
            <w:hideMark/>
          </w:tcPr>
          <w:p w14:paraId="24733631" w14:textId="77777777" w:rsidR="00E30483" w:rsidRPr="00172C39" w:rsidRDefault="00E30483" w:rsidP="00646664">
            <w:pPr>
              <w:pStyle w:val="NoSpacing"/>
              <w:jc w:val="center"/>
            </w:pPr>
            <w:r w:rsidRPr="00172C39">
              <w:t>1 (2.0%)</w:t>
            </w:r>
          </w:p>
        </w:tc>
        <w:tc>
          <w:tcPr>
            <w:tcW w:w="597" w:type="pct"/>
            <w:noWrap/>
            <w:hideMark/>
          </w:tcPr>
          <w:p w14:paraId="72F2B4E3" w14:textId="77777777" w:rsidR="00E30483" w:rsidRPr="00172C39" w:rsidRDefault="00E30483" w:rsidP="00646664">
            <w:pPr>
              <w:pStyle w:val="NoSpacing"/>
              <w:jc w:val="center"/>
            </w:pPr>
            <w:r w:rsidRPr="00172C39">
              <w:t>y</w:t>
            </w:r>
          </w:p>
        </w:tc>
        <w:tc>
          <w:tcPr>
            <w:tcW w:w="637" w:type="pct"/>
            <w:noWrap/>
            <w:hideMark/>
          </w:tcPr>
          <w:p w14:paraId="6412666B" w14:textId="77777777" w:rsidR="00E30483" w:rsidRPr="00172C39" w:rsidRDefault="00E30483" w:rsidP="00646664">
            <w:pPr>
              <w:pStyle w:val="NoSpacing"/>
              <w:jc w:val="center"/>
            </w:pPr>
            <w:r w:rsidRPr="00172C39">
              <w:t>n</w:t>
            </w:r>
          </w:p>
        </w:tc>
      </w:tr>
      <w:tr w:rsidR="00E30483" w:rsidRPr="00172C39" w14:paraId="4D47B80A" w14:textId="77777777" w:rsidTr="007C1C18">
        <w:trPr>
          <w:trHeight w:val="300"/>
        </w:trPr>
        <w:tc>
          <w:tcPr>
            <w:tcW w:w="560" w:type="pct"/>
            <w:noWrap/>
            <w:hideMark/>
          </w:tcPr>
          <w:p w14:paraId="01E6714A" w14:textId="77777777" w:rsidR="00E30483" w:rsidRPr="00172C39" w:rsidRDefault="00E30483" w:rsidP="00646664">
            <w:pPr>
              <w:pStyle w:val="NoSpacing"/>
            </w:pPr>
            <w:proofErr w:type="spellStart"/>
            <w:r w:rsidRPr="00172C39">
              <w:t>DigitalMeds</w:t>
            </w:r>
            <w:proofErr w:type="spellEnd"/>
          </w:p>
        </w:tc>
        <w:tc>
          <w:tcPr>
            <w:tcW w:w="585" w:type="pct"/>
          </w:tcPr>
          <w:p w14:paraId="0094E2C0" w14:textId="77777777" w:rsidR="00E30483" w:rsidRPr="00BF7226" w:rsidRDefault="00E30483" w:rsidP="00646664">
            <w:pPr>
              <w:pStyle w:val="NoSpacing"/>
            </w:pPr>
            <w:r w:rsidRPr="00BF7226">
              <w:t>Binaural Beat technology for meditation</w:t>
            </w:r>
          </w:p>
        </w:tc>
        <w:tc>
          <w:tcPr>
            <w:tcW w:w="606" w:type="pct"/>
            <w:noWrap/>
            <w:hideMark/>
          </w:tcPr>
          <w:p w14:paraId="6ACBA270" w14:textId="77777777" w:rsidR="00E30483" w:rsidRPr="00172C39" w:rsidRDefault="00E30483" w:rsidP="00646664">
            <w:pPr>
              <w:pStyle w:val="NoSpacing"/>
            </w:pPr>
            <w:r w:rsidRPr="00172C39">
              <w:t>Paid for by end user</w:t>
            </w:r>
          </w:p>
        </w:tc>
        <w:tc>
          <w:tcPr>
            <w:tcW w:w="436" w:type="pct"/>
            <w:noWrap/>
            <w:hideMark/>
          </w:tcPr>
          <w:p w14:paraId="2123867D" w14:textId="77777777" w:rsidR="00E30483" w:rsidRPr="00172C39" w:rsidRDefault="00E30483" w:rsidP="00646664">
            <w:pPr>
              <w:pStyle w:val="NoSpacing"/>
              <w:jc w:val="center"/>
            </w:pPr>
            <w:r w:rsidRPr="00172C39">
              <w:t>p</w:t>
            </w:r>
          </w:p>
        </w:tc>
        <w:tc>
          <w:tcPr>
            <w:tcW w:w="841" w:type="pct"/>
            <w:noWrap/>
            <w:hideMark/>
          </w:tcPr>
          <w:p w14:paraId="6AEB2E1E" w14:textId="77777777" w:rsidR="00E30483" w:rsidRPr="00172C39" w:rsidRDefault="00E30483" w:rsidP="00646664">
            <w:pPr>
              <w:pStyle w:val="NoSpacing"/>
              <w:jc w:val="center"/>
            </w:pPr>
            <w:r w:rsidRPr="00172C39">
              <w:t>0 (0%)</w:t>
            </w:r>
          </w:p>
        </w:tc>
        <w:tc>
          <w:tcPr>
            <w:tcW w:w="738" w:type="pct"/>
            <w:noWrap/>
            <w:hideMark/>
          </w:tcPr>
          <w:p w14:paraId="5B552464" w14:textId="77777777" w:rsidR="00E30483" w:rsidRPr="00172C39" w:rsidRDefault="00E30483" w:rsidP="00646664">
            <w:pPr>
              <w:pStyle w:val="NoSpacing"/>
              <w:jc w:val="center"/>
            </w:pPr>
            <w:r w:rsidRPr="00172C39">
              <w:t>0 (0%)</w:t>
            </w:r>
          </w:p>
        </w:tc>
        <w:tc>
          <w:tcPr>
            <w:tcW w:w="597" w:type="pct"/>
            <w:noWrap/>
            <w:hideMark/>
          </w:tcPr>
          <w:p w14:paraId="6C61F4F4" w14:textId="77777777" w:rsidR="00E30483" w:rsidRPr="00172C39" w:rsidRDefault="00E30483" w:rsidP="00646664">
            <w:pPr>
              <w:pStyle w:val="NoSpacing"/>
              <w:jc w:val="center"/>
            </w:pPr>
            <w:r w:rsidRPr="00172C39">
              <w:t>y</w:t>
            </w:r>
          </w:p>
        </w:tc>
        <w:tc>
          <w:tcPr>
            <w:tcW w:w="637" w:type="pct"/>
            <w:noWrap/>
            <w:hideMark/>
          </w:tcPr>
          <w:p w14:paraId="04FF32AD" w14:textId="77777777" w:rsidR="00E30483" w:rsidRPr="00172C39" w:rsidRDefault="00E30483" w:rsidP="00646664">
            <w:pPr>
              <w:pStyle w:val="NoSpacing"/>
              <w:jc w:val="center"/>
            </w:pPr>
            <w:r w:rsidRPr="00172C39">
              <w:t>n</w:t>
            </w:r>
          </w:p>
        </w:tc>
      </w:tr>
      <w:tr w:rsidR="00E30483" w:rsidRPr="00172C39" w14:paraId="4E433A71" w14:textId="77777777" w:rsidTr="007C1C18">
        <w:trPr>
          <w:trHeight w:val="300"/>
        </w:trPr>
        <w:tc>
          <w:tcPr>
            <w:tcW w:w="560" w:type="pct"/>
            <w:noWrap/>
            <w:hideMark/>
          </w:tcPr>
          <w:p w14:paraId="536C4361" w14:textId="77777777" w:rsidR="00E30483" w:rsidRPr="00172C39" w:rsidRDefault="00E30483" w:rsidP="00646664">
            <w:pPr>
              <w:pStyle w:val="NoSpacing"/>
            </w:pPr>
            <w:r w:rsidRPr="00172C39">
              <w:t>How Are You App</w:t>
            </w:r>
          </w:p>
        </w:tc>
        <w:tc>
          <w:tcPr>
            <w:tcW w:w="585" w:type="pct"/>
          </w:tcPr>
          <w:p w14:paraId="7B61C1B7" w14:textId="77777777" w:rsidR="00E30483" w:rsidRPr="00BF7226" w:rsidRDefault="00E30483" w:rsidP="00646664">
            <w:pPr>
              <w:pStyle w:val="NoSpacing"/>
            </w:pPr>
            <w:r w:rsidRPr="00BF7226">
              <w:t>Mood tracker</w:t>
            </w:r>
          </w:p>
        </w:tc>
        <w:tc>
          <w:tcPr>
            <w:tcW w:w="606" w:type="pct"/>
            <w:noWrap/>
            <w:hideMark/>
          </w:tcPr>
          <w:p w14:paraId="705195BE" w14:textId="77777777" w:rsidR="00E30483" w:rsidRPr="00172C39" w:rsidRDefault="00E30483" w:rsidP="00646664">
            <w:pPr>
              <w:pStyle w:val="NoSpacing"/>
            </w:pPr>
            <w:r w:rsidRPr="00172C39">
              <w:t>Paid for by end user</w:t>
            </w:r>
          </w:p>
        </w:tc>
        <w:tc>
          <w:tcPr>
            <w:tcW w:w="436" w:type="pct"/>
            <w:noWrap/>
            <w:hideMark/>
          </w:tcPr>
          <w:p w14:paraId="04EA9B6E" w14:textId="77777777" w:rsidR="00E30483" w:rsidRPr="00172C39" w:rsidRDefault="00E30483" w:rsidP="00646664">
            <w:pPr>
              <w:pStyle w:val="NoSpacing"/>
              <w:jc w:val="center"/>
            </w:pPr>
            <w:r w:rsidRPr="00172C39">
              <w:t>p</w:t>
            </w:r>
          </w:p>
        </w:tc>
        <w:tc>
          <w:tcPr>
            <w:tcW w:w="841" w:type="pct"/>
            <w:noWrap/>
            <w:hideMark/>
          </w:tcPr>
          <w:p w14:paraId="375972C0" w14:textId="77777777" w:rsidR="00E30483" w:rsidRPr="00172C39" w:rsidRDefault="00E30483" w:rsidP="00646664">
            <w:pPr>
              <w:pStyle w:val="NoSpacing"/>
              <w:jc w:val="center"/>
            </w:pPr>
            <w:r w:rsidRPr="00172C39">
              <w:t>0 (0%)</w:t>
            </w:r>
          </w:p>
        </w:tc>
        <w:tc>
          <w:tcPr>
            <w:tcW w:w="738" w:type="pct"/>
            <w:noWrap/>
            <w:hideMark/>
          </w:tcPr>
          <w:p w14:paraId="7D93F488" w14:textId="77777777" w:rsidR="00E30483" w:rsidRPr="00172C39" w:rsidRDefault="00E30483" w:rsidP="00646664">
            <w:pPr>
              <w:pStyle w:val="NoSpacing"/>
              <w:jc w:val="center"/>
            </w:pPr>
            <w:r w:rsidRPr="00172C39">
              <w:t>0 (0%)</w:t>
            </w:r>
          </w:p>
        </w:tc>
        <w:tc>
          <w:tcPr>
            <w:tcW w:w="597" w:type="pct"/>
            <w:noWrap/>
            <w:hideMark/>
          </w:tcPr>
          <w:p w14:paraId="3018FBDF" w14:textId="77777777" w:rsidR="00E30483" w:rsidRPr="00172C39" w:rsidRDefault="00E30483" w:rsidP="00646664">
            <w:pPr>
              <w:pStyle w:val="NoSpacing"/>
              <w:jc w:val="center"/>
            </w:pPr>
            <w:r w:rsidRPr="00172C39">
              <w:t>y</w:t>
            </w:r>
          </w:p>
        </w:tc>
        <w:tc>
          <w:tcPr>
            <w:tcW w:w="637" w:type="pct"/>
            <w:noWrap/>
            <w:hideMark/>
          </w:tcPr>
          <w:p w14:paraId="4983543B" w14:textId="77777777" w:rsidR="00E30483" w:rsidRPr="00172C39" w:rsidRDefault="00E30483" w:rsidP="00646664">
            <w:pPr>
              <w:pStyle w:val="NoSpacing"/>
              <w:jc w:val="center"/>
            </w:pPr>
            <w:r w:rsidRPr="00172C39">
              <w:t>n</w:t>
            </w:r>
          </w:p>
        </w:tc>
      </w:tr>
      <w:tr w:rsidR="00E30483" w:rsidRPr="00172C39" w14:paraId="4B5104A9" w14:textId="77777777" w:rsidTr="007C1C18">
        <w:trPr>
          <w:trHeight w:val="300"/>
        </w:trPr>
        <w:tc>
          <w:tcPr>
            <w:tcW w:w="560" w:type="pct"/>
            <w:noWrap/>
            <w:hideMark/>
          </w:tcPr>
          <w:p w14:paraId="0425E72F" w14:textId="77777777" w:rsidR="00E30483" w:rsidRPr="00172C39" w:rsidRDefault="00E30483" w:rsidP="00646664">
            <w:pPr>
              <w:pStyle w:val="NoSpacing"/>
            </w:pPr>
            <w:r w:rsidRPr="00172C39">
              <w:t xml:space="preserve">Mindfulness by </w:t>
            </w:r>
            <w:proofErr w:type="spellStart"/>
            <w:r w:rsidRPr="00172C39">
              <w:t>Digipill</w:t>
            </w:r>
            <w:proofErr w:type="spellEnd"/>
          </w:p>
        </w:tc>
        <w:tc>
          <w:tcPr>
            <w:tcW w:w="585" w:type="pct"/>
          </w:tcPr>
          <w:p w14:paraId="3D22994B" w14:textId="77777777" w:rsidR="00E30483" w:rsidRPr="00BF7226" w:rsidRDefault="00E30483" w:rsidP="00646664">
            <w:pPr>
              <w:pStyle w:val="NoSpacing"/>
            </w:pPr>
            <w:r w:rsidRPr="00BF7226">
              <w:t>Meditation</w:t>
            </w:r>
          </w:p>
        </w:tc>
        <w:tc>
          <w:tcPr>
            <w:tcW w:w="606" w:type="pct"/>
            <w:noWrap/>
            <w:hideMark/>
          </w:tcPr>
          <w:p w14:paraId="735F93F5" w14:textId="77777777" w:rsidR="00E30483" w:rsidRPr="00172C39" w:rsidRDefault="00E30483" w:rsidP="00646664">
            <w:pPr>
              <w:pStyle w:val="NoSpacing"/>
            </w:pPr>
            <w:r w:rsidRPr="00172C39">
              <w:t>Paid for by end user</w:t>
            </w:r>
          </w:p>
        </w:tc>
        <w:tc>
          <w:tcPr>
            <w:tcW w:w="436" w:type="pct"/>
            <w:noWrap/>
            <w:hideMark/>
          </w:tcPr>
          <w:p w14:paraId="34BC034F" w14:textId="77777777" w:rsidR="00E30483" w:rsidRPr="00172C39" w:rsidRDefault="00E30483" w:rsidP="00646664">
            <w:pPr>
              <w:pStyle w:val="NoSpacing"/>
              <w:jc w:val="center"/>
            </w:pPr>
            <w:r w:rsidRPr="00172C39">
              <w:t>p</w:t>
            </w:r>
          </w:p>
        </w:tc>
        <w:tc>
          <w:tcPr>
            <w:tcW w:w="841" w:type="pct"/>
            <w:noWrap/>
            <w:hideMark/>
          </w:tcPr>
          <w:p w14:paraId="2BD7B75B" w14:textId="77777777" w:rsidR="00E30483" w:rsidRPr="00172C39" w:rsidRDefault="00E30483" w:rsidP="00646664">
            <w:pPr>
              <w:pStyle w:val="NoSpacing"/>
              <w:jc w:val="center"/>
            </w:pPr>
            <w:r w:rsidRPr="00172C39">
              <w:t>0 (0%)</w:t>
            </w:r>
          </w:p>
        </w:tc>
        <w:tc>
          <w:tcPr>
            <w:tcW w:w="738" w:type="pct"/>
            <w:noWrap/>
            <w:hideMark/>
          </w:tcPr>
          <w:p w14:paraId="0DA1E6BE" w14:textId="77777777" w:rsidR="00E30483" w:rsidRPr="00172C39" w:rsidRDefault="00E30483" w:rsidP="00646664">
            <w:pPr>
              <w:pStyle w:val="NoSpacing"/>
              <w:jc w:val="center"/>
            </w:pPr>
            <w:r w:rsidRPr="00172C39">
              <w:t>0 (0%)</w:t>
            </w:r>
          </w:p>
        </w:tc>
        <w:tc>
          <w:tcPr>
            <w:tcW w:w="597" w:type="pct"/>
            <w:noWrap/>
            <w:hideMark/>
          </w:tcPr>
          <w:p w14:paraId="171DC1D8" w14:textId="77777777" w:rsidR="00E30483" w:rsidRPr="00172C39" w:rsidRDefault="00E30483" w:rsidP="00646664">
            <w:pPr>
              <w:pStyle w:val="NoSpacing"/>
              <w:jc w:val="center"/>
            </w:pPr>
            <w:r w:rsidRPr="00172C39">
              <w:t>y</w:t>
            </w:r>
          </w:p>
        </w:tc>
        <w:tc>
          <w:tcPr>
            <w:tcW w:w="637" w:type="pct"/>
            <w:noWrap/>
            <w:hideMark/>
          </w:tcPr>
          <w:p w14:paraId="6BA2457F" w14:textId="77777777" w:rsidR="00E30483" w:rsidRPr="00172C39" w:rsidRDefault="00E30483" w:rsidP="00646664">
            <w:pPr>
              <w:pStyle w:val="NoSpacing"/>
              <w:jc w:val="center"/>
            </w:pPr>
            <w:r w:rsidRPr="00172C39">
              <w:t>n</w:t>
            </w:r>
          </w:p>
        </w:tc>
      </w:tr>
      <w:tr w:rsidR="00E30483" w:rsidRPr="00172C39" w14:paraId="7B6D313A" w14:textId="77777777" w:rsidTr="007C1C18">
        <w:trPr>
          <w:trHeight w:val="300"/>
        </w:trPr>
        <w:tc>
          <w:tcPr>
            <w:tcW w:w="560" w:type="pct"/>
            <w:noWrap/>
            <w:hideMark/>
          </w:tcPr>
          <w:p w14:paraId="7E2C940B" w14:textId="77777777" w:rsidR="00E30483" w:rsidRPr="00172C39" w:rsidRDefault="00E30483" w:rsidP="00646664">
            <w:pPr>
              <w:pStyle w:val="NoSpacing"/>
            </w:pPr>
            <w:proofErr w:type="spellStart"/>
            <w:r w:rsidRPr="00172C39">
              <w:t>Mindlogr</w:t>
            </w:r>
            <w:proofErr w:type="spellEnd"/>
          </w:p>
        </w:tc>
        <w:tc>
          <w:tcPr>
            <w:tcW w:w="585" w:type="pct"/>
          </w:tcPr>
          <w:p w14:paraId="0F38633C" w14:textId="77777777" w:rsidR="00E30483" w:rsidRPr="00BF7226" w:rsidRDefault="00E30483" w:rsidP="00646664">
            <w:pPr>
              <w:pStyle w:val="NoSpacing"/>
            </w:pPr>
            <w:r w:rsidRPr="00BF7226">
              <w:t>Video journal</w:t>
            </w:r>
          </w:p>
        </w:tc>
        <w:tc>
          <w:tcPr>
            <w:tcW w:w="606" w:type="pct"/>
            <w:noWrap/>
            <w:hideMark/>
          </w:tcPr>
          <w:p w14:paraId="0143A461" w14:textId="77777777" w:rsidR="00E30483" w:rsidRPr="00172C39" w:rsidRDefault="00E30483" w:rsidP="00646664">
            <w:pPr>
              <w:pStyle w:val="NoSpacing"/>
            </w:pPr>
            <w:r w:rsidRPr="00172C39">
              <w:t>Paid for by end user</w:t>
            </w:r>
          </w:p>
        </w:tc>
        <w:tc>
          <w:tcPr>
            <w:tcW w:w="436" w:type="pct"/>
            <w:noWrap/>
            <w:hideMark/>
          </w:tcPr>
          <w:p w14:paraId="1B05DDD4" w14:textId="77777777" w:rsidR="00E30483" w:rsidRPr="00172C39" w:rsidRDefault="00E30483" w:rsidP="00646664">
            <w:pPr>
              <w:pStyle w:val="NoSpacing"/>
              <w:jc w:val="center"/>
            </w:pPr>
            <w:r w:rsidRPr="00172C39">
              <w:t>p</w:t>
            </w:r>
          </w:p>
        </w:tc>
        <w:tc>
          <w:tcPr>
            <w:tcW w:w="841" w:type="pct"/>
            <w:noWrap/>
            <w:hideMark/>
          </w:tcPr>
          <w:p w14:paraId="4B1BD785" w14:textId="77777777" w:rsidR="00E30483" w:rsidRPr="00172C39" w:rsidRDefault="00E30483" w:rsidP="00646664">
            <w:pPr>
              <w:pStyle w:val="NoSpacing"/>
              <w:jc w:val="center"/>
            </w:pPr>
            <w:r w:rsidRPr="00172C39">
              <w:t>0 (0%)</w:t>
            </w:r>
          </w:p>
        </w:tc>
        <w:tc>
          <w:tcPr>
            <w:tcW w:w="738" w:type="pct"/>
            <w:noWrap/>
            <w:hideMark/>
          </w:tcPr>
          <w:p w14:paraId="0627F5EE" w14:textId="77777777" w:rsidR="00E30483" w:rsidRPr="00172C39" w:rsidRDefault="00E30483" w:rsidP="00646664">
            <w:pPr>
              <w:pStyle w:val="NoSpacing"/>
              <w:jc w:val="center"/>
            </w:pPr>
            <w:r w:rsidRPr="00172C39">
              <w:t>0 (0%)</w:t>
            </w:r>
          </w:p>
        </w:tc>
        <w:tc>
          <w:tcPr>
            <w:tcW w:w="597" w:type="pct"/>
            <w:noWrap/>
            <w:hideMark/>
          </w:tcPr>
          <w:p w14:paraId="461256C5" w14:textId="77777777" w:rsidR="00E30483" w:rsidRPr="00172C39" w:rsidRDefault="00E30483" w:rsidP="00646664">
            <w:pPr>
              <w:pStyle w:val="NoSpacing"/>
              <w:jc w:val="center"/>
            </w:pPr>
            <w:r w:rsidRPr="00172C39">
              <w:t>y</w:t>
            </w:r>
          </w:p>
        </w:tc>
        <w:tc>
          <w:tcPr>
            <w:tcW w:w="637" w:type="pct"/>
            <w:noWrap/>
            <w:hideMark/>
          </w:tcPr>
          <w:p w14:paraId="48979CF5" w14:textId="77777777" w:rsidR="00E30483" w:rsidRPr="00172C39" w:rsidRDefault="00E30483" w:rsidP="00646664">
            <w:pPr>
              <w:pStyle w:val="NoSpacing"/>
              <w:jc w:val="center"/>
            </w:pPr>
            <w:r w:rsidRPr="00172C39">
              <w:t>n</w:t>
            </w:r>
          </w:p>
        </w:tc>
      </w:tr>
      <w:tr w:rsidR="00E30483" w:rsidRPr="00172C39" w14:paraId="3AD82961" w14:textId="77777777" w:rsidTr="007C1C18">
        <w:trPr>
          <w:trHeight w:val="300"/>
        </w:trPr>
        <w:tc>
          <w:tcPr>
            <w:tcW w:w="560" w:type="pct"/>
            <w:noWrap/>
            <w:hideMark/>
          </w:tcPr>
          <w:p w14:paraId="27067030" w14:textId="77777777" w:rsidR="00E30483" w:rsidRPr="00172C39" w:rsidRDefault="00E30483" w:rsidP="00646664">
            <w:pPr>
              <w:pStyle w:val="NoSpacing"/>
            </w:pPr>
            <w:r w:rsidRPr="00172C39">
              <w:t>Panic Attack Aid</w:t>
            </w:r>
          </w:p>
        </w:tc>
        <w:tc>
          <w:tcPr>
            <w:tcW w:w="585" w:type="pct"/>
          </w:tcPr>
          <w:p w14:paraId="3D0AAD7D" w14:textId="77777777" w:rsidR="00E30483" w:rsidRPr="00BF7226" w:rsidRDefault="00E30483" w:rsidP="00646664">
            <w:pPr>
              <w:pStyle w:val="NoSpacing"/>
            </w:pPr>
            <w:r w:rsidRPr="00BF7226">
              <w:t>Tools to help with panic attacks</w:t>
            </w:r>
          </w:p>
        </w:tc>
        <w:tc>
          <w:tcPr>
            <w:tcW w:w="606" w:type="pct"/>
            <w:noWrap/>
            <w:hideMark/>
          </w:tcPr>
          <w:p w14:paraId="5DAE7C42" w14:textId="77777777" w:rsidR="00E30483" w:rsidRPr="00172C39" w:rsidRDefault="00E30483" w:rsidP="00646664">
            <w:pPr>
              <w:pStyle w:val="NoSpacing"/>
            </w:pPr>
            <w:r w:rsidRPr="00172C39">
              <w:t>Paid for by end user</w:t>
            </w:r>
          </w:p>
        </w:tc>
        <w:tc>
          <w:tcPr>
            <w:tcW w:w="436" w:type="pct"/>
            <w:noWrap/>
            <w:hideMark/>
          </w:tcPr>
          <w:p w14:paraId="09E1E6BE" w14:textId="77777777" w:rsidR="00E30483" w:rsidRPr="00172C39" w:rsidRDefault="00E30483" w:rsidP="00646664">
            <w:pPr>
              <w:pStyle w:val="NoSpacing"/>
              <w:jc w:val="center"/>
            </w:pPr>
            <w:r w:rsidRPr="00172C39">
              <w:t>p</w:t>
            </w:r>
          </w:p>
        </w:tc>
        <w:tc>
          <w:tcPr>
            <w:tcW w:w="841" w:type="pct"/>
            <w:noWrap/>
            <w:hideMark/>
          </w:tcPr>
          <w:p w14:paraId="3A5DB6AE" w14:textId="77777777" w:rsidR="00E30483" w:rsidRPr="00172C39" w:rsidRDefault="00E30483" w:rsidP="00646664">
            <w:pPr>
              <w:pStyle w:val="NoSpacing"/>
              <w:jc w:val="center"/>
            </w:pPr>
            <w:r w:rsidRPr="00172C39">
              <w:t>0 (0%)</w:t>
            </w:r>
          </w:p>
        </w:tc>
        <w:tc>
          <w:tcPr>
            <w:tcW w:w="738" w:type="pct"/>
            <w:noWrap/>
            <w:hideMark/>
          </w:tcPr>
          <w:p w14:paraId="3835F8C5" w14:textId="77777777" w:rsidR="00E30483" w:rsidRPr="00172C39" w:rsidRDefault="00E30483" w:rsidP="00646664">
            <w:pPr>
              <w:pStyle w:val="NoSpacing"/>
              <w:jc w:val="center"/>
            </w:pPr>
            <w:r w:rsidRPr="00172C39">
              <w:t>0 (0%)</w:t>
            </w:r>
          </w:p>
        </w:tc>
        <w:tc>
          <w:tcPr>
            <w:tcW w:w="597" w:type="pct"/>
            <w:noWrap/>
            <w:hideMark/>
          </w:tcPr>
          <w:p w14:paraId="099562F4" w14:textId="77777777" w:rsidR="00E30483" w:rsidRPr="00172C39" w:rsidRDefault="00E30483" w:rsidP="00646664">
            <w:pPr>
              <w:pStyle w:val="NoSpacing"/>
              <w:jc w:val="center"/>
            </w:pPr>
            <w:r w:rsidRPr="00172C39">
              <w:t>y</w:t>
            </w:r>
          </w:p>
        </w:tc>
        <w:tc>
          <w:tcPr>
            <w:tcW w:w="637" w:type="pct"/>
            <w:noWrap/>
            <w:hideMark/>
          </w:tcPr>
          <w:p w14:paraId="4301E5C2" w14:textId="77777777" w:rsidR="00E30483" w:rsidRPr="00172C39" w:rsidRDefault="00E30483" w:rsidP="00646664">
            <w:pPr>
              <w:pStyle w:val="NoSpacing"/>
              <w:jc w:val="center"/>
            </w:pPr>
            <w:r w:rsidRPr="00172C39">
              <w:t>n</w:t>
            </w:r>
          </w:p>
        </w:tc>
      </w:tr>
      <w:tr w:rsidR="00E30483" w:rsidRPr="00172C39" w14:paraId="108355C5" w14:textId="77777777" w:rsidTr="007C1C18">
        <w:trPr>
          <w:trHeight w:val="300"/>
        </w:trPr>
        <w:tc>
          <w:tcPr>
            <w:tcW w:w="560" w:type="pct"/>
            <w:noWrap/>
            <w:hideMark/>
          </w:tcPr>
          <w:p w14:paraId="11B84948" w14:textId="77777777" w:rsidR="00E30483" w:rsidRPr="00172C39" w:rsidRDefault="00E30483" w:rsidP="00646664">
            <w:pPr>
              <w:pStyle w:val="NoSpacing"/>
            </w:pPr>
            <w:r w:rsidRPr="00172C39">
              <w:t>Phobia Free</w:t>
            </w:r>
          </w:p>
        </w:tc>
        <w:tc>
          <w:tcPr>
            <w:tcW w:w="585" w:type="pct"/>
          </w:tcPr>
          <w:p w14:paraId="65DFF6DE" w14:textId="77777777" w:rsidR="00E30483" w:rsidRPr="00BF7226" w:rsidRDefault="00E30483" w:rsidP="00646664">
            <w:pPr>
              <w:pStyle w:val="NoSpacing"/>
            </w:pPr>
            <w:r w:rsidRPr="00BF7226">
              <w:t>Augmented Reality (AR) for exposure treatment</w:t>
            </w:r>
          </w:p>
        </w:tc>
        <w:tc>
          <w:tcPr>
            <w:tcW w:w="606" w:type="pct"/>
            <w:noWrap/>
            <w:hideMark/>
          </w:tcPr>
          <w:p w14:paraId="5C0E86D4" w14:textId="77777777" w:rsidR="00E30483" w:rsidRPr="00172C39" w:rsidRDefault="00E30483" w:rsidP="00646664">
            <w:pPr>
              <w:pStyle w:val="NoSpacing"/>
            </w:pPr>
            <w:r w:rsidRPr="00172C39">
              <w:t>Paid for by end user</w:t>
            </w:r>
          </w:p>
        </w:tc>
        <w:tc>
          <w:tcPr>
            <w:tcW w:w="436" w:type="pct"/>
            <w:noWrap/>
            <w:hideMark/>
          </w:tcPr>
          <w:p w14:paraId="3457473C" w14:textId="77777777" w:rsidR="00E30483" w:rsidRPr="00172C39" w:rsidRDefault="00E30483" w:rsidP="00646664">
            <w:pPr>
              <w:pStyle w:val="NoSpacing"/>
              <w:jc w:val="center"/>
            </w:pPr>
            <w:r w:rsidRPr="00172C39">
              <w:t>p</w:t>
            </w:r>
          </w:p>
        </w:tc>
        <w:tc>
          <w:tcPr>
            <w:tcW w:w="841" w:type="pct"/>
            <w:noWrap/>
            <w:hideMark/>
          </w:tcPr>
          <w:p w14:paraId="1354A8EF" w14:textId="77777777" w:rsidR="00E30483" w:rsidRPr="00172C39" w:rsidRDefault="00E30483" w:rsidP="00646664">
            <w:pPr>
              <w:pStyle w:val="NoSpacing"/>
              <w:jc w:val="center"/>
            </w:pPr>
            <w:r w:rsidRPr="00172C39">
              <w:t>0 (0%)</w:t>
            </w:r>
          </w:p>
        </w:tc>
        <w:tc>
          <w:tcPr>
            <w:tcW w:w="738" w:type="pct"/>
            <w:noWrap/>
            <w:hideMark/>
          </w:tcPr>
          <w:p w14:paraId="31E18E06" w14:textId="77777777" w:rsidR="00E30483" w:rsidRPr="00172C39" w:rsidRDefault="00E30483" w:rsidP="00646664">
            <w:pPr>
              <w:pStyle w:val="NoSpacing"/>
              <w:jc w:val="center"/>
            </w:pPr>
            <w:r w:rsidRPr="00172C39">
              <w:t>0 (0%)</w:t>
            </w:r>
          </w:p>
        </w:tc>
        <w:tc>
          <w:tcPr>
            <w:tcW w:w="597" w:type="pct"/>
            <w:noWrap/>
            <w:hideMark/>
          </w:tcPr>
          <w:p w14:paraId="351254AC" w14:textId="77777777" w:rsidR="00E30483" w:rsidRPr="00172C39" w:rsidRDefault="00E30483" w:rsidP="00646664">
            <w:pPr>
              <w:pStyle w:val="NoSpacing"/>
              <w:jc w:val="center"/>
            </w:pPr>
            <w:r w:rsidRPr="00172C39">
              <w:t>y</w:t>
            </w:r>
          </w:p>
        </w:tc>
        <w:tc>
          <w:tcPr>
            <w:tcW w:w="637" w:type="pct"/>
            <w:noWrap/>
            <w:hideMark/>
          </w:tcPr>
          <w:p w14:paraId="1B4711D2" w14:textId="77777777" w:rsidR="00E30483" w:rsidRPr="00172C39" w:rsidRDefault="00E30483" w:rsidP="00646664">
            <w:pPr>
              <w:pStyle w:val="NoSpacing"/>
              <w:jc w:val="center"/>
            </w:pPr>
            <w:r w:rsidRPr="00172C39">
              <w:t>n</w:t>
            </w:r>
          </w:p>
        </w:tc>
      </w:tr>
      <w:tr w:rsidR="00E30483" w:rsidRPr="00172C39" w14:paraId="2809195D" w14:textId="77777777" w:rsidTr="007C1C18">
        <w:trPr>
          <w:trHeight w:val="300"/>
        </w:trPr>
        <w:tc>
          <w:tcPr>
            <w:tcW w:w="560" w:type="pct"/>
            <w:noWrap/>
            <w:hideMark/>
          </w:tcPr>
          <w:p w14:paraId="197E2E0D" w14:textId="77777777" w:rsidR="00E30483" w:rsidRPr="00172C39" w:rsidRDefault="00E30483" w:rsidP="00646664">
            <w:pPr>
              <w:pStyle w:val="NoSpacing"/>
            </w:pPr>
            <w:r w:rsidRPr="00172C39">
              <w:t>Stress Management App</w:t>
            </w:r>
          </w:p>
        </w:tc>
        <w:tc>
          <w:tcPr>
            <w:tcW w:w="585" w:type="pct"/>
          </w:tcPr>
          <w:p w14:paraId="18B96724" w14:textId="77777777" w:rsidR="00E30483" w:rsidRPr="00BF7226" w:rsidRDefault="00E30483" w:rsidP="00646664">
            <w:pPr>
              <w:pStyle w:val="NoSpacing"/>
            </w:pPr>
            <w:r w:rsidRPr="00BF7226">
              <w:t>Tools to help with stress</w:t>
            </w:r>
          </w:p>
        </w:tc>
        <w:tc>
          <w:tcPr>
            <w:tcW w:w="606" w:type="pct"/>
            <w:noWrap/>
            <w:hideMark/>
          </w:tcPr>
          <w:p w14:paraId="1BB68F52" w14:textId="77777777" w:rsidR="00E30483" w:rsidRPr="00172C39" w:rsidRDefault="00E30483" w:rsidP="00646664">
            <w:pPr>
              <w:pStyle w:val="NoSpacing"/>
            </w:pPr>
            <w:r w:rsidRPr="00172C39">
              <w:t>Paid for by end user</w:t>
            </w:r>
          </w:p>
        </w:tc>
        <w:tc>
          <w:tcPr>
            <w:tcW w:w="436" w:type="pct"/>
            <w:noWrap/>
            <w:hideMark/>
          </w:tcPr>
          <w:p w14:paraId="45A4FBF4" w14:textId="77777777" w:rsidR="00E30483" w:rsidRPr="00172C39" w:rsidRDefault="00E30483" w:rsidP="00646664">
            <w:pPr>
              <w:pStyle w:val="NoSpacing"/>
              <w:jc w:val="center"/>
            </w:pPr>
            <w:r w:rsidRPr="00172C39">
              <w:t>p</w:t>
            </w:r>
          </w:p>
        </w:tc>
        <w:tc>
          <w:tcPr>
            <w:tcW w:w="841" w:type="pct"/>
            <w:noWrap/>
            <w:hideMark/>
          </w:tcPr>
          <w:p w14:paraId="65629E33" w14:textId="77777777" w:rsidR="00E30483" w:rsidRPr="00172C39" w:rsidRDefault="00E30483" w:rsidP="00646664">
            <w:pPr>
              <w:pStyle w:val="NoSpacing"/>
              <w:jc w:val="center"/>
            </w:pPr>
            <w:r w:rsidRPr="00172C39">
              <w:t>0 (0%)</w:t>
            </w:r>
          </w:p>
        </w:tc>
        <w:tc>
          <w:tcPr>
            <w:tcW w:w="738" w:type="pct"/>
            <w:noWrap/>
            <w:hideMark/>
          </w:tcPr>
          <w:p w14:paraId="135BED36" w14:textId="77777777" w:rsidR="00E30483" w:rsidRPr="00172C39" w:rsidRDefault="00E30483" w:rsidP="00646664">
            <w:pPr>
              <w:pStyle w:val="NoSpacing"/>
              <w:jc w:val="center"/>
            </w:pPr>
            <w:r w:rsidRPr="00172C39">
              <w:t>0 (0%)</w:t>
            </w:r>
          </w:p>
        </w:tc>
        <w:tc>
          <w:tcPr>
            <w:tcW w:w="597" w:type="pct"/>
            <w:noWrap/>
            <w:hideMark/>
          </w:tcPr>
          <w:p w14:paraId="48A7EC8F" w14:textId="77777777" w:rsidR="00E30483" w:rsidRPr="00172C39" w:rsidRDefault="00E30483" w:rsidP="00646664">
            <w:pPr>
              <w:pStyle w:val="NoSpacing"/>
              <w:jc w:val="center"/>
            </w:pPr>
            <w:r w:rsidRPr="00172C39">
              <w:t>y</w:t>
            </w:r>
          </w:p>
        </w:tc>
        <w:tc>
          <w:tcPr>
            <w:tcW w:w="637" w:type="pct"/>
            <w:noWrap/>
            <w:hideMark/>
          </w:tcPr>
          <w:p w14:paraId="6D2B0FC6" w14:textId="77777777" w:rsidR="00E30483" w:rsidRPr="00172C39" w:rsidRDefault="00E30483" w:rsidP="00646664">
            <w:pPr>
              <w:pStyle w:val="NoSpacing"/>
              <w:jc w:val="center"/>
            </w:pPr>
            <w:r w:rsidRPr="00172C39">
              <w:t>n</w:t>
            </w:r>
          </w:p>
        </w:tc>
      </w:tr>
      <w:tr w:rsidR="00E30483" w:rsidRPr="00172C39" w14:paraId="1B54484F" w14:textId="77777777" w:rsidTr="007C1C18">
        <w:trPr>
          <w:trHeight w:val="300"/>
        </w:trPr>
        <w:tc>
          <w:tcPr>
            <w:tcW w:w="560" w:type="pct"/>
            <w:noWrap/>
            <w:hideMark/>
          </w:tcPr>
          <w:p w14:paraId="001ED723" w14:textId="77777777" w:rsidR="00E30483" w:rsidRPr="00172C39" w:rsidRDefault="00E30483" w:rsidP="00646664">
            <w:pPr>
              <w:pStyle w:val="NoSpacing"/>
            </w:pPr>
            <w:proofErr w:type="spellStart"/>
            <w:r w:rsidRPr="00172C39">
              <w:lastRenderedPageBreak/>
              <w:t>WorkGuru</w:t>
            </w:r>
            <w:proofErr w:type="spellEnd"/>
          </w:p>
        </w:tc>
        <w:tc>
          <w:tcPr>
            <w:tcW w:w="585" w:type="pct"/>
          </w:tcPr>
          <w:p w14:paraId="3A2FFEBB" w14:textId="77777777" w:rsidR="00E30483" w:rsidRPr="00BF7226" w:rsidRDefault="00E30483" w:rsidP="00646664">
            <w:pPr>
              <w:pStyle w:val="NoSpacing"/>
            </w:pPr>
            <w:r w:rsidRPr="00BF7226">
              <w:t>Tools to help with stress at work</w:t>
            </w:r>
          </w:p>
        </w:tc>
        <w:tc>
          <w:tcPr>
            <w:tcW w:w="606" w:type="pct"/>
            <w:noWrap/>
            <w:hideMark/>
          </w:tcPr>
          <w:p w14:paraId="5E4C1B6F" w14:textId="77777777" w:rsidR="00E30483" w:rsidRPr="00172C39" w:rsidRDefault="00E30483" w:rsidP="00646664">
            <w:pPr>
              <w:pStyle w:val="NoSpacing"/>
            </w:pPr>
            <w:r w:rsidRPr="00172C39">
              <w:t>Paid for by end user</w:t>
            </w:r>
          </w:p>
        </w:tc>
        <w:tc>
          <w:tcPr>
            <w:tcW w:w="436" w:type="pct"/>
            <w:noWrap/>
            <w:hideMark/>
          </w:tcPr>
          <w:p w14:paraId="28C54ED6" w14:textId="77777777" w:rsidR="00E30483" w:rsidRPr="00172C39" w:rsidRDefault="00E30483" w:rsidP="00646664">
            <w:pPr>
              <w:pStyle w:val="NoSpacing"/>
              <w:jc w:val="center"/>
            </w:pPr>
            <w:r w:rsidRPr="00172C39">
              <w:t>w</w:t>
            </w:r>
          </w:p>
        </w:tc>
        <w:tc>
          <w:tcPr>
            <w:tcW w:w="841" w:type="pct"/>
            <w:noWrap/>
            <w:hideMark/>
          </w:tcPr>
          <w:p w14:paraId="346E3598" w14:textId="77777777" w:rsidR="00E30483" w:rsidRPr="00172C39" w:rsidRDefault="00E30483" w:rsidP="00646664">
            <w:pPr>
              <w:pStyle w:val="NoSpacing"/>
              <w:jc w:val="center"/>
            </w:pPr>
            <w:r w:rsidRPr="00172C39">
              <w:t>0 (0%)</w:t>
            </w:r>
          </w:p>
        </w:tc>
        <w:tc>
          <w:tcPr>
            <w:tcW w:w="738" w:type="pct"/>
            <w:noWrap/>
            <w:hideMark/>
          </w:tcPr>
          <w:p w14:paraId="030AD77F" w14:textId="77777777" w:rsidR="00E30483" w:rsidRPr="00172C39" w:rsidRDefault="00E30483" w:rsidP="00646664">
            <w:pPr>
              <w:pStyle w:val="NoSpacing"/>
              <w:jc w:val="center"/>
            </w:pPr>
            <w:r w:rsidRPr="00172C39">
              <w:t>0 (0%)</w:t>
            </w:r>
          </w:p>
        </w:tc>
        <w:tc>
          <w:tcPr>
            <w:tcW w:w="597" w:type="pct"/>
            <w:noWrap/>
            <w:hideMark/>
          </w:tcPr>
          <w:p w14:paraId="51F9DD5B" w14:textId="77777777" w:rsidR="00E30483" w:rsidRPr="00172C39" w:rsidRDefault="00E30483" w:rsidP="00646664">
            <w:pPr>
              <w:pStyle w:val="NoSpacing"/>
              <w:jc w:val="center"/>
            </w:pPr>
            <w:r w:rsidRPr="00172C39">
              <w:t>y</w:t>
            </w:r>
          </w:p>
        </w:tc>
        <w:tc>
          <w:tcPr>
            <w:tcW w:w="637" w:type="pct"/>
            <w:noWrap/>
            <w:hideMark/>
          </w:tcPr>
          <w:p w14:paraId="79ADCB11" w14:textId="77777777" w:rsidR="00E30483" w:rsidRPr="00172C39" w:rsidRDefault="00E30483" w:rsidP="00646664">
            <w:pPr>
              <w:pStyle w:val="NoSpacing"/>
              <w:jc w:val="center"/>
            </w:pPr>
            <w:r w:rsidRPr="00172C39">
              <w:t>n</w:t>
            </w:r>
          </w:p>
        </w:tc>
      </w:tr>
      <w:tr w:rsidR="00E30483" w:rsidRPr="00172C39" w14:paraId="2CE00A0D" w14:textId="77777777" w:rsidTr="007C1C18">
        <w:trPr>
          <w:trHeight w:val="300"/>
        </w:trPr>
        <w:tc>
          <w:tcPr>
            <w:tcW w:w="560" w:type="pct"/>
            <w:noWrap/>
            <w:hideMark/>
          </w:tcPr>
          <w:p w14:paraId="0B66BF5E" w14:textId="77777777" w:rsidR="00E30483" w:rsidRPr="00172C39" w:rsidRDefault="00E30483" w:rsidP="00646664">
            <w:pPr>
              <w:pStyle w:val="NoSpacing"/>
            </w:pPr>
            <w:r w:rsidRPr="00172C39">
              <w:t>Worry Watch</w:t>
            </w:r>
          </w:p>
        </w:tc>
        <w:tc>
          <w:tcPr>
            <w:tcW w:w="585" w:type="pct"/>
          </w:tcPr>
          <w:p w14:paraId="7FC82341" w14:textId="77777777" w:rsidR="00E30483" w:rsidRPr="00BF7226" w:rsidRDefault="00E30483" w:rsidP="00646664">
            <w:pPr>
              <w:pStyle w:val="NoSpacing"/>
            </w:pPr>
            <w:r w:rsidRPr="00BF7226">
              <w:t>Journal for anxiety</w:t>
            </w:r>
          </w:p>
        </w:tc>
        <w:tc>
          <w:tcPr>
            <w:tcW w:w="606" w:type="pct"/>
            <w:noWrap/>
            <w:hideMark/>
          </w:tcPr>
          <w:p w14:paraId="3BFD77F7" w14:textId="77777777" w:rsidR="00E30483" w:rsidRPr="00172C39" w:rsidRDefault="00E30483" w:rsidP="00646664">
            <w:pPr>
              <w:pStyle w:val="NoSpacing"/>
            </w:pPr>
            <w:r w:rsidRPr="00172C39">
              <w:t>Paid for by end user</w:t>
            </w:r>
          </w:p>
        </w:tc>
        <w:tc>
          <w:tcPr>
            <w:tcW w:w="436" w:type="pct"/>
            <w:noWrap/>
            <w:hideMark/>
          </w:tcPr>
          <w:p w14:paraId="05F0023F" w14:textId="77777777" w:rsidR="00E30483" w:rsidRPr="00172C39" w:rsidRDefault="00E30483" w:rsidP="00646664">
            <w:pPr>
              <w:pStyle w:val="NoSpacing"/>
              <w:jc w:val="center"/>
            </w:pPr>
            <w:r w:rsidRPr="00172C39">
              <w:t>p</w:t>
            </w:r>
          </w:p>
        </w:tc>
        <w:tc>
          <w:tcPr>
            <w:tcW w:w="841" w:type="pct"/>
            <w:noWrap/>
            <w:hideMark/>
          </w:tcPr>
          <w:p w14:paraId="6392D140" w14:textId="77777777" w:rsidR="00E30483" w:rsidRPr="00172C39" w:rsidRDefault="00E30483" w:rsidP="00646664">
            <w:pPr>
              <w:pStyle w:val="NoSpacing"/>
              <w:jc w:val="center"/>
            </w:pPr>
            <w:r w:rsidRPr="00172C39">
              <w:t>0 (0%)</w:t>
            </w:r>
          </w:p>
        </w:tc>
        <w:tc>
          <w:tcPr>
            <w:tcW w:w="738" w:type="pct"/>
            <w:noWrap/>
            <w:hideMark/>
          </w:tcPr>
          <w:p w14:paraId="12725E18" w14:textId="77777777" w:rsidR="00E30483" w:rsidRPr="00172C39" w:rsidRDefault="00E30483" w:rsidP="00646664">
            <w:pPr>
              <w:pStyle w:val="NoSpacing"/>
              <w:jc w:val="center"/>
            </w:pPr>
            <w:r w:rsidRPr="00172C39">
              <w:t>0 (0%)</w:t>
            </w:r>
          </w:p>
        </w:tc>
        <w:tc>
          <w:tcPr>
            <w:tcW w:w="597" w:type="pct"/>
            <w:noWrap/>
            <w:hideMark/>
          </w:tcPr>
          <w:p w14:paraId="48906A07" w14:textId="77777777" w:rsidR="00E30483" w:rsidRPr="00172C39" w:rsidRDefault="00E30483" w:rsidP="00646664">
            <w:pPr>
              <w:pStyle w:val="NoSpacing"/>
              <w:jc w:val="center"/>
            </w:pPr>
            <w:r w:rsidRPr="00172C39">
              <w:t>y</w:t>
            </w:r>
          </w:p>
        </w:tc>
        <w:tc>
          <w:tcPr>
            <w:tcW w:w="637" w:type="pct"/>
            <w:noWrap/>
            <w:hideMark/>
          </w:tcPr>
          <w:p w14:paraId="674067EE" w14:textId="77777777" w:rsidR="00E30483" w:rsidRPr="00172C39" w:rsidRDefault="00E30483" w:rsidP="00646664">
            <w:pPr>
              <w:pStyle w:val="NoSpacing"/>
              <w:jc w:val="center"/>
            </w:pPr>
            <w:r w:rsidRPr="00172C39">
              <w:t>n</w:t>
            </w:r>
          </w:p>
        </w:tc>
      </w:tr>
      <w:tr w:rsidR="00E30483" w:rsidRPr="00172C39" w14:paraId="761F0AFE" w14:textId="77777777" w:rsidTr="007C1C18">
        <w:trPr>
          <w:trHeight w:val="300"/>
        </w:trPr>
        <w:tc>
          <w:tcPr>
            <w:tcW w:w="560" w:type="pct"/>
            <w:noWrap/>
            <w:hideMark/>
          </w:tcPr>
          <w:p w14:paraId="29EE607A" w14:textId="77777777" w:rsidR="00E30483" w:rsidRPr="00172C39" w:rsidRDefault="00E30483" w:rsidP="00646664">
            <w:pPr>
              <w:pStyle w:val="NoSpacing"/>
            </w:pPr>
            <w:proofErr w:type="spellStart"/>
            <w:r w:rsidRPr="00172C39">
              <w:t>MindEd</w:t>
            </w:r>
            <w:proofErr w:type="spellEnd"/>
          </w:p>
        </w:tc>
        <w:tc>
          <w:tcPr>
            <w:tcW w:w="585" w:type="pct"/>
          </w:tcPr>
          <w:p w14:paraId="38F7F44C" w14:textId="77777777" w:rsidR="00E30483" w:rsidRPr="00BF7226" w:rsidRDefault="00E30483" w:rsidP="00646664">
            <w:pPr>
              <w:pStyle w:val="NoSpacing"/>
            </w:pPr>
            <w:r w:rsidRPr="00BF7226">
              <w:t>Online advice and support</w:t>
            </w:r>
          </w:p>
        </w:tc>
        <w:tc>
          <w:tcPr>
            <w:tcW w:w="606" w:type="pct"/>
            <w:noWrap/>
            <w:hideMark/>
          </w:tcPr>
          <w:p w14:paraId="1B63E87F" w14:textId="77777777" w:rsidR="00E30483" w:rsidRPr="00172C39" w:rsidRDefault="00E30483" w:rsidP="00646664">
            <w:pPr>
              <w:pStyle w:val="NoSpacing"/>
            </w:pPr>
            <w:r w:rsidRPr="00172C39">
              <w:t>Free to access</w:t>
            </w:r>
          </w:p>
        </w:tc>
        <w:tc>
          <w:tcPr>
            <w:tcW w:w="436" w:type="pct"/>
            <w:noWrap/>
            <w:hideMark/>
          </w:tcPr>
          <w:p w14:paraId="62DAFE4A" w14:textId="77777777" w:rsidR="00E30483" w:rsidRPr="00172C39" w:rsidRDefault="00E30483" w:rsidP="00646664">
            <w:pPr>
              <w:pStyle w:val="NoSpacing"/>
              <w:jc w:val="center"/>
            </w:pPr>
            <w:r w:rsidRPr="00172C39">
              <w:t>w</w:t>
            </w:r>
          </w:p>
        </w:tc>
        <w:tc>
          <w:tcPr>
            <w:tcW w:w="841" w:type="pct"/>
            <w:noWrap/>
            <w:hideMark/>
          </w:tcPr>
          <w:p w14:paraId="065A58E5" w14:textId="77777777" w:rsidR="00E30483" w:rsidRPr="00172C39" w:rsidRDefault="00E30483" w:rsidP="00646664">
            <w:pPr>
              <w:pStyle w:val="NoSpacing"/>
              <w:jc w:val="center"/>
            </w:pPr>
            <w:r w:rsidRPr="00172C39">
              <w:t>0 (0%)</w:t>
            </w:r>
          </w:p>
        </w:tc>
        <w:tc>
          <w:tcPr>
            <w:tcW w:w="738" w:type="pct"/>
            <w:noWrap/>
            <w:hideMark/>
          </w:tcPr>
          <w:p w14:paraId="5310EDE8" w14:textId="77777777" w:rsidR="00E30483" w:rsidRPr="00172C39" w:rsidRDefault="00E30483" w:rsidP="00646664">
            <w:pPr>
              <w:pStyle w:val="NoSpacing"/>
              <w:jc w:val="center"/>
            </w:pPr>
            <w:r w:rsidRPr="00172C39">
              <w:t>1 (2.0%)</w:t>
            </w:r>
          </w:p>
        </w:tc>
        <w:tc>
          <w:tcPr>
            <w:tcW w:w="597" w:type="pct"/>
            <w:noWrap/>
            <w:hideMark/>
          </w:tcPr>
          <w:p w14:paraId="4B83B745" w14:textId="77777777" w:rsidR="00E30483" w:rsidRPr="00172C39" w:rsidRDefault="00E30483" w:rsidP="00646664">
            <w:pPr>
              <w:pStyle w:val="NoSpacing"/>
              <w:jc w:val="center"/>
            </w:pPr>
            <w:r w:rsidRPr="00172C39">
              <w:t>n</w:t>
            </w:r>
          </w:p>
        </w:tc>
        <w:tc>
          <w:tcPr>
            <w:tcW w:w="637" w:type="pct"/>
            <w:noWrap/>
            <w:hideMark/>
          </w:tcPr>
          <w:p w14:paraId="171AB1AD" w14:textId="77777777" w:rsidR="00E30483" w:rsidRPr="00172C39" w:rsidRDefault="00E30483" w:rsidP="00646664">
            <w:pPr>
              <w:pStyle w:val="NoSpacing"/>
              <w:jc w:val="center"/>
            </w:pPr>
            <w:r w:rsidRPr="00172C39">
              <w:t>n</w:t>
            </w:r>
          </w:p>
        </w:tc>
      </w:tr>
      <w:tr w:rsidR="00E30483" w:rsidRPr="00172C39" w14:paraId="7212244F" w14:textId="77777777" w:rsidTr="007C1C18">
        <w:trPr>
          <w:trHeight w:val="300"/>
        </w:trPr>
        <w:tc>
          <w:tcPr>
            <w:tcW w:w="560" w:type="pct"/>
            <w:noWrap/>
            <w:hideMark/>
          </w:tcPr>
          <w:p w14:paraId="1FF5A79D" w14:textId="77777777" w:rsidR="00E30483" w:rsidRPr="00172C39" w:rsidRDefault="00E30483" w:rsidP="00646664">
            <w:pPr>
              <w:pStyle w:val="NoSpacing"/>
            </w:pPr>
            <w:proofErr w:type="spellStart"/>
            <w:r w:rsidRPr="00172C39">
              <w:t>Puffell</w:t>
            </w:r>
            <w:proofErr w:type="spellEnd"/>
          </w:p>
        </w:tc>
        <w:tc>
          <w:tcPr>
            <w:tcW w:w="585" w:type="pct"/>
          </w:tcPr>
          <w:p w14:paraId="2E2BF6E5" w14:textId="77777777" w:rsidR="00E30483" w:rsidRPr="00BF7226" w:rsidRDefault="00E30483" w:rsidP="00646664">
            <w:pPr>
              <w:pStyle w:val="NoSpacing"/>
            </w:pPr>
            <w:r w:rsidRPr="00BF7226">
              <w:t>Online advice and support</w:t>
            </w:r>
          </w:p>
        </w:tc>
        <w:tc>
          <w:tcPr>
            <w:tcW w:w="606" w:type="pct"/>
            <w:noWrap/>
            <w:hideMark/>
          </w:tcPr>
          <w:p w14:paraId="67AB8642" w14:textId="77777777" w:rsidR="00E30483" w:rsidRPr="00172C39" w:rsidRDefault="00E30483" w:rsidP="00646664">
            <w:pPr>
              <w:pStyle w:val="NoSpacing"/>
            </w:pPr>
            <w:r w:rsidRPr="00172C39">
              <w:t>Free to access</w:t>
            </w:r>
          </w:p>
        </w:tc>
        <w:tc>
          <w:tcPr>
            <w:tcW w:w="436" w:type="pct"/>
            <w:noWrap/>
            <w:hideMark/>
          </w:tcPr>
          <w:p w14:paraId="3A4A6E5D" w14:textId="77777777" w:rsidR="00E30483" w:rsidRPr="00172C39" w:rsidRDefault="00E30483" w:rsidP="00646664">
            <w:pPr>
              <w:pStyle w:val="NoSpacing"/>
              <w:jc w:val="center"/>
            </w:pPr>
            <w:r w:rsidRPr="00172C39">
              <w:t>w</w:t>
            </w:r>
          </w:p>
        </w:tc>
        <w:tc>
          <w:tcPr>
            <w:tcW w:w="841" w:type="pct"/>
            <w:noWrap/>
            <w:hideMark/>
          </w:tcPr>
          <w:p w14:paraId="5478BE33" w14:textId="77777777" w:rsidR="00E30483" w:rsidRPr="00172C39" w:rsidRDefault="00E30483" w:rsidP="00646664">
            <w:pPr>
              <w:pStyle w:val="NoSpacing"/>
              <w:jc w:val="center"/>
            </w:pPr>
            <w:r w:rsidRPr="00172C39">
              <w:t>0 (0%)</w:t>
            </w:r>
          </w:p>
        </w:tc>
        <w:tc>
          <w:tcPr>
            <w:tcW w:w="738" w:type="pct"/>
            <w:noWrap/>
            <w:hideMark/>
          </w:tcPr>
          <w:p w14:paraId="37259141" w14:textId="77777777" w:rsidR="00E30483" w:rsidRPr="00172C39" w:rsidRDefault="00E30483" w:rsidP="00646664">
            <w:pPr>
              <w:pStyle w:val="NoSpacing"/>
              <w:jc w:val="center"/>
            </w:pPr>
            <w:r w:rsidRPr="00172C39">
              <w:t>1 (2.0%)</w:t>
            </w:r>
          </w:p>
        </w:tc>
        <w:tc>
          <w:tcPr>
            <w:tcW w:w="597" w:type="pct"/>
            <w:noWrap/>
            <w:hideMark/>
          </w:tcPr>
          <w:p w14:paraId="37424594" w14:textId="77777777" w:rsidR="00E30483" w:rsidRPr="00172C39" w:rsidRDefault="00E30483" w:rsidP="00646664">
            <w:pPr>
              <w:pStyle w:val="NoSpacing"/>
              <w:jc w:val="center"/>
            </w:pPr>
            <w:r w:rsidRPr="00172C39">
              <w:t>n</w:t>
            </w:r>
          </w:p>
        </w:tc>
        <w:tc>
          <w:tcPr>
            <w:tcW w:w="637" w:type="pct"/>
            <w:noWrap/>
            <w:hideMark/>
          </w:tcPr>
          <w:p w14:paraId="047405E0" w14:textId="77777777" w:rsidR="00E30483" w:rsidRPr="00172C39" w:rsidRDefault="00E30483" w:rsidP="00646664">
            <w:pPr>
              <w:pStyle w:val="NoSpacing"/>
              <w:jc w:val="center"/>
            </w:pPr>
            <w:r w:rsidRPr="00172C39">
              <w:t>n</w:t>
            </w:r>
          </w:p>
        </w:tc>
      </w:tr>
      <w:tr w:rsidR="00E30483" w:rsidRPr="00172C39" w14:paraId="605BCA9C" w14:textId="77777777" w:rsidTr="007C1C18">
        <w:trPr>
          <w:trHeight w:val="300"/>
        </w:trPr>
        <w:tc>
          <w:tcPr>
            <w:tcW w:w="560" w:type="pct"/>
            <w:noWrap/>
            <w:hideMark/>
          </w:tcPr>
          <w:p w14:paraId="3D07E4E8" w14:textId="77777777" w:rsidR="00E30483" w:rsidRPr="00172C39" w:rsidRDefault="00E30483" w:rsidP="00646664">
            <w:pPr>
              <w:pStyle w:val="NoSpacing"/>
            </w:pPr>
            <w:r w:rsidRPr="00172C39">
              <w:t>Virtual Hope Box</w:t>
            </w:r>
          </w:p>
        </w:tc>
        <w:tc>
          <w:tcPr>
            <w:tcW w:w="585" w:type="pct"/>
          </w:tcPr>
          <w:p w14:paraId="72E57C02" w14:textId="77777777" w:rsidR="00E30483" w:rsidRPr="00BF7226" w:rsidRDefault="00E30483" w:rsidP="00646664">
            <w:pPr>
              <w:pStyle w:val="NoSpacing"/>
            </w:pPr>
            <w:r w:rsidRPr="00BF7226">
              <w:t>Tools to compliment face-to-face</w:t>
            </w:r>
          </w:p>
        </w:tc>
        <w:tc>
          <w:tcPr>
            <w:tcW w:w="606" w:type="pct"/>
            <w:noWrap/>
            <w:hideMark/>
          </w:tcPr>
          <w:p w14:paraId="68D34FDC" w14:textId="77777777" w:rsidR="00E30483" w:rsidRPr="00172C39" w:rsidRDefault="00E30483" w:rsidP="00646664">
            <w:pPr>
              <w:pStyle w:val="NoSpacing"/>
            </w:pPr>
            <w:r w:rsidRPr="00172C39">
              <w:t>Free to access</w:t>
            </w:r>
          </w:p>
        </w:tc>
        <w:tc>
          <w:tcPr>
            <w:tcW w:w="436" w:type="pct"/>
            <w:noWrap/>
            <w:hideMark/>
          </w:tcPr>
          <w:p w14:paraId="0DABA3EF" w14:textId="77777777" w:rsidR="00E30483" w:rsidRPr="00172C39" w:rsidRDefault="00E30483" w:rsidP="00646664">
            <w:pPr>
              <w:pStyle w:val="NoSpacing"/>
              <w:jc w:val="center"/>
            </w:pPr>
            <w:r w:rsidRPr="00172C39">
              <w:t>p</w:t>
            </w:r>
          </w:p>
        </w:tc>
        <w:tc>
          <w:tcPr>
            <w:tcW w:w="841" w:type="pct"/>
            <w:noWrap/>
            <w:hideMark/>
          </w:tcPr>
          <w:p w14:paraId="0CBCC8B7" w14:textId="77777777" w:rsidR="00E30483" w:rsidRPr="00172C39" w:rsidRDefault="00E30483" w:rsidP="00646664">
            <w:pPr>
              <w:pStyle w:val="NoSpacing"/>
              <w:jc w:val="center"/>
            </w:pPr>
            <w:r w:rsidRPr="00172C39">
              <w:t>0 (0%)</w:t>
            </w:r>
          </w:p>
        </w:tc>
        <w:tc>
          <w:tcPr>
            <w:tcW w:w="738" w:type="pct"/>
            <w:noWrap/>
            <w:hideMark/>
          </w:tcPr>
          <w:p w14:paraId="416CD37F" w14:textId="77777777" w:rsidR="00E30483" w:rsidRPr="00172C39" w:rsidRDefault="00E30483" w:rsidP="00646664">
            <w:pPr>
              <w:pStyle w:val="NoSpacing"/>
              <w:jc w:val="center"/>
            </w:pPr>
            <w:r w:rsidRPr="00172C39">
              <w:t>1 (2.0%)</w:t>
            </w:r>
          </w:p>
        </w:tc>
        <w:tc>
          <w:tcPr>
            <w:tcW w:w="597" w:type="pct"/>
            <w:noWrap/>
            <w:hideMark/>
          </w:tcPr>
          <w:p w14:paraId="06FA7FC3" w14:textId="77777777" w:rsidR="00E30483" w:rsidRPr="00172C39" w:rsidRDefault="00E30483" w:rsidP="00646664">
            <w:pPr>
              <w:pStyle w:val="NoSpacing"/>
              <w:jc w:val="center"/>
            </w:pPr>
            <w:r w:rsidRPr="00172C39">
              <w:t>n</w:t>
            </w:r>
          </w:p>
        </w:tc>
        <w:tc>
          <w:tcPr>
            <w:tcW w:w="637" w:type="pct"/>
            <w:noWrap/>
            <w:hideMark/>
          </w:tcPr>
          <w:p w14:paraId="53042066" w14:textId="77777777" w:rsidR="00E30483" w:rsidRPr="00172C39" w:rsidRDefault="00E30483" w:rsidP="00646664">
            <w:pPr>
              <w:pStyle w:val="NoSpacing"/>
              <w:jc w:val="center"/>
            </w:pPr>
            <w:r w:rsidRPr="00172C39">
              <w:t>n</w:t>
            </w:r>
          </w:p>
        </w:tc>
      </w:tr>
      <w:tr w:rsidR="00E30483" w:rsidRPr="00172C39" w14:paraId="7510FE5D" w14:textId="77777777" w:rsidTr="007C1C18">
        <w:trPr>
          <w:trHeight w:val="300"/>
        </w:trPr>
        <w:tc>
          <w:tcPr>
            <w:tcW w:w="560" w:type="pct"/>
            <w:noWrap/>
            <w:hideMark/>
          </w:tcPr>
          <w:p w14:paraId="3C78AF8B" w14:textId="77777777" w:rsidR="00E30483" w:rsidRPr="00172C39" w:rsidRDefault="00E30483" w:rsidP="00646664">
            <w:pPr>
              <w:pStyle w:val="NoSpacing"/>
            </w:pPr>
            <w:proofErr w:type="spellStart"/>
            <w:r w:rsidRPr="00172C39">
              <w:t>Aventurine</w:t>
            </w:r>
            <w:proofErr w:type="spellEnd"/>
            <w:r w:rsidRPr="00172C39">
              <w:t xml:space="preserve"> Mood Improver</w:t>
            </w:r>
          </w:p>
        </w:tc>
        <w:tc>
          <w:tcPr>
            <w:tcW w:w="585" w:type="pct"/>
          </w:tcPr>
          <w:p w14:paraId="7CF33E69" w14:textId="77777777" w:rsidR="00E30483" w:rsidRPr="00BF7226" w:rsidRDefault="00E30483" w:rsidP="00646664">
            <w:pPr>
              <w:pStyle w:val="NoSpacing"/>
            </w:pPr>
            <w:r w:rsidRPr="00BF7226">
              <w:t>Tool for self-help using CBT</w:t>
            </w:r>
          </w:p>
        </w:tc>
        <w:tc>
          <w:tcPr>
            <w:tcW w:w="606" w:type="pct"/>
            <w:noWrap/>
            <w:hideMark/>
          </w:tcPr>
          <w:p w14:paraId="1AAE36F6" w14:textId="77777777" w:rsidR="00E30483" w:rsidRPr="00172C39" w:rsidRDefault="00E30483" w:rsidP="00646664">
            <w:pPr>
              <w:pStyle w:val="NoSpacing"/>
            </w:pPr>
            <w:r w:rsidRPr="00172C39">
              <w:t>Free to access</w:t>
            </w:r>
          </w:p>
        </w:tc>
        <w:tc>
          <w:tcPr>
            <w:tcW w:w="436" w:type="pct"/>
            <w:noWrap/>
            <w:hideMark/>
          </w:tcPr>
          <w:p w14:paraId="287F35BD" w14:textId="77777777" w:rsidR="00E30483" w:rsidRPr="00172C39" w:rsidRDefault="00E30483" w:rsidP="00646664">
            <w:pPr>
              <w:pStyle w:val="NoSpacing"/>
              <w:jc w:val="center"/>
            </w:pPr>
            <w:r w:rsidRPr="00172C39">
              <w:t>p</w:t>
            </w:r>
          </w:p>
        </w:tc>
        <w:tc>
          <w:tcPr>
            <w:tcW w:w="841" w:type="pct"/>
            <w:noWrap/>
            <w:hideMark/>
          </w:tcPr>
          <w:p w14:paraId="333D5A3E" w14:textId="77777777" w:rsidR="00E30483" w:rsidRPr="00172C39" w:rsidRDefault="00E30483" w:rsidP="00646664">
            <w:pPr>
              <w:pStyle w:val="NoSpacing"/>
              <w:jc w:val="center"/>
            </w:pPr>
            <w:r w:rsidRPr="00172C39">
              <w:t>0 (0%)</w:t>
            </w:r>
          </w:p>
        </w:tc>
        <w:tc>
          <w:tcPr>
            <w:tcW w:w="738" w:type="pct"/>
            <w:noWrap/>
            <w:hideMark/>
          </w:tcPr>
          <w:p w14:paraId="53BBDA68" w14:textId="77777777" w:rsidR="00E30483" w:rsidRPr="00172C39" w:rsidRDefault="00E30483" w:rsidP="00646664">
            <w:pPr>
              <w:pStyle w:val="NoSpacing"/>
              <w:jc w:val="center"/>
            </w:pPr>
            <w:r w:rsidRPr="00172C39">
              <w:t>0 (0%)</w:t>
            </w:r>
          </w:p>
        </w:tc>
        <w:tc>
          <w:tcPr>
            <w:tcW w:w="597" w:type="pct"/>
            <w:noWrap/>
            <w:hideMark/>
          </w:tcPr>
          <w:p w14:paraId="68B6B879" w14:textId="77777777" w:rsidR="00E30483" w:rsidRPr="00172C39" w:rsidRDefault="00E30483" w:rsidP="00646664">
            <w:pPr>
              <w:pStyle w:val="NoSpacing"/>
              <w:jc w:val="center"/>
            </w:pPr>
            <w:r w:rsidRPr="00172C39">
              <w:t>y</w:t>
            </w:r>
          </w:p>
        </w:tc>
        <w:tc>
          <w:tcPr>
            <w:tcW w:w="637" w:type="pct"/>
            <w:noWrap/>
            <w:hideMark/>
          </w:tcPr>
          <w:p w14:paraId="44CFDAFD" w14:textId="77777777" w:rsidR="00E30483" w:rsidRPr="00172C39" w:rsidRDefault="00E30483" w:rsidP="00646664">
            <w:pPr>
              <w:pStyle w:val="NoSpacing"/>
              <w:jc w:val="center"/>
            </w:pPr>
            <w:r w:rsidRPr="00172C39">
              <w:t>n</w:t>
            </w:r>
          </w:p>
        </w:tc>
      </w:tr>
      <w:tr w:rsidR="00E30483" w:rsidRPr="00172C39" w14:paraId="6F5CDB05" w14:textId="77777777" w:rsidTr="007C1C18">
        <w:trPr>
          <w:trHeight w:val="300"/>
        </w:trPr>
        <w:tc>
          <w:tcPr>
            <w:tcW w:w="560" w:type="pct"/>
            <w:noWrap/>
            <w:hideMark/>
          </w:tcPr>
          <w:p w14:paraId="27FB298D" w14:textId="77777777" w:rsidR="00E30483" w:rsidRPr="00172C39" w:rsidRDefault="00E30483" w:rsidP="00646664">
            <w:pPr>
              <w:pStyle w:val="NoSpacing"/>
            </w:pPr>
            <w:r w:rsidRPr="00172C39">
              <w:t>Black Rainbow</w:t>
            </w:r>
          </w:p>
        </w:tc>
        <w:tc>
          <w:tcPr>
            <w:tcW w:w="585" w:type="pct"/>
          </w:tcPr>
          <w:p w14:paraId="6975D21F" w14:textId="77777777" w:rsidR="00E30483" w:rsidRPr="00BF7226" w:rsidRDefault="00E30483" w:rsidP="00646664">
            <w:pPr>
              <w:pStyle w:val="NoSpacing"/>
            </w:pPr>
            <w:r w:rsidRPr="00BF7226">
              <w:t>Advice and audio for relaxation</w:t>
            </w:r>
          </w:p>
        </w:tc>
        <w:tc>
          <w:tcPr>
            <w:tcW w:w="606" w:type="pct"/>
            <w:noWrap/>
            <w:hideMark/>
          </w:tcPr>
          <w:p w14:paraId="680AEF89" w14:textId="77777777" w:rsidR="00E30483" w:rsidRPr="00172C39" w:rsidRDefault="00E30483" w:rsidP="00646664">
            <w:pPr>
              <w:pStyle w:val="NoSpacing"/>
            </w:pPr>
            <w:r w:rsidRPr="00172C39">
              <w:t>Free to access</w:t>
            </w:r>
          </w:p>
        </w:tc>
        <w:tc>
          <w:tcPr>
            <w:tcW w:w="436" w:type="pct"/>
            <w:noWrap/>
            <w:hideMark/>
          </w:tcPr>
          <w:p w14:paraId="069459C7" w14:textId="77777777" w:rsidR="00E30483" w:rsidRPr="00172C39" w:rsidRDefault="00E30483" w:rsidP="00646664">
            <w:pPr>
              <w:pStyle w:val="NoSpacing"/>
              <w:jc w:val="center"/>
            </w:pPr>
            <w:r w:rsidRPr="00172C39">
              <w:t>p</w:t>
            </w:r>
          </w:p>
        </w:tc>
        <w:tc>
          <w:tcPr>
            <w:tcW w:w="841" w:type="pct"/>
            <w:noWrap/>
            <w:hideMark/>
          </w:tcPr>
          <w:p w14:paraId="0444D634" w14:textId="77777777" w:rsidR="00E30483" w:rsidRPr="00172C39" w:rsidRDefault="00E30483" w:rsidP="00646664">
            <w:pPr>
              <w:pStyle w:val="NoSpacing"/>
              <w:jc w:val="center"/>
            </w:pPr>
            <w:r w:rsidRPr="00172C39">
              <w:t>0 (0%)</w:t>
            </w:r>
          </w:p>
        </w:tc>
        <w:tc>
          <w:tcPr>
            <w:tcW w:w="738" w:type="pct"/>
            <w:noWrap/>
            <w:hideMark/>
          </w:tcPr>
          <w:p w14:paraId="5FDA3120" w14:textId="77777777" w:rsidR="00E30483" w:rsidRPr="00172C39" w:rsidRDefault="00E30483" w:rsidP="00646664">
            <w:pPr>
              <w:pStyle w:val="NoSpacing"/>
              <w:jc w:val="center"/>
            </w:pPr>
            <w:r w:rsidRPr="00172C39">
              <w:t>0 (0%)</w:t>
            </w:r>
          </w:p>
        </w:tc>
        <w:tc>
          <w:tcPr>
            <w:tcW w:w="597" w:type="pct"/>
            <w:noWrap/>
            <w:hideMark/>
          </w:tcPr>
          <w:p w14:paraId="509B8738" w14:textId="77777777" w:rsidR="00E30483" w:rsidRPr="00172C39" w:rsidRDefault="00E30483" w:rsidP="00646664">
            <w:pPr>
              <w:pStyle w:val="NoSpacing"/>
              <w:jc w:val="center"/>
            </w:pPr>
            <w:r w:rsidRPr="00172C39">
              <w:t>y</w:t>
            </w:r>
          </w:p>
        </w:tc>
        <w:tc>
          <w:tcPr>
            <w:tcW w:w="637" w:type="pct"/>
            <w:noWrap/>
            <w:hideMark/>
          </w:tcPr>
          <w:p w14:paraId="799F4D13" w14:textId="77777777" w:rsidR="00E30483" w:rsidRPr="00172C39" w:rsidRDefault="00E30483" w:rsidP="00646664">
            <w:pPr>
              <w:pStyle w:val="NoSpacing"/>
              <w:jc w:val="center"/>
            </w:pPr>
            <w:r w:rsidRPr="00172C39">
              <w:t>n</w:t>
            </w:r>
          </w:p>
        </w:tc>
      </w:tr>
      <w:tr w:rsidR="00E30483" w:rsidRPr="00172C39" w14:paraId="7404D11E" w14:textId="77777777" w:rsidTr="007C1C18">
        <w:trPr>
          <w:trHeight w:val="300"/>
        </w:trPr>
        <w:tc>
          <w:tcPr>
            <w:tcW w:w="560" w:type="pct"/>
            <w:noWrap/>
            <w:hideMark/>
          </w:tcPr>
          <w:p w14:paraId="584B383D" w14:textId="77777777" w:rsidR="00E30483" w:rsidRPr="00172C39" w:rsidRDefault="00E30483" w:rsidP="00646664">
            <w:pPr>
              <w:pStyle w:val="NoSpacing"/>
            </w:pPr>
            <w:r w:rsidRPr="00172C39">
              <w:t>Depression Calculator</w:t>
            </w:r>
          </w:p>
        </w:tc>
        <w:tc>
          <w:tcPr>
            <w:tcW w:w="585" w:type="pct"/>
          </w:tcPr>
          <w:p w14:paraId="58B96BE1" w14:textId="77777777" w:rsidR="00E30483" w:rsidRPr="00BF7226" w:rsidRDefault="00E30483" w:rsidP="00646664">
            <w:pPr>
              <w:pStyle w:val="NoSpacing"/>
            </w:pPr>
            <w:r w:rsidRPr="00BF7226">
              <w:t>PHQ-9 screening tool</w:t>
            </w:r>
          </w:p>
        </w:tc>
        <w:tc>
          <w:tcPr>
            <w:tcW w:w="606" w:type="pct"/>
            <w:noWrap/>
            <w:hideMark/>
          </w:tcPr>
          <w:p w14:paraId="5C6C69E8" w14:textId="77777777" w:rsidR="00E30483" w:rsidRPr="00172C39" w:rsidRDefault="00E30483" w:rsidP="00646664">
            <w:pPr>
              <w:pStyle w:val="NoSpacing"/>
            </w:pPr>
            <w:r w:rsidRPr="00172C39">
              <w:t>Free to access</w:t>
            </w:r>
          </w:p>
        </w:tc>
        <w:tc>
          <w:tcPr>
            <w:tcW w:w="436" w:type="pct"/>
            <w:noWrap/>
            <w:hideMark/>
          </w:tcPr>
          <w:p w14:paraId="4627DAF3" w14:textId="77777777" w:rsidR="00E30483" w:rsidRPr="00172C39" w:rsidRDefault="00E30483" w:rsidP="00646664">
            <w:pPr>
              <w:pStyle w:val="NoSpacing"/>
              <w:jc w:val="center"/>
            </w:pPr>
            <w:r w:rsidRPr="00172C39">
              <w:t>p</w:t>
            </w:r>
          </w:p>
        </w:tc>
        <w:tc>
          <w:tcPr>
            <w:tcW w:w="841" w:type="pct"/>
            <w:noWrap/>
            <w:hideMark/>
          </w:tcPr>
          <w:p w14:paraId="020764D0" w14:textId="77777777" w:rsidR="00E30483" w:rsidRPr="00172C39" w:rsidRDefault="00E30483" w:rsidP="00646664">
            <w:pPr>
              <w:pStyle w:val="NoSpacing"/>
              <w:jc w:val="center"/>
            </w:pPr>
            <w:r w:rsidRPr="00172C39">
              <w:t>0 (0%)</w:t>
            </w:r>
          </w:p>
        </w:tc>
        <w:tc>
          <w:tcPr>
            <w:tcW w:w="738" w:type="pct"/>
            <w:noWrap/>
            <w:hideMark/>
          </w:tcPr>
          <w:p w14:paraId="70B32C71" w14:textId="77777777" w:rsidR="00E30483" w:rsidRPr="00172C39" w:rsidRDefault="00E30483" w:rsidP="00646664">
            <w:pPr>
              <w:pStyle w:val="NoSpacing"/>
              <w:jc w:val="center"/>
            </w:pPr>
            <w:r w:rsidRPr="00172C39">
              <w:t>0 (0%)</w:t>
            </w:r>
          </w:p>
        </w:tc>
        <w:tc>
          <w:tcPr>
            <w:tcW w:w="597" w:type="pct"/>
            <w:noWrap/>
            <w:hideMark/>
          </w:tcPr>
          <w:p w14:paraId="24BCE3B1" w14:textId="77777777" w:rsidR="00E30483" w:rsidRPr="00172C39" w:rsidRDefault="00E30483" w:rsidP="00646664">
            <w:pPr>
              <w:pStyle w:val="NoSpacing"/>
              <w:jc w:val="center"/>
            </w:pPr>
            <w:r w:rsidRPr="00172C39">
              <w:t>y</w:t>
            </w:r>
          </w:p>
        </w:tc>
        <w:tc>
          <w:tcPr>
            <w:tcW w:w="637" w:type="pct"/>
            <w:noWrap/>
            <w:hideMark/>
          </w:tcPr>
          <w:p w14:paraId="7D77B26C" w14:textId="77777777" w:rsidR="00E30483" w:rsidRPr="00172C39" w:rsidRDefault="00E30483" w:rsidP="00646664">
            <w:pPr>
              <w:pStyle w:val="NoSpacing"/>
              <w:jc w:val="center"/>
            </w:pPr>
            <w:r w:rsidRPr="00172C39">
              <w:t>n</w:t>
            </w:r>
          </w:p>
        </w:tc>
      </w:tr>
      <w:tr w:rsidR="00E30483" w:rsidRPr="00172C39" w14:paraId="587F7368" w14:textId="77777777" w:rsidTr="007C1C18">
        <w:trPr>
          <w:trHeight w:val="300"/>
        </w:trPr>
        <w:tc>
          <w:tcPr>
            <w:tcW w:w="560" w:type="pct"/>
            <w:noWrap/>
            <w:hideMark/>
          </w:tcPr>
          <w:p w14:paraId="77D75DB6" w14:textId="77777777" w:rsidR="00E30483" w:rsidRPr="00172C39" w:rsidRDefault="00E30483" w:rsidP="00646664">
            <w:pPr>
              <w:pStyle w:val="NoSpacing"/>
            </w:pPr>
            <w:r w:rsidRPr="00172C39">
              <w:t>Five Ways to Wellbeing</w:t>
            </w:r>
          </w:p>
        </w:tc>
        <w:tc>
          <w:tcPr>
            <w:tcW w:w="585" w:type="pct"/>
          </w:tcPr>
          <w:p w14:paraId="1C330C06" w14:textId="77777777" w:rsidR="00E30483" w:rsidRPr="00BF7226" w:rsidRDefault="00E30483" w:rsidP="00646664">
            <w:pPr>
              <w:pStyle w:val="NoSpacing"/>
            </w:pPr>
            <w:r w:rsidRPr="00BF7226">
              <w:t>Tools for wellbeing</w:t>
            </w:r>
          </w:p>
        </w:tc>
        <w:tc>
          <w:tcPr>
            <w:tcW w:w="606" w:type="pct"/>
            <w:noWrap/>
            <w:hideMark/>
          </w:tcPr>
          <w:p w14:paraId="6D611439" w14:textId="77777777" w:rsidR="00E30483" w:rsidRPr="00172C39" w:rsidRDefault="00E30483" w:rsidP="00646664">
            <w:pPr>
              <w:pStyle w:val="NoSpacing"/>
            </w:pPr>
            <w:r w:rsidRPr="00172C39">
              <w:t>Free to access</w:t>
            </w:r>
          </w:p>
        </w:tc>
        <w:tc>
          <w:tcPr>
            <w:tcW w:w="436" w:type="pct"/>
            <w:noWrap/>
            <w:hideMark/>
          </w:tcPr>
          <w:p w14:paraId="4051CAF0" w14:textId="77777777" w:rsidR="00E30483" w:rsidRPr="00172C39" w:rsidRDefault="00E30483" w:rsidP="00646664">
            <w:pPr>
              <w:pStyle w:val="NoSpacing"/>
              <w:jc w:val="center"/>
            </w:pPr>
            <w:r w:rsidRPr="00172C39">
              <w:t>p</w:t>
            </w:r>
          </w:p>
        </w:tc>
        <w:tc>
          <w:tcPr>
            <w:tcW w:w="841" w:type="pct"/>
            <w:noWrap/>
            <w:hideMark/>
          </w:tcPr>
          <w:p w14:paraId="1CE33953" w14:textId="77777777" w:rsidR="00E30483" w:rsidRPr="00172C39" w:rsidRDefault="00E30483" w:rsidP="00646664">
            <w:pPr>
              <w:pStyle w:val="NoSpacing"/>
              <w:jc w:val="center"/>
            </w:pPr>
            <w:r w:rsidRPr="00172C39">
              <w:t>0 (0%)</w:t>
            </w:r>
          </w:p>
        </w:tc>
        <w:tc>
          <w:tcPr>
            <w:tcW w:w="738" w:type="pct"/>
            <w:noWrap/>
            <w:hideMark/>
          </w:tcPr>
          <w:p w14:paraId="541ADA5A" w14:textId="77777777" w:rsidR="00E30483" w:rsidRPr="00172C39" w:rsidRDefault="00E30483" w:rsidP="00646664">
            <w:pPr>
              <w:pStyle w:val="NoSpacing"/>
              <w:jc w:val="center"/>
            </w:pPr>
            <w:r w:rsidRPr="00172C39">
              <w:t>0 (0%)</w:t>
            </w:r>
          </w:p>
        </w:tc>
        <w:tc>
          <w:tcPr>
            <w:tcW w:w="597" w:type="pct"/>
            <w:noWrap/>
            <w:hideMark/>
          </w:tcPr>
          <w:p w14:paraId="25378730" w14:textId="77777777" w:rsidR="00E30483" w:rsidRPr="00172C39" w:rsidRDefault="00E30483" w:rsidP="00646664">
            <w:pPr>
              <w:pStyle w:val="NoSpacing"/>
              <w:jc w:val="center"/>
            </w:pPr>
            <w:r w:rsidRPr="00172C39">
              <w:t>y</w:t>
            </w:r>
          </w:p>
        </w:tc>
        <w:tc>
          <w:tcPr>
            <w:tcW w:w="637" w:type="pct"/>
            <w:noWrap/>
            <w:hideMark/>
          </w:tcPr>
          <w:p w14:paraId="5E4A03C5" w14:textId="77777777" w:rsidR="00E30483" w:rsidRPr="00172C39" w:rsidRDefault="00E30483" w:rsidP="00646664">
            <w:pPr>
              <w:pStyle w:val="NoSpacing"/>
              <w:jc w:val="center"/>
            </w:pPr>
            <w:r w:rsidRPr="00172C39">
              <w:t>n</w:t>
            </w:r>
          </w:p>
        </w:tc>
      </w:tr>
      <w:tr w:rsidR="00E30483" w:rsidRPr="00172C39" w14:paraId="730F5C54" w14:textId="77777777" w:rsidTr="007C1C18">
        <w:trPr>
          <w:trHeight w:val="300"/>
        </w:trPr>
        <w:tc>
          <w:tcPr>
            <w:tcW w:w="560" w:type="pct"/>
            <w:noWrap/>
            <w:hideMark/>
          </w:tcPr>
          <w:p w14:paraId="2C7B4AA1" w14:textId="77777777" w:rsidR="00E30483" w:rsidRPr="00172C39" w:rsidRDefault="00E30483" w:rsidP="00646664">
            <w:pPr>
              <w:pStyle w:val="NoSpacing"/>
            </w:pPr>
            <w:r w:rsidRPr="00172C39">
              <w:t>Ginsberg</w:t>
            </w:r>
          </w:p>
        </w:tc>
        <w:tc>
          <w:tcPr>
            <w:tcW w:w="585" w:type="pct"/>
          </w:tcPr>
          <w:p w14:paraId="10EAC0E8" w14:textId="77777777" w:rsidR="00E30483" w:rsidRPr="00BF7226" w:rsidRDefault="00E30483" w:rsidP="00646664">
            <w:pPr>
              <w:pStyle w:val="NoSpacing"/>
            </w:pPr>
            <w:r w:rsidRPr="00BF7226">
              <w:t>Activity and mood diary</w:t>
            </w:r>
          </w:p>
        </w:tc>
        <w:tc>
          <w:tcPr>
            <w:tcW w:w="606" w:type="pct"/>
            <w:noWrap/>
            <w:hideMark/>
          </w:tcPr>
          <w:p w14:paraId="18F74386" w14:textId="77777777" w:rsidR="00E30483" w:rsidRPr="00172C39" w:rsidRDefault="00E30483" w:rsidP="00646664">
            <w:pPr>
              <w:pStyle w:val="NoSpacing"/>
            </w:pPr>
            <w:r w:rsidRPr="00172C39">
              <w:t>Free to access</w:t>
            </w:r>
          </w:p>
        </w:tc>
        <w:tc>
          <w:tcPr>
            <w:tcW w:w="436" w:type="pct"/>
            <w:noWrap/>
            <w:hideMark/>
          </w:tcPr>
          <w:p w14:paraId="60E62AD8" w14:textId="77777777" w:rsidR="00E30483" w:rsidRPr="00172C39" w:rsidRDefault="00E30483" w:rsidP="00646664">
            <w:pPr>
              <w:pStyle w:val="NoSpacing"/>
              <w:jc w:val="center"/>
            </w:pPr>
            <w:r w:rsidRPr="00172C39">
              <w:t>p</w:t>
            </w:r>
          </w:p>
        </w:tc>
        <w:tc>
          <w:tcPr>
            <w:tcW w:w="841" w:type="pct"/>
            <w:noWrap/>
            <w:hideMark/>
          </w:tcPr>
          <w:p w14:paraId="79067F06" w14:textId="77777777" w:rsidR="00E30483" w:rsidRPr="00172C39" w:rsidRDefault="00E30483" w:rsidP="00646664">
            <w:pPr>
              <w:pStyle w:val="NoSpacing"/>
              <w:jc w:val="center"/>
            </w:pPr>
            <w:r w:rsidRPr="00172C39">
              <w:t>0 (0%)</w:t>
            </w:r>
          </w:p>
        </w:tc>
        <w:tc>
          <w:tcPr>
            <w:tcW w:w="738" w:type="pct"/>
            <w:noWrap/>
            <w:hideMark/>
          </w:tcPr>
          <w:p w14:paraId="0944123A" w14:textId="77777777" w:rsidR="00E30483" w:rsidRPr="00172C39" w:rsidRDefault="00E30483" w:rsidP="00646664">
            <w:pPr>
              <w:pStyle w:val="NoSpacing"/>
              <w:jc w:val="center"/>
            </w:pPr>
            <w:r w:rsidRPr="00172C39">
              <w:t>0 (0%)</w:t>
            </w:r>
          </w:p>
        </w:tc>
        <w:tc>
          <w:tcPr>
            <w:tcW w:w="597" w:type="pct"/>
            <w:noWrap/>
            <w:hideMark/>
          </w:tcPr>
          <w:p w14:paraId="137BF717" w14:textId="77777777" w:rsidR="00E30483" w:rsidRPr="00172C39" w:rsidRDefault="00E30483" w:rsidP="00646664">
            <w:pPr>
              <w:pStyle w:val="NoSpacing"/>
              <w:jc w:val="center"/>
            </w:pPr>
            <w:r w:rsidRPr="00172C39">
              <w:t>y</w:t>
            </w:r>
          </w:p>
        </w:tc>
        <w:tc>
          <w:tcPr>
            <w:tcW w:w="637" w:type="pct"/>
            <w:noWrap/>
            <w:hideMark/>
          </w:tcPr>
          <w:p w14:paraId="15C2F3CA" w14:textId="77777777" w:rsidR="00E30483" w:rsidRPr="00172C39" w:rsidRDefault="00E30483" w:rsidP="00646664">
            <w:pPr>
              <w:pStyle w:val="NoSpacing"/>
              <w:jc w:val="center"/>
            </w:pPr>
            <w:r w:rsidRPr="00172C39">
              <w:t>n</w:t>
            </w:r>
          </w:p>
        </w:tc>
      </w:tr>
      <w:tr w:rsidR="00E30483" w:rsidRPr="00172C39" w14:paraId="5A520199" w14:textId="77777777" w:rsidTr="007C1C18">
        <w:trPr>
          <w:trHeight w:val="300"/>
        </w:trPr>
        <w:tc>
          <w:tcPr>
            <w:tcW w:w="560" w:type="pct"/>
            <w:noWrap/>
            <w:hideMark/>
          </w:tcPr>
          <w:p w14:paraId="2F55FB74" w14:textId="77777777" w:rsidR="00E30483" w:rsidRPr="00172C39" w:rsidRDefault="00E30483" w:rsidP="00646664">
            <w:pPr>
              <w:pStyle w:val="NoSpacing"/>
            </w:pPr>
            <w:r w:rsidRPr="00172C39">
              <w:t>Happy Healthy App</w:t>
            </w:r>
          </w:p>
        </w:tc>
        <w:tc>
          <w:tcPr>
            <w:tcW w:w="585" w:type="pct"/>
          </w:tcPr>
          <w:p w14:paraId="109C4B37" w14:textId="77777777" w:rsidR="00E30483" w:rsidRPr="00BF7226" w:rsidRDefault="00E30483" w:rsidP="00646664">
            <w:pPr>
              <w:pStyle w:val="NoSpacing"/>
            </w:pPr>
            <w:r w:rsidRPr="00BF7226">
              <w:t>Tools for wellbeing</w:t>
            </w:r>
          </w:p>
        </w:tc>
        <w:tc>
          <w:tcPr>
            <w:tcW w:w="606" w:type="pct"/>
            <w:noWrap/>
            <w:hideMark/>
          </w:tcPr>
          <w:p w14:paraId="56FE27B0" w14:textId="77777777" w:rsidR="00E30483" w:rsidRPr="00172C39" w:rsidRDefault="00E30483" w:rsidP="00646664">
            <w:pPr>
              <w:pStyle w:val="NoSpacing"/>
            </w:pPr>
            <w:r w:rsidRPr="00172C39">
              <w:t>Free to access</w:t>
            </w:r>
          </w:p>
        </w:tc>
        <w:tc>
          <w:tcPr>
            <w:tcW w:w="436" w:type="pct"/>
            <w:noWrap/>
            <w:hideMark/>
          </w:tcPr>
          <w:p w14:paraId="6F45794E" w14:textId="77777777" w:rsidR="00E30483" w:rsidRPr="00172C39" w:rsidRDefault="00E30483" w:rsidP="00646664">
            <w:pPr>
              <w:pStyle w:val="NoSpacing"/>
              <w:jc w:val="center"/>
            </w:pPr>
            <w:r w:rsidRPr="00172C39">
              <w:t>p</w:t>
            </w:r>
          </w:p>
        </w:tc>
        <w:tc>
          <w:tcPr>
            <w:tcW w:w="841" w:type="pct"/>
            <w:noWrap/>
            <w:hideMark/>
          </w:tcPr>
          <w:p w14:paraId="574B9487" w14:textId="77777777" w:rsidR="00E30483" w:rsidRPr="00172C39" w:rsidRDefault="00E30483" w:rsidP="00646664">
            <w:pPr>
              <w:pStyle w:val="NoSpacing"/>
              <w:jc w:val="center"/>
            </w:pPr>
            <w:r w:rsidRPr="00172C39">
              <w:t>0 (0%)</w:t>
            </w:r>
          </w:p>
        </w:tc>
        <w:tc>
          <w:tcPr>
            <w:tcW w:w="738" w:type="pct"/>
            <w:noWrap/>
            <w:hideMark/>
          </w:tcPr>
          <w:p w14:paraId="098DEE2A" w14:textId="77777777" w:rsidR="00E30483" w:rsidRPr="00172C39" w:rsidRDefault="00E30483" w:rsidP="00646664">
            <w:pPr>
              <w:pStyle w:val="NoSpacing"/>
              <w:jc w:val="center"/>
            </w:pPr>
            <w:r w:rsidRPr="00172C39">
              <w:t>0 (0%)</w:t>
            </w:r>
          </w:p>
        </w:tc>
        <w:tc>
          <w:tcPr>
            <w:tcW w:w="597" w:type="pct"/>
            <w:noWrap/>
            <w:hideMark/>
          </w:tcPr>
          <w:p w14:paraId="24F6830C" w14:textId="77777777" w:rsidR="00E30483" w:rsidRPr="00172C39" w:rsidRDefault="00E30483" w:rsidP="00646664">
            <w:pPr>
              <w:pStyle w:val="NoSpacing"/>
              <w:jc w:val="center"/>
            </w:pPr>
            <w:r w:rsidRPr="00172C39">
              <w:t>y</w:t>
            </w:r>
          </w:p>
        </w:tc>
        <w:tc>
          <w:tcPr>
            <w:tcW w:w="637" w:type="pct"/>
            <w:noWrap/>
            <w:hideMark/>
          </w:tcPr>
          <w:p w14:paraId="200E2945" w14:textId="77777777" w:rsidR="00E30483" w:rsidRPr="00172C39" w:rsidRDefault="00E30483" w:rsidP="00646664">
            <w:pPr>
              <w:pStyle w:val="NoSpacing"/>
              <w:jc w:val="center"/>
            </w:pPr>
            <w:r w:rsidRPr="00172C39">
              <w:t>n</w:t>
            </w:r>
          </w:p>
        </w:tc>
      </w:tr>
      <w:tr w:rsidR="00E30483" w:rsidRPr="00172C39" w14:paraId="4D2BFEEB" w14:textId="77777777" w:rsidTr="007C1C18">
        <w:trPr>
          <w:trHeight w:val="300"/>
        </w:trPr>
        <w:tc>
          <w:tcPr>
            <w:tcW w:w="560" w:type="pct"/>
            <w:noWrap/>
            <w:hideMark/>
          </w:tcPr>
          <w:p w14:paraId="17143A01" w14:textId="77777777" w:rsidR="00E30483" w:rsidRPr="00172C39" w:rsidRDefault="00E30483" w:rsidP="00646664">
            <w:pPr>
              <w:pStyle w:val="NoSpacing"/>
            </w:pPr>
            <w:proofErr w:type="spellStart"/>
            <w:r w:rsidRPr="00172C39">
              <w:t>HealthStored</w:t>
            </w:r>
            <w:proofErr w:type="spellEnd"/>
          </w:p>
        </w:tc>
        <w:tc>
          <w:tcPr>
            <w:tcW w:w="585" w:type="pct"/>
          </w:tcPr>
          <w:p w14:paraId="7E01EFA8" w14:textId="77777777" w:rsidR="00E30483" w:rsidRPr="00BF7226" w:rsidRDefault="00E30483" w:rsidP="00646664">
            <w:pPr>
              <w:pStyle w:val="NoSpacing"/>
            </w:pPr>
            <w:r w:rsidRPr="00BF7226">
              <w:t>Health tracker</w:t>
            </w:r>
          </w:p>
        </w:tc>
        <w:tc>
          <w:tcPr>
            <w:tcW w:w="606" w:type="pct"/>
            <w:noWrap/>
            <w:hideMark/>
          </w:tcPr>
          <w:p w14:paraId="2B54022F" w14:textId="77777777" w:rsidR="00E30483" w:rsidRPr="00172C39" w:rsidRDefault="00E30483" w:rsidP="00646664">
            <w:pPr>
              <w:pStyle w:val="NoSpacing"/>
            </w:pPr>
            <w:r w:rsidRPr="00172C39">
              <w:t>Free to access</w:t>
            </w:r>
          </w:p>
        </w:tc>
        <w:tc>
          <w:tcPr>
            <w:tcW w:w="436" w:type="pct"/>
            <w:noWrap/>
            <w:hideMark/>
          </w:tcPr>
          <w:p w14:paraId="50E48C2E" w14:textId="77777777" w:rsidR="00E30483" w:rsidRPr="00172C39" w:rsidRDefault="00E30483" w:rsidP="00646664">
            <w:pPr>
              <w:pStyle w:val="NoSpacing"/>
              <w:jc w:val="center"/>
            </w:pPr>
            <w:r w:rsidRPr="00172C39">
              <w:t>p</w:t>
            </w:r>
          </w:p>
        </w:tc>
        <w:tc>
          <w:tcPr>
            <w:tcW w:w="841" w:type="pct"/>
            <w:noWrap/>
            <w:hideMark/>
          </w:tcPr>
          <w:p w14:paraId="6AE2A902" w14:textId="77777777" w:rsidR="00E30483" w:rsidRPr="00172C39" w:rsidRDefault="00E30483" w:rsidP="00646664">
            <w:pPr>
              <w:pStyle w:val="NoSpacing"/>
              <w:jc w:val="center"/>
            </w:pPr>
            <w:r w:rsidRPr="00172C39">
              <w:t>0 (0%)</w:t>
            </w:r>
          </w:p>
        </w:tc>
        <w:tc>
          <w:tcPr>
            <w:tcW w:w="738" w:type="pct"/>
            <w:noWrap/>
            <w:hideMark/>
          </w:tcPr>
          <w:p w14:paraId="147AABF0" w14:textId="77777777" w:rsidR="00E30483" w:rsidRPr="00172C39" w:rsidRDefault="00E30483" w:rsidP="00646664">
            <w:pPr>
              <w:pStyle w:val="NoSpacing"/>
              <w:jc w:val="center"/>
            </w:pPr>
            <w:r w:rsidRPr="00172C39">
              <w:t>0 (0%)</w:t>
            </w:r>
          </w:p>
        </w:tc>
        <w:tc>
          <w:tcPr>
            <w:tcW w:w="597" w:type="pct"/>
            <w:noWrap/>
            <w:hideMark/>
          </w:tcPr>
          <w:p w14:paraId="4122D38E" w14:textId="77777777" w:rsidR="00E30483" w:rsidRPr="00172C39" w:rsidRDefault="00E30483" w:rsidP="00646664">
            <w:pPr>
              <w:pStyle w:val="NoSpacing"/>
              <w:jc w:val="center"/>
            </w:pPr>
            <w:r w:rsidRPr="00172C39">
              <w:t>y</w:t>
            </w:r>
          </w:p>
        </w:tc>
        <w:tc>
          <w:tcPr>
            <w:tcW w:w="637" w:type="pct"/>
            <w:noWrap/>
            <w:hideMark/>
          </w:tcPr>
          <w:p w14:paraId="701ABF5B" w14:textId="77777777" w:rsidR="00E30483" w:rsidRPr="00172C39" w:rsidRDefault="00E30483" w:rsidP="00646664">
            <w:pPr>
              <w:pStyle w:val="NoSpacing"/>
              <w:jc w:val="center"/>
            </w:pPr>
            <w:r w:rsidRPr="00172C39">
              <w:t>n</w:t>
            </w:r>
          </w:p>
        </w:tc>
      </w:tr>
      <w:tr w:rsidR="00E30483" w:rsidRPr="00172C39" w14:paraId="40AECA99" w14:textId="77777777" w:rsidTr="007C1C18">
        <w:trPr>
          <w:trHeight w:val="300"/>
        </w:trPr>
        <w:tc>
          <w:tcPr>
            <w:tcW w:w="560" w:type="pct"/>
            <w:noWrap/>
            <w:hideMark/>
          </w:tcPr>
          <w:p w14:paraId="2BDF56C3" w14:textId="77777777" w:rsidR="00E30483" w:rsidRPr="00172C39" w:rsidRDefault="00E30483" w:rsidP="00646664">
            <w:pPr>
              <w:pStyle w:val="NoSpacing"/>
            </w:pPr>
            <w:r w:rsidRPr="00172C39">
              <w:t>Healthy Living</w:t>
            </w:r>
          </w:p>
        </w:tc>
        <w:tc>
          <w:tcPr>
            <w:tcW w:w="585" w:type="pct"/>
          </w:tcPr>
          <w:p w14:paraId="32104511" w14:textId="77777777" w:rsidR="00E30483" w:rsidRPr="00BF7226" w:rsidRDefault="00E30483" w:rsidP="00646664">
            <w:pPr>
              <w:pStyle w:val="NoSpacing"/>
            </w:pPr>
            <w:r w:rsidRPr="00BF7226">
              <w:t>Guide to healthy living</w:t>
            </w:r>
          </w:p>
        </w:tc>
        <w:tc>
          <w:tcPr>
            <w:tcW w:w="606" w:type="pct"/>
            <w:noWrap/>
            <w:hideMark/>
          </w:tcPr>
          <w:p w14:paraId="353668EE" w14:textId="77777777" w:rsidR="00E30483" w:rsidRPr="00172C39" w:rsidRDefault="00E30483" w:rsidP="00646664">
            <w:pPr>
              <w:pStyle w:val="NoSpacing"/>
            </w:pPr>
            <w:r w:rsidRPr="00172C39">
              <w:t>Free to access</w:t>
            </w:r>
          </w:p>
        </w:tc>
        <w:tc>
          <w:tcPr>
            <w:tcW w:w="436" w:type="pct"/>
            <w:noWrap/>
            <w:hideMark/>
          </w:tcPr>
          <w:p w14:paraId="03643E71" w14:textId="77777777" w:rsidR="00E30483" w:rsidRPr="00172C39" w:rsidRDefault="00E30483" w:rsidP="00646664">
            <w:pPr>
              <w:pStyle w:val="NoSpacing"/>
              <w:jc w:val="center"/>
            </w:pPr>
            <w:r w:rsidRPr="00172C39">
              <w:t>p</w:t>
            </w:r>
          </w:p>
        </w:tc>
        <w:tc>
          <w:tcPr>
            <w:tcW w:w="841" w:type="pct"/>
            <w:noWrap/>
            <w:hideMark/>
          </w:tcPr>
          <w:p w14:paraId="37BC2F92" w14:textId="77777777" w:rsidR="00E30483" w:rsidRPr="00172C39" w:rsidRDefault="00E30483" w:rsidP="00646664">
            <w:pPr>
              <w:pStyle w:val="NoSpacing"/>
              <w:jc w:val="center"/>
            </w:pPr>
            <w:r w:rsidRPr="00172C39">
              <w:t>0 (0%)</w:t>
            </w:r>
          </w:p>
        </w:tc>
        <w:tc>
          <w:tcPr>
            <w:tcW w:w="738" w:type="pct"/>
            <w:noWrap/>
            <w:hideMark/>
          </w:tcPr>
          <w:p w14:paraId="4979C88F" w14:textId="77777777" w:rsidR="00E30483" w:rsidRPr="00172C39" w:rsidRDefault="00E30483" w:rsidP="00646664">
            <w:pPr>
              <w:pStyle w:val="NoSpacing"/>
              <w:jc w:val="center"/>
            </w:pPr>
            <w:r w:rsidRPr="00172C39">
              <w:t>0 (0%)</w:t>
            </w:r>
          </w:p>
        </w:tc>
        <w:tc>
          <w:tcPr>
            <w:tcW w:w="597" w:type="pct"/>
            <w:noWrap/>
            <w:hideMark/>
          </w:tcPr>
          <w:p w14:paraId="600FEB97" w14:textId="77777777" w:rsidR="00E30483" w:rsidRPr="00172C39" w:rsidRDefault="00E30483" w:rsidP="00646664">
            <w:pPr>
              <w:pStyle w:val="NoSpacing"/>
              <w:jc w:val="center"/>
            </w:pPr>
            <w:r w:rsidRPr="00172C39">
              <w:t>y</w:t>
            </w:r>
          </w:p>
        </w:tc>
        <w:tc>
          <w:tcPr>
            <w:tcW w:w="637" w:type="pct"/>
            <w:noWrap/>
            <w:hideMark/>
          </w:tcPr>
          <w:p w14:paraId="5DCDF14C" w14:textId="77777777" w:rsidR="00E30483" w:rsidRPr="00172C39" w:rsidRDefault="00E30483" w:rsidP="00646664">
            <w:pPr>
              <w:pStyle w:val="NoSpacing"/>
              <w:jc w:val="center"/>
            </w:pPr>
            <w:r w:rsidRPr="00172C39">
              <w:t>n</w:t>
            </w:r>
          </w:p>
        </w:tc>
      </w:tr>
      <w:tr w:rsidR="00E30483" w:rsidRPr="00172C39" w14:paraId="7E34E725" w14:textId="77777777" w:rsidTr="007C1C18">
        <w:trPr>
          <w:trHeight w:val="300"/>
        </w:trPr>
        <w:tc>
          <w:tcPr>
            <w:tcW w:w="560" w:type="pct"/>
            <w:noWrap/>
            <w:hideMark/>
          </w:tcPr>
          <w:p w14:paraId="0C9F2F32" w14:textId="77777777" w:rsidR="00E30483" w:rsidRPr="00172C39" w:rsidRDefault="00E30483" w:rsidP="00646664">
            <w:pPr>
              <w:pStyle w:val="NoSpacing"/>
            </w:pPr>
            <w:r w:rsidRPr="00172C39">
              <w:t>Hello Brain Health</w:t>
            </w:r>
          </w:p>
        </w:tc>
        <w:tc>
          <w:tcPr>
            <w:tcW w:w="585" w:type="pct"/>
          </w:tcPr>
          <w:p w14:paraId="51E23BF3" w14:textId="77777777" w:rsidR="00E30483" w:rsidRPr="00BF7226" w:rsidRDefault="00E30483" w:rsidP="00646664">
            <w:pPr>
              <w:pStyle w:val="NoSpacing"/>
            </w:pPr>
            <w:r w:rsidRPr="00BF7226">
              <w:t>Brain exercises for better health</w:t>
            </w:r>
          </w:p>
        </w:tc>
        <w:tc>
          <w:tcPr>
            <w:tcW w:w="606" w:type="pct"/>
            <w:noWrap/>
            <w:hideMark/>
          </w:tcPr>
          <w:p w14:paraId="6F22A840" w14:textId="77777777" w:rsidR="00E30483" w:rsidRPr="00172C39" w:rsidRDefault="00E30483" w:rsidP="00646664">
            <w:pPr>
              <w:pStyle w:val="NoSpacing"/>
            </w:pPr>
            <w:r w:rsidRPr="00172C39">
              <w:t>Free to access</w:t>
            </w:r>
          </w:p>
        </w:tc>
        <w:tc>
          <w:tcPr>
            <w:tcW w:w="436" w:type="pct"/>
            <w:noWrap/>
            <w:hideMark/>
          </w:tcPr>
          <w:p w14:paraId="1F9D8A53" w14:textId="77777777" w:rsidR="00E30483" w:rsidRPr="00172C39" w:rsidRDefault="00E30483" w:rsidP="00646664">
            <w:pPr>
              <w:pStyle w:val="NoSpacing"/>
              <w:jc w:val="center"/>
            </w:pPr>
            <w:r w:rsidRPr="00172C39">
              <w:t>p</w:t>
            </w:r>
          </w:p>
        </w:tc>
        <w:tc>
          <w:tcPr>
            <w:tcW w:w="841" w:type="pct"/>
            <w:noWrap/>
            <w:hideMark/>
          </w:tcPr>
          <w:p w14:paraId="79D05B5B" w14:textId="77777777" w:rsidR="00E30483" w:rsidRPr="00172C39" w:rsidRDefault="00E30483" w:rsidP="00646664">
            <w:pPr>
              <w:pStyle w:val="NoSpacing"/>
              <w:jc w:val="center"/>
            </w:pPr>
            <w:r w:rsidRPr="00172C39">
              <w:t>0 (0%)</w:t>
            </w:r>
          </w:p>
        </w:tc>
        <w:tc>
          <w:tcPr>
            <w:tcW w:w="738" w:type="pct"/>
            <w:noWrap/>
            <w:hideMark/>
          </w:tcPr>
          <w:p w14:paraId="494D9DA8" w14:textId="77777777" w:rsidR="00E30483" w:rsidRPr="00172C39" w:rsidRDefault="00E30483" w:rsidP="00646664">
            <w:pPr>
              <w:pStyle w:val="NoSpacing"/>
              <w:jc w:val="center"/>
            </w:pPr>
            <w:r w:rsidRPr="00172C39">
              <w:t>0 (0%)</w:t>
            </w:r>
          </w:p>
        </w:tc>
        <w:tc>
          <w:tcPr>
            <w:tcW w:w="597" w:type="pct"/>
            <w:noWrap/>
            <w:hideMark/>
          </w:tcPr>
          <w:p w14:paraId="41A60994" w14:textId="77777777" w:rsidR="00E30483" w:rsidRPr="00172C39" w:rsidRDefault="00E30483" w:rsidP="00646664">
            <w:pPr>
              <w:pStyle w:val="NoSpacing"/>
              <w:jc w:val="center"/>
            </w:pPr>
            <w:r w:rsidRPr="00172C39">
              <w:t>y</w:t>
            </w:r>
          </w:p>
        </w:tc>
        <w:tc>
          <w:tcPr>
            <w:tcW w:w="637" w:type="pct"/>
            <w:noWrap/>
            <w:hideMark/>
          </w:tcPr>
          <w:p w14:paraId="19CA3A8D" w14:textId="77777777" w:rsidR="00E30483" w:rsidRPr="00172C39" w:rsidRDefault="00E30483" w:rsidP="00646664">
            <w:pPr>
              <w:pStyle w:val="NoSpacing"/>
              <w:jc w:val="center"/>
            </w:pPr>
            <w:r w:rsidRPr="00172C39">
              <w:t>n</w:t>
            </w:r>
          </w:p>
        </w:tc>
      </w:tr>
      <w:tr w:rsidR="00E30483" w:rsidRPr="00172C39" w14:paraId="5ABCD924" w14:textId="77777777" w:rsidTr="007C1C18">
        <w:trPr>
          <w:trHeight w:val="300"/>
        </w:trPr>
        <w:tc>
          <w:tcPr>
            <w:tcW w:w="560" w:type="pct"/>
            <w:noWrap/>
            <w:hideMark/>
          </w:tcPr>
          <w:p w14:paraId="4E9471EC" w14:textId="77777777" w:rsidR="00E30483" w:rsidRPr="00172C39" w:rsidRDefault="00E30483" w:rsidP="00646664">
            <w:pPr>
              <w:pStyle w:val="NoSpacing"/>
            </w:pPr>
            <w:proofErr w:type="spellStart"/>
            <w:r w:rsidRPr="00172C39">
              <w:t>Moodbug</w:t>
            </w:r>
            <w:proofErr w:type="spellEnd"/>
          </w:p>
        </w:tc>
        <w:tc>
          <w:tcPr>
            <w:tcW w:w="585" w:type="pct"/>
          </w:tcPr>
          <w:p w14:paraId="2FE351C3" w14:textId="77777777" w:rsidR="00E30483" w:rsidRPr="00BF7226" w:rsidRDefault="00E30483" w:rsidP="00646664">
            <w:pPr>
              <w:pStyle w:val="NoSpacing"/>
            </w:pPr>
            <w:r w:rsidRPr="00BF7226">
              <w:t>Mood tracker</w:t>
            </w:r>
          </w:p>
        </w:tc>
        <w:tc>
          <w:tcPr>
            <w:tcW w:w="606" w:type="pct"/>
            <w:noWrap/>
            <w:hideMark/>
          </w:tcPr>
          <w:p w14:paraId="3EC47650" w14:textId="77777777" w:rsidR="00E30483" w:rsidRPr="00172C39" w:rsidRDefault="00E30483" w:rsidP="00646664">
            <w:pPr>
              <w:pStyle w:val="NoSpacing"/>
            </w:pPr>
            <w:r w:rsidRPr="00172C39">
              <w:t>Free to access</w:t>
            </w:r>
          </w:p>
        </w:tc>
        <w:tc>
          <w:tcPr>
            <w:tcW w:w="436" w:type="pct"/>
            <w:noWrap/>
            <w:hideMark/>
          </w:tcPr>
          <w:p w14:paraId="11FBB80D" w14:textId="77777777" w:rsidR="00E30483" w:rsidRPr="00172C39" w:rsidRDefault="00E30483" w:rsidP="00646664">
            <w:pPr>
              <w:pStyle w:val="NoSpacing"/>
              <w:jc w:val="center"/>
            </w:pPr>
            <w:r w:rsidRPr="00172C39">
              <w:t>p</w:t>
            </w:r>
          </w:p>
        </w:tc>
        <w:tc>
          <w:tcPr>
            <w:tcW w:w="841" w:type="pct"/>
            <w:noWrap/>
            <w:hideMark/>
          </w:tcPr>
          <w:p w14:paraId="00D08E2A" w14:textId="77777777" w:rsidR="00E30483" w:rsidRPr="00172C39" w:rsidRDefault="00E30483" w:rsidP="00646664">
            <w:pPr>
              <w:pStyle w:val="NoSpacing"/>
              <w:jc w:val="center"/>
            </w:pPr>
            <w:r w:rsidRPr="00172C39">
              <w:t>0 (0%)</w:t>
            </w:r>
          </w:p>
        </w:tc>
        <w:tc>
          <w:tcPr>
            <w:tcW w:w="738" w:type="pct"/>
            <w:noWrap/>
            <w:hideMark/>
          </w:tcPr>
          <w:p w14:paraId="5BEA80A7" w14:textId="77777777" w:rsidR="00E30483" w:rsidRPr="00172C39" w:rsidRDefault="00E30483" w:rsidP="00646664">
            <w:pPr>
              <w:pStyle w:val="NoSpacing"/>
              <w:jc w:val="center"/>
            </w:pPr>
            <w:r w:rsidRPr="00172C39">
              <w:t>0 (0%)</w:t>
            </w:r>
          </w:p>
        </w:tc>
        <w:tc>
          <w:tcPr>
            <w:tcW w:w="597" w:type="pct"/>
            <w:noWrap/>
            <w:hideMark/>
          </w:tcPr>
          <w:p w14:paraId="4E5664A1" w14:textId="77777777" w:rsidR="00E30483" w:rsidRPr="00172C39" w:rsidRDefault="00E30483" w:rsidP="00646664">
            <w:pPr>
              <w:pStyle w:val="NoSpacing"/>
              <w:jc w:val="center"/>
            </w:pPr>
            <w:r w:rsidRPr="00172C39">
              <w:t>y</w:t>
            </w:r>
          </w:p>
        </w:tc>
        <w:tc>
          <w:tcPr>
            <w:tcW w:w="637" w:type="pct"/>
            <w:noWrap/>
            <w:hideMark/>
          </w:tcPr>
          <w:p w14:paraId="635F513F" w14:textId="77777777" w:rsidR="00E30483" w:rsidRPr="00172C39" w:rsidRDefault="00E30483" w:rsidP="00646664">
            <w:pPr>
              <w:pStyle w:val="NoSpacing"/>
              <w:jc w:val="center"/>
            </w:pPr>
            <w:r w:rsidRPr="00172C39">
              <w:t>n</w:t>
            </w:r>
          </w:p>
        </w:tc>
      </w:tr>
      <w:tr w:rsidR="00E30483" w:rsidRPr="00172C39" w14:paraId="26B3DE1A" w14:textId="77777777" w:rsidTr="007C1C18">
        <w:trPr>
          <w:trHeight w:val="300"/>
        </w:trPr>
        <w:tc>
          <w:tcPr>
            <w:tcW w:w="560" w:type="pct"/>
            <w:noWrap/>
            <w:hideMark/>
          </w:tcPr>
          <w:p w14:paraId="19E33291" w14:textId="77777777" w:rsidR="00E30483" w:rsidRPr="00172C39" w:rsidRDefault="00E30483" w:rsidP="00646664">
            <w:pPr>
              <w:pStyle w:val="NoSpacing"/>
            </w:pPr>
            <w:r w:rsidRPr="00172C39">
              <w:lastRenderedPageBreak/>
              <w:t>SAM: Self-help for Anxiety</w:t>
            </w:r>
          </w:p>
        </w:tc>
        <w:tc>
          <w:tcPr>
            <w:tcW w:w="585" w:type="pct"/>
          </w:tcPr>
          <w:p w14:paraId="3C179B26" w14:textId="77777777" w:rsidR="00E30483" w:rsidRPr="00BF7226" w:rsidRDefault="00E30483" w:rsidP="00646664">
            <w:pPr>
              <w:pStyle w:val="NoSpacing"/>
            </w:pPr>
            <w:r w:rsidRPr="00BF7226">
              <w:t>Tools to help with anxiety</w:t>
            </w:r>
          </w:p>
        </w:tc>
        <w:tc>
          <w:tcPr>
            <w:tcW w:w="606" w:type="pct"/>
            <w:noWrap/>
            <w:hideMark/>
          </w:tcPr>
          <w:p w14:paraId="70A7DCAA" w14:textId="77777777" w:rsidR="00E30483" w:rsidRPr="00172C39" w:rsidRDefault="00E30483" w:rsidP="00646664">
            <w:pPr>
              <w:pStyle w:val="NoSpacing"/>
            </w:pPr>
            <w:r w:rsidRPr="00172C39">
              <w:t>Free to access</w:t>
            </w:r>
          </w:p>
        </w:tc>
        <w:tc>
          <w:tcPr>
            <w:tcW w:w="436" w:type="pct"/>
            <w:noWrap/>
            <w:hideMark/>
          </w:tcPr>
          <w:p w14:paraId="72C95A1E" w14:textId="77777777" w:rsidR="00E30483" w:rsidRPr="00172C39" w:rsidRDefault="00E30483" w:rsidP="00646664">
            <w:pPr>
              <w:pStyle w:val="NoSpacing"/>
              <w:jc w:val="center"/>
            </w:pPr>
            <w:r w:rsidRPr="00172C39">
              <w:t>p</w:t>
            </w:r>
          </w:p>
        </w:tc>
        <w:tc>
          <w:tcPr>
            <w:tcW w:w="841" w:type="pct"/>
            <w:noWrap/>
            <w:hideMark/>
          </w:tcPr>
          <w:p w14:paraId="3193348C" w14:textId="77777777" w:rsidR="00E30483" w:rsidRPr="00172C39" w:rsidRDefault="00E30483" w:rsidP="00646664">
            <w:pPr>
              <w:pStyle w:val="NoSpacing"/>
              <w:jc w:val="center"/>
            </w:pPr>
            <w:r w:rsidRPr="00172C39">
              <w:t>0 (0%)</w:t>
            </w:r>
          </w:p>
        </w:tc>
        <w:tc>
          <w:tcPr>
            <w:tcW w:w="738" w:type="pct"/>
            <w:noWrap/>
            <w:hideMark/>
          </w:tcPr>
          <w:p w14:paraId="7753BE3D" w14:textId="77777777" w:rsidR="00E30483" w:rsidRPr="00172C39" w:rsidRDefault="00E30483" w:rsidP="00646664">
            <w:pPr>
              <w:pStyle w:val="NoSpacing"/>
              <w:jc w:val="center"/>
            </w:pPr>
            <w:r w:rsidRPr="00172C39">
              <w:t>0 (0%)</w:t>
            </w:r>
          </w:p>
        </w:tc>
        <w:tc>
          <w:tcPr>
            <w:tcW w:w="597" w:type="pct"/>
            <w:noWrap/>
            <w:hideMark/>
          </w:tcPr>
          <w:p w14:paraId="62B63321" w14:textId="77777777" w:rsidR="00E30483" w:rsidRPr="00172C39" w:rsidRDefault="00E30483" w:rsidP="00646664">
            <w:pPr>
              <w:pStyle w:val="NoSpacing"/>
              <w:jc w:val="center"/>
            </w:pPr>
            <w:r w:rsidRPr="00172C39">
              <w:t>y</w:t>
            </w:r>
          </w:p>
        </w:tc>
        <w:tc>
          <w:tcPr>
            <w:tcW w:w="637" w:type="pct"/>
            <w:noWrap/>
            <w:hideMark/>
          </w:tcPr>
          <w:p w14:paraId="02D45454" w14:textId="77777777" w:rsidR="00E30483" w:rsidRPr="00172C39" w:rsidRDefault="00E30483" w:rsidP="00646664">
            <w:pPr>
              <w:pStyle w:val="NoSpacing"/>
              <w:jc w:val="center"/>
            </w:pPr>
            <w:r w:rsidRPr="00172C39">
              <w:t>n</w:t>
            </w:r>
          </w:p>
        </w:tc>
      </w:tr>
      <w:tr w:rsidR="00E30483" w:rsidRPr="00172C39" w14:paraId="602FBA79" w14:textId="77777777" w:rsidTr="007C1C18">
        <w:trPr>
          <w:trHeight w:val="300"/>
        </w:trPr>
        <w:tc>
          <w:tcPr>
            <w:tcW w:w="560" w:type="pct"/>
            <w:tcBorders>
              <w:bottom w:val="single" w:sz="4" w:space="0" w:color="auto"/>
            </w:tcBorders>
            <w:noWrap/>
            <w:hideMark/>
          </w:tcPr>
          <w:p w14:paraId="5D5C5F24" w14:textId="77777777" w:rsidR="00E30483" w:rsidRPr="00172C39" w:rsidRDefault="00E30483" w:rsidP="00646664">
            <w:pPr>
              <w:pStyle w:val="NoSpacing"/>
            </w:pPr>
            <w:r w:rsidRPr="00172C39">
              <w:t>Stress &amp; Anxiety Companion</w:t>
            </w:r>
          </w:p>
        </w:tc>
        <w:tc>
          <w:tcPr>
            <w:tcW w:w="585" w:type="pct"/>
            <w:tcBorders>
              <w:bottom w:val="single" w:sz="4" w:space="0" w:color="auto"/>
            </w:tcBorders>
          </w:tcPr>
          <w:p w14:paraId="3BBAD4CD" w14:textId="77777777" w:rsidR="00E30483" w:rsidRPr="00BF7226" w:rsidRDefault="00E30483" w:rsidP="00646664">
            <w:pPr>
              <w:pStyle w:val="NoSpacing"/>
            </w:pPr>
            <w:r w:rsidRPr="00BF7226">
              <w:t>Tools to help with anxiety</w:t>
            </w:r>
          </w:p>
        </w:tc>
        <w:tc>
          <w:tcPr>
            <w:tcW w:w="606" w:type="pct"/>
            <w:tcBorders>
              <w:bottom w:val="single" w:sz="4" w:space="0" w:color="auto"/>
            </w:tcBorders>
            <w:noWrap/>
            <w:hideMark/>
          </w:tcPr>
          <w:p w14:paraId="09828575" w14:textId="77777777" w:rsidR="00E30483" w:rsidRPr="00172C39" w:rsidRDefault="00E30483" w:rsidP="00646664">
            <w:pPr>
              <w:pStyle w:val="NoSpacing"/>
            </w:pPr>
            <w:r w:rsidRPr="00172C39">
              <w:t>Free to access</w:t>
            </w:r>
          </w:p>
        </w:tc>
        <w:tc>
          <w:tcPr>
            <w:tcW w:w="436" w:type="pct"/>
            <w:tcBorders>
              <w:bottom w:val="single" w:sz="4" w:space="0" w:color="auto"/>
            </w:tcBorders>
            <w:noWrap/>
            <w:hideMark/>
          </w:tcPr>
          <w:p w14:paraId="6F4689D5" w14:textId="77777777" w:rsidR="00E30483" w:rsidRPr="00172C39" w:rsidRDefault="00E30483" w:rsidP="00646664">
            <w:pPr>
              <w:pStyle w:val="NoSpacing"/>
              <w:jc w:val="center"/>
            </w:pPr>
            <w:r w:rsidRPr="00172C39">
              <w:t>p</w:t>
            </w:r>
          </w:p>
        </w:tc>
        <w:tc>
          <w:tcPr>
            <w:tcW w:w="841" w:type="pct"/>
            <w:tcBorders>
              <w:bottom w:val="single" w:sz="4" w:space="0" w:color="auto"/>
            </w:tcBorders>
            <w:noWrap/>
            <w:hideMark/>
          </w:tcPr>
          <w:p w14:paraId="0022904B" w14:textId="77777777" w:rsidR="00E30483" w:rsidRPr="00172C39" w:rsidRDefault="00E30483" w:rsidP="00646664">
            <w:pPr>
              <w:pStyle w:val="NoSpacing"/>
              <w:jc w:val="center"/>
            </w:pPr>
            <w:r w:rsidRPr="00172C39">
              <w:t>0 (0%)</w:t>
            </w:r>
          </w:p>
        </w:tc>
        <w:tc>
          <w:tcPr>
            <w:tcW w:w="738" w:type="pct"/>
            <w:tcBorders>
              <w:bottom w:val="single" w:sz="4" w:space="0" w:color="auto"/>
            </w:tcBorders>
            <w:noWrap/>
            <w:hideMark/>
          </w:tcPr>
          <w:p w14:paraId="49062D8A" w14:textId="77777777" w:rsidR="00E30483" w:rsidRPr="00172C39" w:rsidRDefault="00E30483" w:rsidP="00646664">
            <w:pPr>
              <w:pStyle w:val="NoSpacing"/>
              <w:jc w:val="center"/>
            </w:pPr>
            <w:r w:rsidRPr="00172C39">
              <w:t>0 (0%)</w:t>
            </w:r>
          </w:p>
        </w:tc>
        <w:tc>
          <w:tcPr>
            <w:tcW w:w="597" w:type="pct"/>
            <w:tcBorders>
              <w:bottom w:val="single" w:sz="4" w:space="0" w:color="auto"/>
            </w:tcBorders>
            <w:noWrap/>
            <w:hideMark/>
          </w:tcPr>
          <w:p w14:paraId="0D0DEBFE" w14:textId="77777777" w:rsidR="00E30483" w:rsidRPr="00172C39" w:rsidRDefault="00E30483" w:rsidP="00646664">
            <w:pPr>
              <w:pStyle w:val="NoSpacing"/>
              <w:jc w:val="center"/>
            </w:pPr>
            <w:r w:rsidRPr="00172C39">
              <w:t>y</w:t>
            </w:r>
          </w:p>
        </w:tc>
        <w:tc>
          <w:tcPr>
            <w:tcW w:w="637" w:type="pct"/>
            <w:tcBorders>
              <w:bottom w:val="single" w:sz="4" w:space="0" w:color="auto"/>
            </w:tcBorders>
            <w:noWrap/>
            <w:hideMark/>
          </w:tcPr>
          <w:p w14:paraId="6A231D80" w14:textId="77777777" w:rsidR="00E30483" w:rsidRPr="00172C39" w:rsidRDefault="00E30483" w:rsidP="00646664">
            <w:pPr>
              <w:pStyle w:val="NoSpacing"/>
              <w:jc w:val="center"/>
            </w:pPr>
            <w:r w:rsidRPr="00172C39">
              <w:t>n</w:t>
            </w:r>
          </w:p>
        </w:tc>
      </w:tr>
    </w:tbl>
    <w:p w14:paraId="2211A148" w14:textId="77777777" w:rsidR="00E30483" w:rsidRPr="006873A9" w:rsidRDefault="00E30483" w:rsidP="00E30483">
      <w:pPr>
        <w:rPr>
          <w:b/>
        </w:rPr>
      </w:pPr>
      <w:r>
        <w:rPr>
          <w:b/>
        </w:rPr>
        <w:br/>
      </w:r>
      <w:r w:rsidRPr="006873A9">
        <w:rPr>
          <w:b/>
        </w:rPr>
        <w:t>Notes</w:t>
      </w:r>
    </w:p>
    <w:p w14:paraId="1964FB29" w14:textId="77777777" w:rsidR="00E30483" w:rsidRPr="00172C39" w:rsidRDefault="00E30483" w:rsidP="00E30483">
      <w:pPr>
        <w:rPr>
          <w:rFonts w:cs="Times New Roman"/>
          <w:szCs w:val="24"/>
        </w:rPr>
      </w:pPr>
      <w:r w:rsidRPr="00083FD3">
        <w:rPr>
          <w:rFonts w:cs="Times New Roman"/>
          <w:noProof/>
          <w:szCs w:val="24"/>
          <w:vertAlign w:val="superscript"/>
        </w:rPr>
        <w:t>a</w:t>
      </w:r>
      <w:r w:rsidRPr="00083FD3">
        <w:rPr>
          <w:rFonts w:cs="Times New Roman"/>
          <w:noProof/>
          <w:szCs w:val="24"/>
        </w:rPr>
        <w:t xml:space="preserve"> Beating</w:t>
      </w:r>
      <w:r w:rsidRPr="00172C39">
        <w:rPr>
          <w:rFonts w:cs="Times New Roman"/>
          <w:szCs w:val="24"/>
        </w:rPr>
        <w:t xml:space="preserve"> the Blues developer </w:t>
      </w:r>
      <w:proofErr w:type="spellStart"/>
      <w:r w:rsidRPr="00172C39">
        <w:rPr>
          <w:rFonts w:cs="Times New Roman"/>
          <w:szCs w:val="24"/>
        </w:rPr>
        <w:t>Ultrasis</w:t>
      </w:r>
      <w:proofErr w:type="spellEnd"/>
      <w:r w:rsidRPr="00172C39">
        <w:rPr>
          <w:rFonts w:cs="Times New Roman"/>
          <w:szCs w:val="24"/>
        </w:rPr>
        <w:t xml:space="preserve"> went into administration in October 2015.  The program </w:t>
      </w:r>
      <w:r w:rsidRPr="00083FD3">
        <w:rPr>
          <w:rFonts w:cs="Times New Roman"/>
          <w:noProof/>
          <w:szCs w:val="24"/>
        </w:rPr>
        <w:t>is now linked</w:t>
      </w:r>
      <w:r w:rsidRPr="00172C39">
        <w:rPr>
          <w:rFonts w:cs="Times New Roman"/>
          <w:szCs w:val="24"/>
        </w:rPr>
        <w:t xml:space="preserve"> with 365 Health and Wellbeing </w:t>
      </w:r>
      <w:r>
        <w:rPr>
          <w:rFonts w:cs="Times New Roman"/>
          <w:noProof/>
          <w:szCs w:val="24"/>
        </w:rPr>
        <w:t>L</w:t>
      </w:r>
      <w:r w:rsidRPr="00083FD3">
        <w:rPr>
          <w:rFonts w:cs="Times New Roman"/>
          <w:noProof/>
          <w:szCs w:val="24"/>
        </w:rPr>
        <w:t>td</w:t>
      </w:r>
      <w:r w:rsidRPr="00172C39">
        <w:rPr>
          <w:rFonts w:cs="Times New Roman"/>
          <w:szCs w:val="24"/>
        </w:rPr>
        <w:t xml:space="preserve"> who have been unreachable for comment.</w:t>
      </w:r>
    </w:p>
    <w:p w14:paraId="5204099E" w14:textId="77777777" w:rsidR="00E30483" w:rsidRDefault="00E30483" w:rsidP="00E30483">
      <w:pPr>
        <w:rPr>
          <w:rFonts w:cs="Times New Roman"/>
          <w:b/>
          <w:bCs/>
          <w:szCs w:val="24"/>
        </w:rPr>
        <w:sectPr w:rsidR="00E30483" w:rsidSect="00452C07">
          <w:pgSz w:w="16838" w:h="11906" w:orient="landscape"/>
          <w:pgMar w:top="851" w:right="851" w:bottom="851" w:left="1134" w:header="0" w:footer="0" w:gutter="0"/>
          <w:cols w:space="720"/>
          <w:formProt w:val="0"/>
          <w:docGrid w:linePitch="360" w:charSpace="-2049"/>
        </w:sectPr>
      </w:pPr>
      <w:r w:rsidRPr="00083FD3">
        <w:rPr>
          <w:rFonts w:cs="Times New Roman"/>
          <w:noProof/>
          <w:szCs w:val="24"/>
          <w:vertAlign w:val="superscript"/>
        </w:rPr>
        <w:t>b</w:t>
      </w:r>
      <w:r w:rsidRPr="00172C39">
        <w:rPr>
          <w:rFonts w:cs="Times New Roman"/>
          <w:szCs w:val="24"/>
        </w:rPr>
        <w:t xml:space="preserve"> Buddy Enterprises has ceased operations </w:t>
      </w:r>
      <w:r w:rsidRPr="00083FD3">
        <w:rPr>
          <w:rFonts w:cs="Times New Roman"/>
          <w:noProof/>
          <w:szCs w:val="24"/>
        </w:rPr>
        <w:t>and</w:t>
      </w:r>
      <w:r w:rsidRPr="00172C39">
        <w:rPr>
          <w:rFonts w:cs="Times New Roman"/>
          <w:szCs w:val="24"/>
        </w:rPr>
        <w:t xml:space="preserve"> as a result of this </w:t>
      </w:r>
      <w:r w:rsidRPr="00083FD3">
        <w:rPr>
          <w:rFonts w:cs="Times New Roman"/>
          <w:noProof/>
          <w:szCs w:val="24"/>
        </w:rPr>
        <w:t>Buddy</w:t>
      </w:r>
      <w:r w:rsidRPr="00172C39">
        <w:rPr>
          <w:rFonts w:cs="Times New Roman"/>
          <w:szCs w:val="24"/>
        </w:rPr>
        <w:t xml:space="preserve"> App has been discontinued.</w:t>
      </w:r>
    </w:p>
    <w:p w14:paraId="7FF1D54D" w14:textId="77777777" w:rsidR="00E30483" w:rsidRPr="00172C39" w:rsidRDefault="00E30483" w:rsidP="005E60F7">
      <w:pPr>
        <w:pStyle w:val="Heading3"/>
      </w:pPr>
      <w:bookmarkStart w:id="94" w:name="_Toc530598111"/>
      <w:bookmarkStart w:id="95" w:name="_Toc530660464"/>
      <w:bookmarkStart w:id="96" w:name="_Toc3538065"/>
      <w:r w:rsidRPr="00172C39">
        <w:lastRenderedPageBreak/>
        <w:t>Improving Access to Psychological Therapies Services</w:t>
      </w:r>
      <w:bookmarkEnd w:id="94"/>
      <w:bookmarkEnd w:id="95"/>
      <w:bookmarkEnd w:id="96"/>
    </w:p>
    <w:p w14:paraId="7B90E22E" w14:textId="29D1FB85" w:rsidR="00E30483" w:rsidRPr="00172C39" w:rsidRDefault="00E30483" w:rsidP="00E30483">
      <w:pPr>
        <w:rPr>
          <w:rFonts w:cs="Times New Roman"/>
          <w:szCs w:val="24"/>
        </w:rPr>
      </w:pPr>
      <w:r w:rsidRPr="00172C39">
        <w:rPr>
          <w:rFonts w:cs="Times New Roman"/>
          <w:szCs w:val="24"/>
        </w:rPr>
        <w:t>The FOI responses from IAPT services were inconsistent.</w:t>
      </w:r>
      <w:r w:rsidR="004525DB">
        <w:rPr>
          <w:rFonts w:cs="Times New Roman"/>
          <w:szCs w:val="24"/>
        </w:rPr>
        <w:t xml:space="preserve"> </w:t>
      </w:r>
      <w:r w:rsidRPr="00172C39">
        <w:rPr>
          <w:rFonts w:cs="Times New Roman"/>
          <w:szCs w:val="24"/>
        </w:rPr>
        <w:t xml:space="preserve"> Some providers answered at an overarching provider level while others gave granular detail regarding each of their service locations.  In our results, we assumed that when a provider respond</w:t>
      </w:r>
      <w:r>
        <w:rPr>
          <w:rFonts w:cs="Times New Roman"/>
          <w:szCs w:val="24"/>
        </w:rPr>
        <w:t>ed</w:t>
      </w:r>
      <w:r w:rsidRPr="00172C39">
        <w:rPr>
          <w:rFonts w:cs="Times New Roman"/>
          <w:szCs w:val="24"/>
        </w:rPr>
        <w:t xml:space="preserve"> at </w:t>
      </w:r>
      <w:r>
        <w:rPr>
          <w:rFonts w:cs="Times New Roman"/>
          <w:szCs w:val="24"/>
        </w:rPr>
        <w:t xml:space="preserve">the </w:t>
      </w:r>
      <w:r w:rsidRPr="00083FD3">
        <w:rPr>
          <w:rFonts w:cs="Times New Roman"/>
          <w:noProof/>
          <w:szCs w:val="24"/>
        </w:rPr>
        <w:t>top</w:t>
      </w:r>
      <w:r w:rsidRPr="00172C39">
        <w:rPr>
          <w:rFonts w:cs="Times New Roman"/>
          <w:szCs w:val="24"/>
        </w:rPr>
        <w:t xml:space="preserve"> level that they referr</w:t>
      </w:r>
      <w:r>
        <w:rPr>
          <w:rFonts w:cs="Times New Roman"/>
          <w:szCs w:val="24"/>
        </w:rPr>
        <w:t>ed</w:t>
      </w:r>
      <w:r w:rsidRPr="00172C39">
        <w:rPr>
          <w:rFonts w:cs="Times New Roman"/>
          <w:szCs w:val="24"/>
        </w:rPr>
        <w:t xml:space="preserve"> to all their IAPT service locations.  A total of 61 out of 111 IAPT service providers responded, accounting for 191 IAPT services. </w:t>
      </w:r>
      <w:r w:rsidR="00EF7658">
        <w:rPr>
          <w:rFonts w:cs="Times New Roman"/>
          <w:szCs w:val="24"/>
        </w:rPr>
        <w:t xml:space="preserve"> </w:t>
      </w:r>
      <w:r w:rsidRPr="00083FD3">
        <w:rPr>
          <w:rFonts w:cs="Times New Roman"/>
          <w:noProof/>
          <w:szCs w:val="24"/>
        </w:rPr>
        <w:t>Two providers, one a charity and the other a Community Interest Company (CIC -  a UK limited company whose objective is to benefit the community it serves, using any profits and assets for that purpose), refused to respond to the FOI on the grounds that the act did not apply to them; a further two acknowledged receiving the FOI request but did not follow up with a response to the questions asked, and 13 indicated that their services had been discontinued, merged with, or passed to another IAPT provider.</w:t>
      </w:r>
      <w:r>
        <w:rPr>
          <w:rFonts w:cs="Times New Roman"/>
          <w:szCs w:val="24"/>
        </w:rPr>
        <w:t xml:space="preserve"> </w:t>
      </w:r>
      <w:r w:rsidR="00EF7658">
        <w:rPr>
          <w:rFonts w:cs="Times New Roman"/>
          <w:szCs w:val="24"/>
        </w:rPr>
        <w:t xml:space="preserve"> </w:t>
      </w:r>
      <w:r w:rsidRPr="00172C39">
        <w:rPr>
          <w:rFonts w:cs="Times New Roman"/>
          <w:szCs w:val="24"/>
        </w:rPr>
        <w:t>A total of 33 IAPT providers did not respond at all to the FOI request</w:t>
      </w:r>
      <w:r>
        <w:rPr>
          <w:rFonts w:cs="Times New Roman"/>
          <w:szCs w:val="24"/>
        </w:rPr>
        <w:t xml:space="preserve">. </w:t>
      </w:r>
      <w:r w:rsidR="00EF7658">
        <w:rPr>
          <w:rFonts w:cs="Times New Roman"/>
          <w:szCs w:val="24"/>
        </w:rPr>
        <w:t xml:space="preserve"> </w:t>
      </w:r>
      <w:r>
        <w:rPr>
          <w:rFonts w:cs="Times New Roman"/>
          <w:szCs w:val="24"/>
        </w:rPr>
        <w:t>These comprised p</w:t>
      </w:r>
      <w:r w:rsidRPr="00172C39">
        <w:rPr>
          <w:rFonts w:cs="Times New Roman"/>
          <w:szCs w:val="24"/>
        </w:rPr>
        <w:t xml:space="preserve">ublic </w:t>
      </w:r>
      <w:r>
        <w:rPr>
          <w:rFonts w:cs="Times New Roman"/>
          <w:szCs w:val="24"/>
        </w:rPr>
        <w:t>s</w:t>
      </w:r>
      <w:r w:rsidRPr="00172C39">
        <w:rPr>
          <w:rFonts w:cs="Times New Roman"/>
          <w:szCs w:val="24"/>
        </w:rPr>
        <w:t>ector</w:t>
      </w:r>
      <w:r>
        <w:rPr>
          <w:rFonts w:cs="Times New Roman"/>
          <w:szCs w:val="24"/>
        </w:rPr>
        <w:t xml:space="preserve"> organisations</w:t>
      </w:r>
      <w:r w:rsidRPr="00172C39">
        <w:rPr>
          <w:rFonts w:cs="Times New Roman"/>
          <w:szCs w:val="24"/>
        </w:rPr>
        <w:t>: n=</w:t>
      </w:r>
      <w:r>
        <w:rPr>
          <w:rFonts w:cs="Times New Roman"/>
          <w:szCs w:val="24"/>
        </w:rPr>
        <w:t xml:space="preserve">8 </w:t>
      </w:r>
      <w:r w:rsidRPr="00172C39">
        <w:rPr>
          <w:rFonts w:cs="Times New Roman"/>
          <w:szCs w:val="24"/>
        </w:rPr>
        <w:t xml:space="preserve">(24.2%); </w:t>
      </w:r>
      <w:r>
        <w:rPr>
          <w:rFonts w:cs="Times New Roman"/>
          <w:szCs w:val="24"/>
        </w:rPr>
        <w:t>t</w:t>
      </w:r>
      <w:r w:rsidRPr="00172C39">
        <w:rPr>
          <w:rFonts w:cs="Times New Roman"/>
          <w:szCs w:val="24"/>
        </w:rPr>
        <w:t xml:space="preserve">hird </w:t>
      </w:r>
      <w:r>
        <w:rPr>
          <w:rFonts w:cs="Times New Roman"/>
          <w:szCs w:val="24"/>
        </w:rPr>
        <w:t>s</w:t>
      </w:r>
      <w:r w:rsidRPr="00172C39">
        <w:rPr>
          <w:rFonts w:cs="Times New Roman"/>
          <w:szCs w:val="24"/>
        </w:rPr>
        <w:t>ector</w:t>
      </w:r>
      <w:r>
        <w:rPr>
          <w:rFonts w:cs="Times New Roman"/>
          <w:szCs w:val="24"/>
        </w:rPr>
        <w:t xml:space="preserve"> organisations</w:t>
      </w:r>
      <w:r w:rsidRPr="00172C39">
        <w:rPr>
          <w:rFonts w:cs="Times New Roman"/>
          <w:szCs w:val="24"/>
        </w:rPr>
        <w:t xml:space="preserve">: n=13 (39.4%); </w:t>
      </w:r>
      <w:r>
        <w:rPr>
          <w:rFonts w:cs="Times New Roman"/>
          <w:szCs w:val="24"/>
        </w:rPr>
        <w:t>and p</w:t>
      </w:r>
      <w:r w:rsidRPr="00172C39">
        <w:rPr>
          <w:rFonts w:cs="Times New Roman"/>
          <w:szCs w:val="24"/>
        </w:rPr>
        <w:t xml:space="preserve">rivate </w:t>
      </w:r>
      <w:r>
        <w:rPr>
          <w:rFonts w:cs="Times New Roman"/>
          <w:szCs w:val="24"/>
        </w:rPr>
        <w:t>s</w:t>
      </w:r>
      <w:r w:rsidRPr="00172C39">
        <w:rPr>
          <w:rFonts w:cs="Times New Roman"/>
          <w:szCs w:val="24"/>
        </w:rPr>
        <w:t>ector</w:t>
      </w:r>
      <w:r>
        <w:rPr>
          <w:rFonts w:cs="Times New Roman"/>
          <w:szCs w:val="24"/>
        </w:rPr>
        <w:t xml:space="preserve"> organisations</w:t>
      </w:r>
      <w:r w:rsidRPr="00172C39">
        <w:rPr>
          <w:rFonts w:cs="Times New Roman"/>
          <w:szCs w:val="24"/>
        </w:rPr>
        <w:t xml:space="preserve">: n=12 (36.4%). </w:t>
      </w:r>
      <w:r w:rsidR="00EF7658">
        <w:rPr>
          <w:rFonts w:cs="Times New Roman"/>
          <w:szCs w:val="24"/>
        </w:rPr>
        <w:t xml:space="preserve"> </w:t>
      </w:r>
      <w:r w:rsidRPr="00172C39">
        <w:rPr>
          <w:rFonts w:cs="Times New Roman"/>
          <w:szCs w:val="24"/>
        </w:rPr>
        <w:t xml:space="preserve">The majority of the non-responders </w:t>
      </w:r>
      <w:r>
        <w:rPr>
          <w:rFonts w:cs="Times New Roman"/>
          <w:szCs w:val="24"/>
        </w:rPr>
        <w:t>we</w:t>
      </w:r>
      <w:r w:rsidRPr="00172C39">
        <w:rPr>
          <w:rFonts w:cs="Times New Roman"/>
          <w:szCs w:val="24"/>
        </w:rPr>
        <w:t xml:space="preserve">re non-public sector </w:t>
      </w:r>
      <w:r>
        <w:rPr>
          <w:rFonts w:cs="Times New Roman"/>
          <w:szCs w:val="24"/>
        </w:rPr>
        <w:t xml:space="preserve">organisations </w:t>
      </w:r>
      <w:r w:rsidRPr="00172C39">
        <w:rPr>
          <w:rFonts w:cs="Times New Roman"/>
          <w:szCs w:val="24"/>
        </w:rPr>
        <w:t>(n=25; 75.8%).</w:t>
      </w:r>
    </w:p>
    <w:p w14:paraId="0041FE9E" w14:textId="013CF1FE" w:rsidR="00E30483" w:rsidRPr="00172C39" w:rsidRDefault="00E30483" w:rsidP="00E30483">
      <w:pPr>
        <w:rPr>
          <w:rFonts w:cs="Times New Roman"/>
          <w:szCs w:val="24"/>
        </w:rPr>
      </w:pPr>
      <w:r>
        <w:rPr>
          <w:rFonts w:cs="Times New Roman"/>
          <w:szCs w:val="24"/>
        </w:rPr>
        <w:t>One hundred and sixty-nine</w:t>
      </w:r>
      <w:r w:rsidRPr="00172C39">
        <w:rPr>
          <w:rFonts w:cs="Times New Roman"/>
          <w:szCs w:val="24"/>
        </w:rPr>
        <w:t xml:space="preserve"> of the 191 (88.5%) IAPT services for which responses were obtained recommend or use</w:t>
      </w:r>
      <w:r>
        <w:rPr>
          <w:rFonts w:cs="Times New Roman"/>
          <w:szCs w:val="24"/>
        </w:rPr>
        <w:t>d</w:t>
      </w:r>
      <w:r w:rsidRPr="00172C39">
        <w:rPr>
          <w:rFonts w:cs="Times New Roman"/>
          <w:szCs w:val="24"/>
        </w:rPr>
        <w:t xml:space="preserve"> web apps and of those, 41 (24.3%) use at least one of the</w:t>
      </w:r>
      <w:r>
        <w:rPr>
          <w:rFonts w:cs="Times New Roman"/>
          <w:szCs w:val="24"/>
        </w:rPr>
        <w:t xml:space="preserve"> NICE</w:t>
      </w:r>
      <w:r w:rsidRPr="00172C39">
        <w:rPr>
          <w:rFonts w:cs="Times New Roman"/>
          <w:szCs w:val="24"/>
        </w:rPr>
        <w:t xml:space="preserve"> </w:t>
      </w:r>
      <w:r w:rsidRPr="00172C39">
        <w:rPr>
          <w:rFonts w:cs="Times New Roman"/>
          <w:szCs w:val="24"/>
        </w:rPr>
        <w:fldChar w:fldCharType="begin" w:fldLock="1"/>
      </w:r>
      <w:r>
        <w:rPr>
          <w:rFonts w:cs="Times New Roman"/>
          <w:szCs w:val="24"/>
        </w:rPr>
        <w:instrText>ADDIN CSL_CITATION {"citationItems":[{"id":"ITEM-1","itemData":{"URL":"https://www.nice.org.uk/guidance/ta97/","accessed":{"date-parts":[["2016","9","9"]]},"author":[{"dropping-particle":"","family":"National Institute for Health and Care Excellence","given":"","non-dropping-particle":"","parse-names":false,"suffix":""}],"id":"ITEM-1","issue":"February","issued":{"date-parts":[["2006"]]},"title":"Computerised cognitive behaviour therapy for depression and anxiety. TA97","type":"webpage"},"uris":["http://www.mendeley.com/documents/?uuid=03eaa184-445c-4c5a-ac30-a3f753a2f131"]}],"mendeley":{"formattedCitation":"(National Institute for Health and Care Excellence, 2006)","plainTextFormattedCitation":"(National Institute for Health and Care Excellence, 2006)","previouslyFormattedCitation":"(National Institute for Health and Care Excellence, 2006)"},"properties":{"noteIndex":0},"schema":"https://github.com/citation-style-language/schema/raw/master/csl-citation.json"}</w:instrText>
      </w:r>
      <w:r w:rsidRPr="00172C39">
        <w:rPr>
          <w:rFonts w:cs="Times New Roman"/>
          <w:szCs w:val="24"/>
        </w:rPr>
        <w:fldChar w:fldCharType="separate"/>
      </w:r>
      <w:r w:rsidRPr="00967ACC">
        <w:rPr>
          <w:rFonts w:cs="Times New Roman"/>
          <w:noProof/>
          <w:szCs w:val="24"/>
        </w:rPr>
        <w:t>(National Institute for Health and Care Excellence, 2006)</w:t>
      </w:r>
      <w:r w:rsidRPr="00172C39">
        <w:rPr>
          <w:rFonts w:cs="Times New Roman"/>
          <w:szCs w:val="24"/>
        </w:rPr>
        <w:fldChar w:fldCharType="end"/>
      </w:r>
      <w:r w:rsidRPr="00172C39">
        <w:rPr>
          <w:rFonts w:cs="Times New Roman"/>
          <w:szCs w:val="24"/>
        </w:rPr>
        <w:t xml:space="preserve"> recommended </w:t>
      </w:r>
      <w:proofErr w:type="spellStart"/>
      <w:r w:rsidRPr="00172C39">
        <w:rPr>
          <w:rFonts w:cs="Times New Roman"/>
          <w:szCs w:val="24"/>
        </w:rPr>
        <w:t>cCBT</w:t>
      </w:r>
      <w:proofErr w:type="spellEnd"/>
      <w:r w:rsidRPr="00172C39">
        <w:rPr>
          <w:rFonts w:cs="Times New Roman"/>
          <w:szCs w:val="24"/>
        </w:rPr>
        <w:t xml:space="preserve"> programs. </w:t>
      </w:r>
      <w:r w:rsidR="004525DB">
        <w:rPr>
          <w:rFonts w:cs="Times New Roman"/>
          <w:szCs w:val="24"/>
        </w:rPr>
        <w:t xml:space="preserve"> </w:t>
      </w:r>
      <w:r w:rsidRPr="00172C39">
        <w:rPr>
          <w:rFonts w:cs="Times New Roman"/>
          <w:szCs w:val="24"/>
        </w:rPr>
        <w:t xml:space="preserve">IAPT services, </w:t>
      </w:r>
      <w:r w:rsidRPr="00083FD3">
        <w:rPr>
          <w:rFonts w:cs="Times New Roman"/>
          <w:noProof/>
          <w:szCs w:val="24"/>
        </w:rPr>
        <w:t>in addition</w:t>
      </w:r>
      <w:r w:rsidRPr="00172C39">
        <w:rPr>
          <w:rFonts w:cs="Times New Roman"/>
          <w:szCs w:val="24"/>
        </w:rPr>
        <w:t>, highlighted 16 different web apps</w:t>
      </w:r>
      <w:r>
        <w:rPr>
          <w:rFonts w:cs="Times New Roman"/>
          <w:szCs w:val="24"/>
        </w:rPr>
        <w:t>.</w:t>
      </w:r>
      <w:r w:rsidRPr="00172C39">
        <w:rPr>
          <w:rFonts w:cs="Times New Roman"/>
          <w:szCs w:val="24"/>
        </w:rPr>
        <w:t xml:space="preserve"> </w:t>
      </w:r>
      <w:r w:rsidR="006C7477">
        <w:rPr>
          <w:rFonts w:cs="Times New Roman"/>
          <w:szCs w:val="24"/>
        </w:rPr>
        <w:t xml:space="preserve"> </w:t>
      </w:r>
      <w:r w:rsidRPr="00BF7226">
        <w:rPr>
          <w:rFonts w:cs="Times New Roman"/>
          <w:szCs w:val="24"/>
        </w:rPr>
        <w:t xml:space="preserve">Six </w:t>
      </w:r>
      <w:r w:rsidRPr="00083FD3">
        <w:rPr>
          <w:rFonts w:cs="Times New Roman"/>
          <w:noProof/>
          <w:szCs w:val="24"/>
        </w:rPr>
        <w:t>were excluded</w:t>
      </w:r>
      <w:r w:rsidRPr="00BF7226">
        <w:rPr>
          <w:rFonts w:cs="Times New Roman"/>
          <w:szCs w:val="24"/>
        </w:rPr>
        <w:t xml:space="preserve"> for not meeting the inclusion criterion (</w:t>
      </w:r>
      <w:r w:rsidR="009E3EA0">
        <w:rPr>
          <w:rFonts w:cs="Times New Roman"/>
          <w:szCs w:val="24"/>
        </w:rPr>
        <w:fldChar w:fldCharType="begin"/>
      </w:r>
      <w:r w:rsidR="009E3EA0">
        <w:rPr>
          <w:rFonts w:cs="Times New Roman"/>
          <w:szCs w:val="24"/>
        </w:rPr>
        <w:instrText xml:space="preserve"> REF _Ref530160961 \h </w:instrText>
      </w:r>
      <w:r w:rsidR="009E3EA0">
        <w:rPr>
          <w:rFonts w:cs="Times New Roman"/>
          <w:szCs w:val="24"/>
        </w:rPr>
      </w:r>
      <w:r w:rsidR="009E3EA0">
        <w:rPr>
          <w:rFonts w:cs="Times New Roman"/>
          <w:szCs w:val="24"/>
        </w:rPr>
        <w:fldChar w:fldCharType="separate"/>
      </w:r>
      <w:r w:rsidR="00574650">
        <w:t xml:space="preserve">Figure </w:t>
      </w:r>
      <w:r w:rsidR="00574650">
        <w:rPr>
          <w:noProof/>
        </w:rPr>
        <w:t>2</w:t>
      </w:r>
      <w:r w:rsidR="00574650">
        <w:t>.</w:t>
      </w:r>
      <w:r w:rsidR="00574650">
        <w:rPr>
          <w:noProof/>
        </w:rPr>
        <w:t>1</w:t>
      </w:r>
      <w:r w:rsidR="00574650">
        <w:t xml:space="preserve"> </w:t>
      </w:r>
      <w:r w:rsidR="00574650" w:rsidRPr="00993749">
        <w:t>PRISMA Flow Diagram of app data collection</w:t>
      </w:r>
      <w:r w:rsidR="009E3EA0">
        <w:rPr>
          <w:rFonts w:cs="Times New Roman"/>
          <w:szCs w:val="24"/>
        </w:rPr>
        <w:fldChar w:fldCharType="end"/>
      </w:r>
      <w:r w:rsidR="002D3270">
        <w:rPr>
          <w:rFonts w:cs="Times New Roman"/>
          <w:szCs w:val="24"/>
        </w:rPr>
        <w:t xml:space="preserve"> (</w:t>
      </w:r>
      <w:r w:rsidR="009E3EA0">
        <w:rPr>
          <w:rFonts w:cs="Times New Roman"/>
          <w:szCs w:val="24"/>
        </w:rPr>
        <w:fldChar w:fldCharType="begin"/>
      </w:r>
      <w:r w:rsidR="009E3EA0">
        <w:rPr>
          <w:rFonts w:cs="Times New Roman"/>
          <w:szCs w:val="24"/>
        </w:rPr>
        <w:instrText xml:space="preserve"> REF _Ref530160826 \h </w:instrText>
      </w:r>
      <w:r w:rsidR="009E3EA0">
        <w:rPr>
          <w:rFonts w:cs="Times New Roman"/>
          <w:szCs w:val="24"/>
        </w:rPr>
      </w:r>
      <w:r w:rsidR="009E3EA0">
        <w:rPr>
          <w:rFonts w:cs="Times New Roman"/>
          <w:szCs w:val="24"/>
        </w:rPr>
        <w:fldChar w:fldCharType="separate"/>
      </w:r>
      <w:r w:rsidR="00574650">
        <w:t xml:space="preserve">Figure </w:t>
      </w:r>
      <w:r w:rsidR="00574650">
        <w:rPr>
          <w:noProof/>
        </w:rPr>
        <w:t>2</w:t>
      </w:r>
      <w:r w:rsidR="00574650">
        <w:t>.</w:t>
      </w:r>
      <w:r w:rsidR="00574650">
        <w:rPr>
          <w:noProof/>
        </w:rPr>
        <w:t>1</w:t>
      </w:r>
      <w:r w:rsidR="009E3EA0">
        <w:rPr>
          <w:rFonts w:cs="Times New Roman"/>
          <w:szCs w:val="24"/>
        </w:rPr>
        <w:fldChar w:fldCharType="end"/>
      </w:r>
      <w:r w:rsidRPr="00BF7226">
        <w:rPr>
          <w:rFonts w:cs="Times New Roman"/>
          <w:szCs w:val="24"/>
        </w:rPr>
        <w:t xml:space="preserve">) leaving </w:t>
      </w:r>
      <w:r>
        <w:rPr>
          <w:rFonts w:cs="Times New Roman"/>
          <w:noProof/>
          <w:szCs w:val="24"/>
        </w:rPr>
        <w:t>ten</w:t>
      </w:r>
      <w:r w:rsidRPr="00BF7226">
        <w:rPr>
          <w:rFonts w:cs="Times New Roman"/>
          <w:szCs w:val="24"/>
        </w:rPr>
        <w:t xml:space="preserve"> included web apps (</w:t>
      </w:r>
      <w:r w:rsidR="00915F20">
        <w:rPr>
          <w:rFonts w:cs="Times New Roman"/>
          <w:szCs w:val="24"/>
        </w:rPr>
        <w:fldChar w:fldCharType="begin"/>
      </w:r>
      <w:r w:rsidR="00915F20">
        <w:rPr>
          <w:rFonts w:cs="Times New Roman"/>
          <w:szCs w:val="24"/>
        </w:rPr>
        <w:instrText xml:space="preserve"> REF _Ref526867556 \h </w:instrText>
      </w:r>
      <w:r w:rsidR="00915F20">
        <w:rPr>
          <w:rFonts w:cs="Times New Roman"/>
          <w:szCs w:val="24"/>
        </w:rPr>
      </w:r>
      <w:r w:rsidR="00915F20">
        <w:rPr>
          <w:rFonts w:cs="Times New Roman"/>
          <w:szCs w:val="24"/>
        </w:rPr>
        <w:fldChar w:fldCharType="separate"/>
      </w:r>
      <w:r w:rsidR="00574650">
        <w:t xml:space="preserve">Table </w:t>
      </w:r>
      <w:r w:rsidR="00574650">
        <w:rPr>
          <w:noProof/>
        </w:rPr>
        <w:t>2</w:t>
      </w:r>
      <w:r w:rsidR="00574650">
        <w:t>.</w:t>
      </w:r>
      <w:r w:rsidR="00574650">
        <w:rPr>
          <w:noProof/>
        </w:rPr>
        <w:t>3</w:t>
      </w:r>
      <w:r w:rsidR="00915F20">
        <w:rPr>
          <w:rFonts w:cs="Times New Roman"/>
          <w:szCs w:val="24"/>
        </w:rPr>
        <w:fldChar w:fldCharType="end"/>
      </w:r>
      <w:r w:rsidRPr="00BF7226">
        <w:rPr>
          <w:rFonts w:cs="Times New Roman"/>
          <w:szCs w:val="24"/>
        </w:rPr>
        <w:t xml:space="preserve">).  Fifty (26.2%) of the IAPT services recommend or use smartphone apps, and 21 smartphone apps were </w:t>
      </w:r>
      <w:r w:rsidRPr="00083FD3">
        <w:rPr>
          <w:rFonts w:cs="Times New Roman"/>
          <w:noProof/>
          <w:szCs w:val="24"/>
        </w:rPr>
        <w:t>specifically</w:t>
      </w:r>
      <w:r w:rsidRPr="00BF7226">
        <w:rPr>
          <w:rFonts w:cs="Times New Roman"/>
          <w:szCs w:val="24"/>
        </w:rPr>
        <w:t xml:space="preserve"> named.  Seven did not meet the inclusion criteria (</w:t>
      </w:r>
      <w:r w:rsidR="00915F20">
        <w:rPr>
          <w:rFonts w:cs="Times New Roman"/>
          <w:szCs w:val="24"/>
        </w:rPr>
        <w:fldChar w:fldCharType="begin"/>
      </w:r>
      <w:r w:rsidR="00915F20">
        <w:rPr>
          <w:rFonts w:cs="Times New Roman"/>
          <w:szCs w:val="24"/>
        </w:rPr>
        <w:instrText xml:space="preserve"> REF _Ref530160826 \h </w:instrText>
      </w:r>
      <w:r w:rsidR="00915F20">
        <w:rPr>
          <w:rFonts w:cs="Times New Roman"/>
          <w:szCs w:val="24"/>
        </w:rPr>
      </w:r>
      <w:r w:rsidR="00915F20">
        <w:rPr>
          <w:rFonts w:cs="Times New Roman"/>
          <w:szCs w:val="24"/>
        </w:rPr>
        <w:fldChar w:fldCharType="separate"/>
      </w:r>
      <w:r w:rsidR="00574650">
        <w:t xml:space="preserve">Figure </w:t>
      </w:r>
      <w:r w:rsidR="00574650">
        <w:rPr>
          <w:noProof/>
        </w:rPr>
        <w:t>2</w:t>
      </w:r>
      <w:r w:rsidR="00574650">
        <w:t>.</w:t>
      </w:r>
      <w:r w:rsidR="00574650">
        <w:rPr>
          <w:noProof/>
        </w:rPr>
        <w:t>1</w:t>
      </w:r>
      <w:r w:rsidR="00915F20">
        <w:rPr>
          <w:rFonts w:cs="Times New Roman"/>
          <w:szCs w:val="24"/>
        </w:rPr>
        <w:fldChar w:fldCharType="end"/>
      </w:r>
      <w:r w:rsidRPr="00BF7226">
        <w:rPr>
          <w:rFonts w:cs="Times New Roman"/>
          <w:szCs w:val="24"/>
        </w:rPr>
        <w:t>), leavin</w:t>
      </w:r>
      <w:r w:rsidR="006C7477">
        <w:rPr>
          <w:rFonts w:cs="Times New Roman"/>
          <w:szCs w:val="24"/>
        </w:rPr>
        <w:t>g 14 included smartphone apps.</w:t>
      </w:r>
    </w:p>
    <w:p w14:paraId="7ED1A945" w14:textId="4944E897" w:rsidR="00E30483" w:rsidRPr="00172C39" w:rsidRDefault="00E30483" w:rsidP="00E30483">
      <w:pPr>
        <w:rPr>
          <w:rFonts w:cs="Times New Roman"/>
          <w:szCs w:val="24"/>
        </w:rPr>
      </w:pPr>
      <w:r w:rsidRPr="00172C39">
        <w:rPr>
          <w:rFonts w:cs="Times New Roman"/>
          <w:szCs w:val="24"/>
        </w:rPr>
        <w:t xml:space="preserve">Twelve IAPT services indicated they were </w:t>
      </w:r>
      <w:r w:rsidRPr="00083FD3">
        <w:rPr>
          <w:rFonts w:cs="Times New Roman"/>
          <w:noProof/>
          <w:szCs w:val="24"/>
        </w:rPr>
        <w:t>carrying out research into</w:t>
      </w:r>
      <w:r w:rsidRPr="00172C39">
        <w:rPr>
          <w:rFonts w:cs="Times New Roman"/>
          <w:szCs w:val="24"/>
        </w:rPr>
        <w:t xml:space="preserve"> web apps, </w:t>
      </w:r>
      <w:r>
        <w:rPr>
          <w:rFonts w:cs="Times New Roman"/>
          <w:noProof/>
          <w:szCs w:val="24"/>
        </w:rPr>
        <w:t>ten</w:t>
      </w:r>
      <w:r w:rsidRPr="00172C39">
        <w:rPr>
          <w:rFonts w:cs="Times New Roman"/>
          <w:szCs w:val="24"/>
        </w:rPr>
        <w:t xml:space="preserve"> stated they were piloting web apps</w:t>
      </w:r>
      <w:r>
        <w:rPr>
          <w:rFonts w:cs="Times New Roman"/>
          <w:szCs w:val="24"/>
        </w:rPr>
        <w:t>,</w:t>
      </w:r>
      <w:r w:rsidRPr="00172C39">
        <w:rPr>
          <w:rFonts w:cs="Times New Roman"/>
          <w:szCs w:val="24"/>
        </w:rPr>
        <w:t xml:space="preserve"> </w:t>
      </w:r>
      <w:r w:rsidRPr="00083FD3">
        <w:rPr>
          <w:rFonts w:cs="Times New Roman"/>
          <w:noProof/>
          <w:szCs w:val="24"/>
        </w:rPr>
        <w:t>and</w:t>
      </w:r>
      <w:r w:rsidRPr="00172C39">
        <w:rPr>
          <w:rFonts w:cs="Times New Roman"/>
          <w:szCs w:val="24"/>
        </w:rPr>
        <w:t xml:space="preserve"> </w:t>
      </w:r>
      <w:r>
        <w:rPr>
          <w:rFonts w:cs="Times New Roman"/>
          <w:noProof/>
          <w:szCs w:val="24"/>
        </w:rPr>
        <w:t>two</w:t>
      </w:r>
      <w:r w:rsidRPr="00172C39">
        <w:rPr>
          <w:rFonts w:cs="Times New Roman"/>
          <w:szCs w:val="24"/>
        </w:rPr>
        <w:t xml:space="preserve"> said that they were in the process of developing their own.</w:t>
      </w:r>
      <w:r>
        <w:rPr>
          <w:rFonts w:cs="Times New Roman"/>
          <w:szCs w:val="24"/>
        </w:rPr>
        <w:t xml:space="preserve">  </w:t>
      </w:r>
      <w:r w:rsidRPr="00172C39">
        <w:rPr>
          <w:rFonts w:cs="Times New Roman"/>
          <w:szCs w:val="24"/>
        </w:rPr>
        <w:t xml:space="preserve">Regarding smartphone apps, 15 IAPT services indicated they were </w:t>
      </w:r>
      <w:r w:rsidRPr="00083FD3">
        <w:rPr>
          <w:rFonts w:cs="Times New Roman"/>
          <w:noProof/>
          <w:szCs w:val="24"/>
        </w:rPr>
        <w:t>carrying out research into</w:t>
      </w:r>
      <w:r w:rsidRPr="00172C39">
        <w:rPr>
          <w:rFonts w:cs="Times New Roman"/>
          <w:szCs w:val="24"/>
        </w:rPr>
        <w:t xml:space="preserve"> smartphone apps</w:t>
      </w:r>
      <w:r>
        <w:rPr>
          <w:rFonts w:cs="Times New Roman"/>
          <w:noProof/>
          <w:szCs w:val="24"/>
        </w:rPr>
        <w:t>;</w:t>
      </w:r>
      <w:r w:rsidRPr="00083FD3">
        <w:rPr>
          <w:rFonts w:cs="Times New Roman"/>
          <w:noProof/>
          <w:szCs w:val="24"/>
        </w:rPr>
        <w:t xml:space="preserve"> two</w:t>
      </w:r>
      <w:r w:rsidRPr="00172C39">
        <w:rPr>
          <w:rFonts w:cs="Times New Roman"/>
          <w:szCs w:val="24"/>
        </w:rPr>
        <w:t xml:space="preserve"> stated they were piloting smartphone apps</w:t>
      </w:r>
      <w:r>
        <w:rPr>
          <w:rFonts w:cs="Times New Roman"/>
          <w:szCs w:val="24"/>
        </w:rPr>
        <w:t>,</w:t>
      </w:r>
      <w:r w:rsidRPr="00172C39">
        <w:rPr>
          <w:rFonts w:cs="Times New Roman"/>
          <w:szCs w:val="24"/>
        </w:rPr>
        <w:t xml:space="preserve"> </w:t>
      </w:r>
      <w:r w:rsidRPr="00083FD3">
        <w:rPr>
          <w:rFonts w:cs="Times New Roman"/>
          <w:noProof/>
          <w:szCs w:val="24"/>
        </w:rPr>
        <w:t>and</w:t>
      </w:r>
      <w:r w:rsidRPr="00172C39">
        <w:rPr>
          <w:rFonts w:cs="Times New Roman"/>
          <w:szCs w:val="24"/>
        </w:rPr>
        <w:t xml:space="preserve"> </w:t>
      </w:r>
      <w:r>
        <w:rPr>
          <w:rFonts w:cs="Times New Roman"/>
          <w:noProof/>
          <w:szCs w:val="24"/>
        </w:rPr>
        <w:t>ten</w:t>
      </w:r>
      <w:r w:rsidRPr="00172C39">
        <w:rPr>
          <w:rFonts w:cs="Times New Roman"/>
          <w:szCs w:val="24"/>
        </w:rPr>
        <w:t xml:space="preserve"> said that they were in the process of developing their </w:t>
      </w:r>
      <w:r w:rsidRPr="00BF7226">
        <w:rPr>
          <w:rFonts w:cs="Times New Roman"/>
          <w:szCs w:val="24"/>
        </w:rPr>
        <w:t>own.  Two IAPTs indicated using patient webinars but did not disclose details of their content.  Regarding online self-referral, 138 (72.3%) of the 191 IAPT services support this, eit</w:t>
      </w:r>
      <w:r w:rsidR="006C7477">
        <w:rPr>
          <w:rFonts w:cs="Times New Roman"/>
          <w:szCs w:val="24"/>
        </w:rPr>
        <w:t>her via email or online form.</w:t>
      </w:r>
    </w:p>
    <w:p w14:paraId="4C57ACE9" w14:textId="77777777" w:rsidR="00E30483" w:rsidRPr="00172C39" w:rsidRDefault="00E30483" w:rsidP="005E60F7">
      <w:pPr>
        <w:pStyle w:val="Heading3"/>
      </w:pPr>
      <w:bookmarkStart w:id="97" w:name="_Toc530598112"/>
      <w:bookmarkStart w:id="98" w:name="_Toc530660465"/>
      <w:bookmarkStart w:id="99" w:name="_Toc3538066"/>
      <w:r w:rsidRPr="00172C39">
        <w:t>NHS Mental Health Trusts</w:t>
      </w:r>
      <w:bookmarkEnd w:id="97"/>
      <w:bookmarkEnd w:id="98"/>
      <w:bookmarkEnd w:id="99"/>
    </w:p>
    <w:p w14:paraId="5A913DA3" w14:textId="77FB4360" w:rsidR="00E30483" w:rsidRPr="00172C39" w:rsidRDefault="00E30483" w:rsidP="00E30483">
      <w:pPr>
        <w:rPr>
          <w:rFonts w:cs="Times New Roman"/>
          <w:szCs w:val="24"/>
        </w:rPr>
      </w:pPr>
      <w:r w:rsidRPr="00172C39">
        <w:rPr>
          <w:rFonts w:cs="Times New Roman"/>
          <w:szCs w:val="24"/>
        </w:rPr>
        <w:t xml:space="preserve">All 51 Mental health trusts responded to the FOI request. </w:t>
      </w:r>
      <w:r w:rsidR="006C7477">
        <w:rPr>
          <w:rFonts w:cs="Times New Roman"/>
          <w:szCs w:val="24"/>
        </w:rPr>
        <w:t xml:space="preserve"> </w:t>
      </w:r>
      <w:r w:rsidRPr="00172C39">
        <w:rPr>
          <w:rFonts w:cs="Times New Roman"/>
          <w:szCs w:val="24"/>
        </w:rPr>
        <w:t xml:space="preserve">Thirty-nine of the 51 (76.5%) Trusts recommend web apps and of these </w:t>
      </w:r>
      <w:r>
        <w:rPr>
          <w:rFonts w:cs="Times New Roman"/>
          <w:szCs w:val="24"/>
        </w:rPr>
        <w:t>14 (35.9%)</w:t>
      </w:r>
      <w:r w:rsidRPr="00172C39">
        <w:rPr>
          <w:rFonts w:cs="Times New Roman"/>
          <w:szCs w:val="24"/>
        </w:rPr>
        <w:t xml:space="preserve"> use</w:t>
      </w:r>
      <w:r>
        <w:rPr>
          <w:rFonts w:cs="Times New Roman"/>
          <w:szCs w:val="24"/>
        </w:rPr>
        <w:t xml:space="preserve"> NICE</w:t>
      </w:r>
      <w:r w:rsidRPr="00172C39">
        <w:rPr>
          <w:rFonts w:cs="Times New Roman"/>
          <w:szCs w:val="24"/>
        </w:rPr>
        <w:t xml:space="preserve"> recommended </w:t>
      </w:r>
      <w:proofErr w:type="spellStart"/>
      <w:r w:rsidRPr="00172C39">
        <w:rPr>
          <w:rFonts w:cs="Times New Roman"/>
          <w:szCs w:val="24"/>
        </w:rPr>
        <w:t>cCBT</w:t>
      </w:r>
      <w:proofErr w:type="spellEnd"/>
      <w:r>
        <w:rPr>
          <w:rFonts w:cs="Times New Roman"/>
          <w:szCs w:val="24"/>
        </w:rPr>
        <w:t xml:space="preserve"> </w:t>
      </w:r>
      <w:r w:rsidRPr="00BF7226">
        <w:rPr>
          <w:rFonts w:cs="Times New Roman"/>
          <w:szCs w:val="24"/>
        </w:rPr>
        <w:fldChar w:fldCharType="begin" w:fldLock="1"/>
      </w:r>
      <w:r>
        <w:rPr>
          <w:rFonts w:cs="Times New Roman"/>
          <w:szCs w:val="24"/>
        </w:rPr>
        <w:instrText>ADDIN CSL_CITATION {"citationItems":[{"id":"ITEM-1","itemData":{"URL":"http://www.nice.org.uk/guidance/ta97","accessed":{"date-parts":[["2014","12","10"]]},"author":[{"dropping-particle":"","family":"National Institute for Health and Care Excellence","given":"","non-dropping-particle":"","parse-names":false,"suffix":""}],"id":"ITEM-1","issue":"September 2008","issued":{"date-parts":[["2008"]]},"title":"Computerised cognitive behaviour therapy for depression and anxiety: Review of Technology Appraisal 51","type":"webpage"},"uris":["http://www.mendeley.com/documents/?uuid=8cc0fade-7793-4ae8-8c36-bb5a6c1ec366"]}],"mendeley":{"formattedCitation":"(National Institute for Health and Care Excellence, 2008)","plainTextFormattedCitation":"(National Institute for Health and Care Excellence, 2008)","previouslyFormattedCitation":"(National Institute for Health and Care Excellence, 2008)"},"properties":{"noteIndex":0},"schema":"https://github.com/citation-style-language/schema/raw/master/csl-citation.json"}</w:instrText>
      </w:r>
      <w:r w:rsidRPr="00BF7226">
        <w:rPr>
          <w:rFonts w:cs="Times New Roman"/>
          <w:szCs w:val="24"/>
        </w:rPr>
        <w:fldChar w:fldCharType="separate"/>
      </w:r>
      <w:r w:rsidRPr="00967ACC">
        <w:rPr>
          <w:rFonts w:cs="Times New Roman"/>
          <w:noProof/>
          <w:szCs w:val="24"/>
        </w:rPr>
        <w:t>(National Institute for Health and Care Excellence, 2008)</w:t>
      </w:r>
      <w:r w:rsidRPr="00BF7226">
        <w:rPr>
          <w:rFonts w:cs="Times New Roman"/>
          <w:szCs w:val="24"/>
        </w:rPr>
        <w:fldChar w:fldCharType="end"/>
      </w:r>
      <w:r w:rsidRPr="00BF7226">
        <w:rPr>
          <w:rFonts w:cs="Times New Roman"/>
          <w:szCs w:val="24"/>
        </w:rPr>
        <w:t>.</w:t>
      </w:r>
      <w:r w:rsidR="006C7477">
        <w:rPr>
          <w:rFonts w:cs="Times New Roman"/>
          <w:szCs w:val="24"/>
        </w:rPr>
        <w:t xml:space="preserve"> </w:t>
      </w:r>
      <w:r w:rsidRPr="00BF7226">
        <w:rPr>
          <w:rFonts w:cs="Times New Roman"/>
          <w:szCs w:val="24"/>
        </w:rPr>
        <w:t xml:space="preserve"> Seventeen web apps were highlighted by Trusts, 5 of which did not meet the inclusion criterion (</w:t>
      </w:r>
      <w:r w:rsidR="00915F20">
        <w:rPr>
          <w:rFonts w:cs="Times New Roman"/>
          <w:szCs w:val="24"/>
        </w:rPr>
        <w:fldChar w:fldCharType="begin"/>
      </w:r>
      <w:r w:rsidR="00915F20">
        <w:rPr>
          <w:rFonts w:cs="Times New Roman"/>
          <w:szCs w:val="24"/>
        </w:rPr>
        <w:instrText xml:space="preserve"> REF _Ref530160826 \h </w:instrText>
      </w:r>
      <w:r w:rsidR="00915F20">
        <w:rPr>
          <w:rFonts w:cs="Times New Roman"/>
          <w:szCs w:val="24"/>
        </w:rPr>
      </w:r>
      <w:r w:rsidR="00915F20">
        <w:rPr>
          <w:rFonts w:cs="Times New Roman"/>
          <w:szCs w:val="24"/>
        </w:rPr>
        <w:fldChar w:fldCharType="separate"/>
      </w:r>
      <w:r w:rsidR="00574650">
        <w:t xml:space="preserve">Figure </w:t>
      </w:r>
      <w:r w:rsidR="00574650">
        <w:rPr>
          <w:noProof/>
        </w:rPr>
        <w:t>2</w:t>
      </w:r>
      <w:r w:rsidR="00574650">
        <w:t>.</w:t>
      </w:r>
      <w:r w:rsidR="00574650">
        <w:rPr>
          <w:noProof/>
        </w:rPr>
        <w:t>1</w:t>
      </w:r>
      <w:r w:rsidR="00915F20">
        <w:rPr>
          <w:rFonts w:cs="Times New Roman"/>
          <w:szCs w:val="24"/>
        </w:rPr>
        <w:fldChar w:fldCharType="end"/>
      </w:r>
      <w:r w:rsidRPr="00BF7226">
        <w:rPr>
          <w:rFonts w:cs="Times New Roman"/>
          <w:szCs w:val="24"/>
        </w:rPr>
        <w:t xml:space="preserve">).  </w:t>
      </w:r>
      <w:r w:rsidRPr="00083FD3">
        <w:rPr>
          <w:rFonts w:cs="Times New Roman"/>
          <w:noProof/>
          <w:szCs w:val="24"/>
        </w:rPr>
        <w:t>This</w:t>
      </w:r>
      <w:r w:rsidRPr="00BF7226">
        <w:rPr>
          <w:rFonts w:cs="Times New Roman"/>
          <w:szCs w:val="24"/>
        </w:rPr>
        <w:t xml:space="preserve"> left 12 included web apps</w:t>
      </w:r>
      <w:r w:rsidR="004525DB">
        <w:rPr>
          <w:rFonts w:cs="Times New Roman"/>
          <w:szCs w:val="24"/>
        </w:rPr>
        <w:t xml:space="preserve"> </w:t>
      </w:r>
      <w:r w:rsidRPr="00BF7226">
        <w:rPr>
          <w:rFonts w:cs="Times New Roman"/>
          <w:szCs w:val="24"/>
        </w:rPr>
        <w:t>(</w:t>
      </w:r>
      <w:r w:rsidR="009E3EA0">
        <w:rPr>
          <w:rFonts w:cs="Times New Roman"/>
          <w:szCs w:val="24"/>
        </w:rPr>
        <w:fldChar w:fldCharType="begin"/>
      </w:r>
      <w:r w:rsidR="009E3EA0">
        <w:rPr>
          <w:rFonts w:cs="Times New Roman"/>
          <w:szCs w:val="24"/>
        </w:rPr>
        <w:instrText xml:space="preserve"> REF _Ref526867556 \h </w:instrText>
      </w:r>
      <w:r w:rsidR="009E3EA0">
        <w:rPr>
          <w:rFonts w:cs="Times New Roman"/>
          <w:szCs w:val="24"/>
        </w:rPr>
      </w:r>
      <w:r w:rsidR="009E3EA0">
        <w:rPr>
          <w:rFonts w:cs="Times New Roman"/>
          <w:szCs w:val="24"/>
        </w:rPr>
        <w:fldChar w:fldCharType="separate"/>
      </w:r>
      <w:r w:rsidR="00574650">
        <w:t xml:space="preserve">Table </w:t>
      </w:r>
      <w:r w:rsidR="00574650">
        <w:rPr>
          <w:noProof/>
        </w:rPr>
        <w:t>2</w:t>
      </w:r>
      <w:r w:rsidR="00574650">
        <w:t>.</w:t>
      </w:r>
      <w:r w:rsidR="00574650">
        <w:rPr>
          <w:noProof/>
        </w:rPr>
        <w:t>3</w:t>
      </w:r>
      <w:r w:rsidR="009E3EA0">
        <w:rPr>
          <w:rFonts w:cs="Times New Roman"/>
          <w:szCs w:val="24"/>
        </w:rPr>
        <w:fldChar w:fldCharType="end"/>
      </w:r>
      <w:r w:rsidRPr="00BF7226">
        <w:rPr>
          <w:rFonts w:cs="Times New Roman"/>
          <w:szCs w:val="24"/>
        </w:rPr>
        <w:t>).  Fifteen (29.4%) of the 51 Trusts recommend or use smartphone apps.</w:t>
      </w:r>
      <w:r w:rsidR="006C7477">
        <w:rPr>
          <w:rFonts w:cs="Times New Roman"/>
          <w:szCs w:val="24"/>
        </w:rPr>
        <w:t xml:space="preserve"> </w:t>
      </w:r>
      <w:r w:rsidRPr="00BF7226">
        <w:rPr>
          <w:rFonts w:cs="Times New Roman"/>
          <w:szCs w:val="24"/>
        </w:rPr>
        <w:t xml:space="preserve"> Trusts named 14 specific smartphone apps, </w:t>
      </w:r>
      <w:r>
        <w:rPr>
          <w:rFonts w:cs="Times New Roman"/>
          <w:szCs w:val="24"/>
        </w:rPr>
        <w:t>6</w:t>
      </w:r>
      <w:r w:rsidRPr="00BF7226">
        <w:rPr>
          <w:rFonts w:cs="Times New Roman"/>
          <w:szCs w:val="24"/>
        </w:rPr>
        <w:t xml:space="preserve"> of which did not meet the inclusion criterion (</w:t>
      </w:r>
      <w:r w:rsidR="00977800">
        <w:rPr>
          <w:rFonts w:cs="Times New Roman"/>
          <w:szCs w:val="24"/>
        </w:rPr>
        <w:fldChar w:fldCharType="begin"/>
      </w:r>
      <w:r w:rsidR="00977800">
        <w:rPr>
          <w:rFonts w:cs="Times New Roman"/>
          <w:szCs w:val="24"/>
        </w:rPr>
        <w:instrText xml:space="preserve"> REF _Ref530160826 \h </w:instrText>
      </w:r>
      <w:r w:rsidR="00977800">
        <w:rPr>
          <w:rFonts w:cs="Times New Roman"/>
          <w:szCs w:val="24"/>
        </w:rPr>
      </w:r>
      <w:r w:rsidR="00977800">
        <w:rPr>
          <w:rFonts w:cs="Times New Roman"/>
          <w:szCs w:val="24"/>
        </w:rPr>
        <w:fldChar w:fldCharType="separate"/>
      </w:r>
      <w:r w:rsidR="00574650">
        <w:t xml:space="preserve">Figure </w:t>
      </w:r>
      <w:r w:rsidR="00574650">
        <w:rPr>
          <w:noProof/>
        </w:rPr>
        <w:t>2</w:t>
      </w:r>
      <w:r w:rsidR="00574650">
        <w:t>.</w:t>
      </w:r>
      <w:r w:rsidR="00574650">
        <w:rPr>
          <w:noProof/>
        </w:rPr>
        <w:t>1</w:t>
      </w:r>
      <w:r w:rsidR="00977800">
        <w:rPr>
          <w:rFonts w:cs="Times New Roman"/>
          <w:szCs w:val="24"/>
        </w:rPr>
        <w:fldChar w:fldCharType="end"/>
      </w:r>
      <w:r w:rsidRPr="00BF7226">
        <w:rPr>
          <w:rFonts w:cs="Times New Roman"/>
          <w:szCs w:val="24"/>
        </w:rPr>
        <w:t xml:space="preserve">), leaving </w:t>
      </w:r>
      <w:r>
        <w:rPr>
          <w:rFonts w:cs="Times New Roman"/>
          <w:szCs w:val="24"/>
        </w:rPr>
        <w:t>8</w:t>
      </w:r>
      <w:r w:rsidRPr="00BF7226">
        <w:rPr>
          <w:rFonts w:cs="Times New Roman"/>
          <w:szCs w:val="24"/>
        </w:rPr>
        <w:t xml:space="preserve"> included smartphone apps (</w:t>
      </w:r>
      <w:r w:rsidR="00977800">
        <w:rPr>
          <w:rFonts w:cs="Times New Roman"/>
          <w:szCs w:val="24"/>
        </w:rPr>
        <w:fldChar w:fldCharType="begin"/>
      </w:r>
      <w:r w:rsidR="00977800">
        <w:rPr>
          <w:rFonts w:cs="Times New Roman"/>
          <w:szCs w:val="24"/>
        </w:rPr>
        <w:instrText xml:space="preserve"> REF _Ref526867556 \h </w:instrText>
      </w:r>
      <w:r w:rsidR="00977800">
        <w:rPr>
          <w:rFonts w:cs="Times New Roman"/>
          <w:szCs w:val="24"/>
        </w:rPr>
      </w:r>
      <w:r w:rsidR="00977800">
        <w:rPr>
          <w:rFonts w:cs="Times New Roman"/>
          <w:szCs w:val="24"/>
        </w:rPr>
        <w:fldChar w:fldCharType="separate"/>
      </w:r>
      <w:r w:rsidR="00574650">
        <w:t xml:space="preserve">Table </w:t>
      </w:r>
      <w:r w:rsidR="00574650">
        <w:rPr>
          <w:noProof/>
        </w:rPr>
        <w:t>2</w:t>
      </w:r>
      <w:r w:rsidR="00574650">
        <w:t>.</w:t>
      </w:r>
      <w:r w:rsidR="00574650">
        <w:rPr>
          <w:noProof/>
        </w:rPr>
        <w:t>3</w:t>
      </w:r>
      <w:r w:rsidR="00977800">
        <w:rPr>
          <w:rFonts w:cs="Times New Roman"/>
          <w:szCs w:val="24"/>
        </w:rPr>
        <w:fldChar w:fldCharType="end"/>
      </w:r>
      <w:r w:rsidRPr="00BF7226">
        <w:rPr>
          <w:rFonts w:cs="Times New Roman"/>
          <w:szCs w:val="24"/>
        </w:rPr>
        <w:t>).</w:t>
      </w:r>
    </w:p>
    <w:p w14:paraId="10F66BA3" w14:textId="1F3C42A4" w:rsidR="00E30483" w:rsidRPr="00172C39" w:rsidRDefault="00E30483" w:rsidP="00E30483">
      <w:pPr>
        <w:rPr>
          <w:rFonts w:cs="Times New Roman"/>
          <w:szCs w:val="24"/>
        </w:rPr>
      </w:pPr>
      <w:r w:rsidRPr="00172C39">
        <w:rPr>
          <w:rFonts w:cs="Times New Roman"/>
          <w:szCs w:val="24"/>
        </w:rPr>
        <w:t xml:space="preserve">One </w:t>
      </w:r>
      <w:r>
        <w:rPr>
          <w:rFonts w:cs="Times New Roman"/>
          <w:szCs w:val="24"/>
        </w:rPr>
        <w:t>T</w:t>
      </w:r>
      <w:r w:rsidRPr="00172C39">
        <w:rPr>
          <w:rFonts w:cs="Times New Roman"/>
          <w:szCs w:val="24"/>
        </w:rPr>
        <w:t xml:space="preserve">rust indicated it was </w:t>
      </w:r>
      <w:r w:rsidRPr="00083FD3">
        <w:rPr>
          <w:rFonts w:cs="Times New Roman"/>
          <w:noProof/>
          <w:szCs w:val="24"/>
        </w:rPr>
        <w:t>carrying out research into</w:t>
      </w:r>
      <w:r w:rsidRPr="00172C39">
        <w:rPr>
          <w:rFonts w:cs="Times New Roman"/>
          <w:szCs w:val="24"/>
        </w:rPr>
        <w:t xml:space="preserve"> web apps</w:t>
      </w:r>
      <w:r>
        <w:rPr>
          <w:rFonts w:cs="Times New Roman"/>
          <w:noProof/>
          <w:szCs w:val="24"/>
        </w:rPr>
        <w:t>;</w:t>
      </w:r>
      <w:r w:rsidRPr="00083FD3">
        <w:rPr>
          <w:rFonts w:cs="Times New Roman"/>
          <w:noProof/>
          <w:szCs w:val="24"/>
        </w:rPr>
        <w:t xml:space="preserve"> two</w:t>
      </w:r>
      <w:r w:rsidRPr="00172C39">
        <w:rPr>
          <w:rFonts w:cs="Times New Roman"/>
          <w:szCs w:val="24"/>
        </w:rPr>
        <w:t xml:space="preserve"> stated they were piloting web apps</w:t>
      </w:r>
      <w:r>
        <w:rPr>
          <w:rFonts w:cs="Times New Roman"/>
          <w:szCs w:val="24"/>
        </w:rPr>
        <w:t>,</w:t>
      </w:r>
      <w:r w:rsidRPr="00172C39">
        <w:rPr>
          <w:rFonts w:cs="Times New Roman"/>
          <w:szCs w:val="24"/>
        </w:rPr>
        <w:t xml:space="preserve"> </w:t>
      </w:r>
      <w:r w:rsidRPr="00083FD3">
        <w:rPr>
          <w:rFonts w:cs="Times New Roman"/>
          <w:noProof/>
          <w:szCs w:val="24"/>
        </w:rPr>
        <w:t>and</w:t>
      </w:r>
      <w:r w:rsidRPr="00172C39">
        <w:rPr>
          <w:rFonts w:cs="Times New Roman"/>
          <w:szCs w:val="24"/>
        </w:rPr>
        <w:t xml:space="preserve"> one said that it was in the process of developing its own</w:t>
      </w:r>
      <w:r>
        <w:rPr>
          <w:rFonts w:cs="Times New Roman"/>
          <w:szCs w:val="24"/>
        </w:rPr>
        <w:t xml:space="preserve">.  </w:t>
      </w:r>
      <w:r w:rsidRPr="00172C39">
        <w:rPr>
          <w:rFonts w:cs="Times New Roman"/>
          <w:szCs w:val="24"/>
        </w:rPr>
        <w:t xml:space="preserve">Regarding </w:t>
      </w:r>
      <w:r w:rsidRPr="00083FD3">
        <w:rPr>
          <w:rFonts w:cs="Times New Roman"/>
          <w:noProof/>
          <w:szCs w:val="24"/>
        </w:rPr>
        <w:t>smartphone</w:t>
      </w:r>
      <w:r w:rsidRPr="00172C39">
        <w:rPr>
          <w:rFonts w:cs="Times New Roman"/>
          <w:szCs w:val="24"/>
        </w:rPr>
        <w:t xml:space="preserve"> apps, 2 Trusts indicated they </w:t>
      </w:r>
      <w:r w:rsidRPr="00172C39">
        <w:rPr>
          <w:rFonts w:cs="Times New Roman"/>
          <w:szCs w:val="24"/>
        </w:rPr>
        <w:lastRenderedPageBreak/>
        <w:t xml:space="preserve">were </w:t>
      </w:r>
      <w:r w:rsidRPr="00083FD3">
        <w:rPr>
          <w:rFonts w:cs="Times New Roman"/>
          <w:noProof/>
          <w:szCs w:val="24"/>
        </w:rPr>
        <w:t>carrying out research into</w:t>
      </w:r>
      <w:r w:rsidRPr="00172C39">
        <w:rPr>
          <w:rFonts w:cs="Times New Roman"/>
          <w:szCs w:val="24"/>
        </w:rPr>
        <w:t xml:space="preserve"> smartphone apps</w:t>
      </w:r>
      <w:r>
        <w:rPr>
          <w:rFonts w:cs="Times New Roman"/>
          <w:noProof/>
          <w:szCs w:val="24"/>
        </w:rPr>
        <w:t>;</w:t>
      </w:r>
      <w:r w:rsidRPr="00083FD3">
        <w:rPr>
          <w:rFonts w:cs="Times New Roman"/>
          <w:noProof/>
          <w:szCs w:val="24"/>
        </w:rPr>
        <w:t xml:space="preserve"> two</w:t>
      </w:r>
      <w:r w:rsidRPr="00172C39">
        <w:rPr>
          <w:rFonts w:cs="Times New Roman"/>
          <w:szCs w:val="24"/>
        </w:rPr>
        <w:t xml:space="preserve"> indicated they were piloting smartphone apps</w:t>
      </w:r>
      <w:r>
        <w:rPr>
          <w:rFonts w:cs="Times New Roman"/>
          <w:szCs w:val="24"/>
        </w:rPr>
        <w:t>,</w:t>
      </w:r>
      <w:r w:rsidRPr="00172C39">
        <w:rPr>
          <w:rFonts w:cs="Times New Roman"/>
          <w:szCs w:val="24"/>
        </w:rPr>
        <w:t xml:space="preserve"> </w:t>
      </w:r>
      <w:r w:rsidRPr="00083FD3">
        <w:rPr>
          <w:rFonts w:cs="Times New Roman"/>
          <w:noProof/>
          <w:szCs w:val="24"/>
        </w:rPr>
        <w:t>and</w:t>
      </w:r>
      <w:r w:rsidRPr="00172C39">
        <w:rPr>
          <w:rFonts w:cs="Times New Roman"/>
          <w:szCs w:val="24"/>
        </w:rPr>
        <w:t xml:space="preserve"> seven said they were in the process of developing their own.</w:t>
      </w:r>
    </w:p>
    <w:p w14:paraId="588C0263" w14:textId="77777777" w:rsidR="00E30483" w:rsidRPr="00172C39" w:rsidRDefault="00E30483" w:rsidP="005E60F7">
      <w:pPr>
        <w:pStyle w:val="Heading3"/>
      </w:pPr>
      <w:bookmarkStart w:id="100" w:name="_Toc530598113"/>
      <w:bookmarkStart w:id="101" w:name="_Toc530660466"/>
      <w:bookmarkStart w:id="102" w:name="_Toc3538067"/>
      <w:r w:rsidRPr="00172C39">
        <w:t>Apps Libraries</w:t>
      </w:r>
      <w:bookmarkEnd w:id="100"/>
      <w:bookmarkEnd w:id="101"/>
      <w:bookmarkEnd w:id="102"/>
    </w:p>
    <w:p w14:paraId="0E447652" w14:textId="1C400BCB" w:rsidR="00E30483" w:rsidRPr="00BF7226" w:rsidRDefault="00E30483" w:rsidP="00E30483">
      <w:pPr>
        <w:rPr>
          <w:rFonts w:cs="Times New Roman"/>
          <w:szCs w:val="24"/>
        </w:rPr>
      </w:pPr>
      <w:r w:rsidRPr="00BF7226">
        <w:rPr>
          <w:rFonts w:cs="Times New Roman"/>
          <w:szCs w:val="24"/>
        </w:rPr>
        <w:t xml:space="preserve">In the NHS Health Apps Library, a list of 44 web/smartphone apps </w:t>
      </w:r>
      <w:r w:rsidRPr="00083FD3">
        <w:rPr>
          <w:rFonts w:cs="Times New Roman"/>
          <w:noProof/>
          <w:szCs w:val="24"/>
        </w:rPr>
        <w:t>w</w:t>
      </w:r>
      <w:r>
        <w:rPr>
          <w:rFonts w:cs="Times New Roman"/>
          <w:noProof/>
          <w:szCs w:val="24"/>
        </w:rPr>
        <w:t>as</w:t>
      </w:r>
      <w:r w:rsidRPr="00083FD3">
        <w:rPr>
          <w:rFonts w:cs="Times New Roman"/>
          <w:noProof/>
          <w:szCs w:val="24"/>
        </w:rPr>
        <w:t xml:space="preserve"> identified</w:t>
      </w:r>
      <w:r w:rsidRPr="00BF7226">
        <w:rPr>
          <w:rFonts w:cs="Times New Roman"/>
          <w:szCs w:val="24"/>
        </w:rPr>
        <w:t>, 1</w:t>
      </w:r>
      <w:r>
        <w:rPr>
          <w:rFonts w:cs="Times New Roman"/>
          <w:szCs w:val="24"/>
        </w:rPr>
        <w:t>8</w:t>
      </w:r>
      <w:r w:rsidRPr="00BF7226">
        <w:rPr>
          <w:rFonts w:cs="Times New Roman"/>
          <w:szCs w:val="24"/>
        </w:rPr>
        <w:t xml:space="preserve"> of these did not meet the inclusion criterion (</w:t>
      </w:r>
      <w:r w:rsidR="007E79F8">
        <w:rPr>
          <w:rFonts w:cs="Times New Roman"/>
          <w:szCs w:val="24"/>
        </w:rPr>
        <w:fldChar w:fldCharType="begin"/>
      </w:r>
      <w:r w:rsidR="007E79F8">
        <w:rPr>
          <w:rFonts w:cs="Times New Roman"/>
          <w:szCs w:val="24"/>
        </w:rPr>
        <w:instrText xml:space="preserve"> REF _Ref530160826 \h </w:instrText>
      </w:r>
      <w:r w:rsidR="007E79F8">
        <w:rPr>
          <w:rFonts w:cs="Times New Roman"/>
          <w:szCs w:val="24"/>
        </w:rPr>
      </w:r>
      <w:r w:rsidR="007E79F8">
        <w:rPr>
          <w:rFonts w:cs="Times New Roman"/>
          <w:szCs w:val="24"/>
        </w:rPr>
        <w:fldChar w:fldCharType="separate"/>
      </w:r>
      <w:r w:rsidR="00574650">
        <w:t xml:space="preserve">Figure </w:t>
      </w:r>
      <w:r w:rsidR="00574650">
        <w:rPr>
          <w:noProof/>
        </w:rPr>
        <w:t>2</w:t>
      </w:r>
      <w:r w:rsidR="00574650">
        <w:t>.</w:t>
      </w:r>
      <w:r w:rsidR="00574650">
        <w:rPr>
          <w:noProof/>
        </w:rPr>
        <w:t>1</w:t>
      </w:r>
      <w:r w:rsidR="007E79F8">
        <w:rPr>
          <w:rFonts w:cs="Times New Roman"/>
          <w:szCs w:val="24"/>
        </w:rPr>
        <w:fldChar w:fldCharType="end"/>
      </w:r>
      <w:r w:rsidRPr="00BF7226">
        <w:rPr>
          <w:rFonts w:cs="Times New Roman"/>
          <w:szCs w:val="24"/>
        </w:rPr>
        <w:t>) leaving 26 included apps.</w:t>
      </w:r>
      <w:r w:rsidR="006C7477">
        <w:rPr>
          <w:rFonts w:cs="Times New Roman"/>
          <w:szCs w:val="24"/>
        </w:rPr>
        <w:t xml:space="preserve"> </w:t>
      </w:r>
      <w:r w:rsidRPr="00BF7226">
        <w:rPr>
          <w:rFonts w:cs="Times New Roman"/>
          <w:szCs w:val="24"/>
        </w:rPr>
        <w:t xml:space="preserve"> Out of the </w:t>
      </w:r>
      <w:r>
        <w:rPr>
          <w:rFonts w:cs="Times New Roman"/>
          <w:noProof/>
          <w:szCs w:val="24"/>
        </w:rPr>
        <w:t>seven</w:t>
      </w:r>
      <w:r w:rsidRPr="00BF7226">
        <w:rPr>
          <w:rFonts w:cs="Times New Roman"/>
          <w:szCs w:val="24"/>
        </w:rPr>
        <w:t xml:space="preserve"> web apps listed in the NHS Mental Health Apps Library on the 2nd of November </w:t>
      </w:r>
      <w:r w:rsidRPr="00083FD3">
        <w:rPr>
          <w:rFonts w:cs="Times New Roman"/>
          <w:noProof/>
          <w:szCs w:val="24"/>
        </w:rPr>
        <w:t>2015</w:t>
      </w:r>
      <w:r>
        <w:rPr>
          <w:rFonts w:cs="Times New Roman"/>
          <w:noProof/>
          <w:szCs w:val="24"/>
        </w:rPr>
        <w:t>,</w:t>
      </w:r>
      <w:r w:rsidRPr="00BF7226">
        <w:rPr>
          <w:rFonts w:cs="Times New Roman"/>
          <w:szCs w:val="24"/>
        </w:rPr>
        <w:t xml:space="preserve"> 6 met the inclusion criterion</w:t>
      </w:r>
      <w:r>
        <w:rPr>
          <w:rFonts w:cs="Times New Roman"/>
          <w:szCs w:val="24"/>
        </w:rPr>
        <w:t>,</w:t>
      </w:r>
      <w:r w:rsidRPr="00BF7226">
        <w:rPr>
          <w:rFonts w:cs="Times New Roman"/>
          <w:szCs w:val="24"/>
        </w:rPr>
        <w:t xml:space="preserve"> </w:t>
      </w:r>
      <w:r w:rsidRPr="00083FD3">
        <w:rPr>
          <w:rFonts w:cs="Times New Roman"/>
          <w:noProof/>
          <w:szCs w:val="24"/>
        </w:rPr>
        <w:t>and</w:t>
      </w:r>
      <w:r w:rsidRPr="00BF7226">
        <w:rPr>
          <w:rFonts w:cs="Times New Roman"/>
          <w:szCs w:val="24"/>
        </w:rPr>
        <w:t xml:space="preserve"> </w:t>
      </w:r>
      <w:r>
        <w:rPr>
          <w:rFonts w:cs="Times New Roman"/>
          <w:noProof/>
          <w:szCs w:val="24"/>
        </w:rPr>
        <w:t>one</w:t>
      </w:r>
      <w:r w:rsidRPr="00BF7226">
        <w:rPr>
          <w:rFonts w:cs="Times New Roman"/>
          <w:szCs w:val="24"/>
        </w:rPr>
        <w:t xml:space="preserve"> did not (</w:t>
      </w:r>
      <w:r w:rsidR="007E79F8">
        <w:rPr>
          <w:rFonts w:cs="Times New Roman"/>
          <w:szCs w:val="24"/>
        </w:rPr>
        <w:fldChar w:fldCharType="begin"/>
      </w:r>
      <w:r w:rsidR="007E79F8">
        <w:rPr>
          <w:rFonts w:cs="Times New Roman"/>
          <w:szCs w:val="24"/>
        </w:rPr>
        <w:instrText xml:space="preserve"> REF _Ref530160826 \h </w:instrText>
      </w:r>
      <w:r w:rsidR="007E79F8">
        <w:rPr>
          <w:rFonts w:cs="Times New Roman"/>
          <w:szCs w:val="24"/>
        </w:rPr>
      </w:r>
      <w:r w:rsidR="007E79F8">
        <w:rPr>
          <w:rFonts w:cs="Times New Roman"/>
          <w:szCs w:val="24"/>
        </w:rPr>
        <w:fldChar w:fldCharType="separate"/>
      </w:r>
      <w:r w:rsidR="00574650">
        <w:t xml:space="preserve">Figure </w:t>
      </w:r>
      <w:r w:rsidR="00574650">
        <w:rPr>
          <w:noProof/>
        </w:rPr>
        <w:t>2</w:t>
      </w:r>
      <w:r w:rsidR="00574650">
        <w:t>.</w:t>
      </w:r>
      <w:r w:rsidR="00574650">
        <w:rPr>
          <w:noProof/>
        </w:rPr>
        <w:t>1</w:t>
      </w:r>
      <w:r w:rsidR="007E79F8">
        <w:rPr>
          <w:rFonts w:cs="Times New Roman"/>
          <w:szCs w:val="24"/>
        </w:rPr>
        <w:fldChar w:fldCharType="end"/>
      </w:r>
      <w:r w:rsidRPr="00BF7226">
        <w:rPr>
          <w:rFonts w:cs="Times New Roman"/>
          <w:szCs w:val="24"/>
        </w:rPr>
        <w:t>).</w:t>
      </w:r>
      <w:r w:rsidR="006C7477">
        <w:rPr>
          <w:rFonts w:cs="Times New Roman"/>
          <w:szCs w:val="24"/>
        </w:rPr>
        <w:t xml:space="preserve"> </w:t>
      </w:r>
      <w:r w:rsidRPr="00BF7226">
        <w:rPr>
          <w:rFonts w:cs="Times New Roman"/>
          <w:szCs w:val="24"/>
        </w:rPr>
        <w:t xml:space="preserve"> Only </w:t>
      </w:r>
      <w:r>
        <w:rPr>
          <w:rFonts w:cs="Times New Roman"/>
          <w:noProof/>
          <w:szCs w:val="24"/>
        </w:rPr>
        <w:t>three</w:t>
      </w:r>
      <w:r w:rsidRPr="00BF7226">
        <w:rPr>
          <w:rFonts w:cs="Times New Roman"/>
          <w:szCs w:val="24"/>
        </w:rPr>
        <w:t xml:space="preserve"> apps were present in both libraries (</w:t>
      </w:r>
      <w:r w:rsidR="007E79F8">
        <w:rPr>
          <w:rFonts w:cs="Times New Roman"/>
          <w:szCs w:val="24"/>
        </w:rPr>
        <w:fldChar w:fldCharType="begin"/>
      </w:r>
      <w:r w:rsidR="007E79F8">
        <w:rPr>
          <w:rFonts w:cs="Times New Roman"/>
          <w:szCs w:val="24"/>
        </w:rPr>
        <w:instrText xml:space="preserve"> REF _Ref526867556 \h </w:instrText>
      </w:r>
      <w:r w:rsidR="007E79F8">
        <w:rPr>
          <w:rFonts w:cs="Times New Roman"/>
          <w:szCs w:val="24"/>
        </w:rPr>
      </w:r>
      <w:r w:rsidR="007E79F8">
        <w:rPr>
          <w:rFonts w:cs="Times New Roman"/>
          <w:szCs w:val="24"/>
        </w:rPr>
        <w:fldChar w:fldCharType="separate"/>
      </w:r>
      <w:r w:rsidR="00574650">
        <w:t xml:space="preserve">Table </w:t>
      </w:r>
      <w:r w:rsidR="00574650">
        <w:rPr>
          <w:noProof/>
        </w:rPr>
        <w:t>2</w:t>
      </w:r>
      <w:r w:rsidR="00574650">
        <w:t>.</w:t>
      </w:r>
      <w:r w:rsidR="00574650">
        <w:rPr>
          <w:noProof/>
        </w:rPr>
        <w:t>3</w:t>
      </w:r>
      <w:r w:rsidR="007E79F8">
        <w:rPr>
          <w:rFonts w:cs="Times New Roman"/>
          <w:szCs w:val="24"/>
        </w:rPr>
        <w:fldChar w:fldCharType="end"/>
      </w:r>
      <w:r w:rsidRPr="00BF7226">
        <w:rPr>
          <w:rFonts w:cs="Times New Roman"/>
          <w:szCs w:val="24"/>
        </w:rPr>
        <w:t>).</w:t>
      </w:r>
    </w:p>
    <w:p w14:paraId="737BDFE8" w14:textId="72A4EC1A" w:rsidR="00E30483" w:rsidRDefault="00E30483" w:rsidP="00E30483">
      <w:pPr>
        <w:pStyle w:val="Caption"/>
        <w:keepNext/>
      </w:pPr>
      <w:bookmarkStart w:id="103" w:name="_Ref530160826"/>
      <w:bookmarkStart w:id="104" w:name="_Ref530160961"/>
      <w:bookmarkStart w:id="105" w:name="_Toc530684646"/>
      <w:proofErr w:type="gramStart"/>
      <w:r>
        <w:t xml:space="preserve">Figure </w:t>
      </w:r>
      <w:r w:rsidR="00371DCC">
        <w:fldChar w:fldCharType="begin"/>
      </w:r>
      <w:r w:rsidR="00371DCC">
        <w:instrText xml:space="preserve"> STYLEREF 1 \s </w:instrText>
      </w:r>
      <w:r w:rsidR="00371DCC">
        <w:fldChar w:fldCharType="separate"/>
      </w:r>
      <w:r w:rsidR="00574650">
        <w:rPr>
          <w:noProof/>
        </w:rPr>
        <w:t>2</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1</w:t>
      </w:r>
      <w:r w:rsidR="00371DCC">
        <w:fldChar w:fldCharType="end"/>
      </w:r>
      <w:bookmarkEnd w:id="103"/>
      <w:r>
        <w:t xml:space="preserve"> </w:t>
      </w:r>
      <w:r w:rsidRPr="00993749">
        <w:t>PRISMA Flow Diagram of app data collection</w:t>
      </w:r>
      <w:bookmarkEnd w:id="104"/>
      <w:bookmarkEnd w:id="105"/>
    </w:p>
    <w:p w14:paraId="7249C95B" w14:textId="77777777" w:rsidR="00E30483" w:rsidRDefault="00E30483" w:rsidP="00E30483">
      <w:pPr>
        <w:pStyle w:val="NoSpacing"/>
        <w:keepNext/>
      </w:pPr>
      <w:r>
        <w:rPr>
          <w:noProof/>
          <w:lang w:val="en-GB" w:eastAsia="en-GB"/>
        </w:rPr>
        <w:drawing>
          <wp:inline distT="0" distB="0" distL="0" distR="0" wp14:anchorId="2644963B" wp14:editId="30442C6D">
            <wp:extent cx="6281420" cy="5843905"/>
            <wp:effectExtent l="0" t="0" r="508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81420" cy="5843905"/>
                    </a:xfrm>
                    <a:prstGeom prst="rect">
                      <a:avLst/>
                    </a:prstGeom>
                    <a:noFill/>
                    <a:ln>
                      <a:noFill/>
                    </a:ln>
                  </pic:spPr>
                </pic:pic>
              </a:graphicData>
            </a:graphic>
          </wp:inline>
        </w:drawing>
      </w:r>
    </w:p>
    <w:p w14:paraId="13BE8E7D" w14:textId="77777777" w:rsidR="00E30483" w:rsidRPr="00310B1E" w:rsidRDefault="00E30483" w:rsidP="005E60F7">
      <w:pPr>
        <w:pStyle w:val="Heading2"/>
      </w:pPr>
      <w:bookmarkStart w:id="106" w:name="_Toc530598114"/>
      <w:bookmarkStart w:id="107" w:name="_Toc530660467"/>
      <w:bookmarkStart w:id="108" w:name="_Toc3538068"/>
      <w:r w:rsidRPr="00310B1E">
        <w:t>Discussion</w:t>
      </w:r>
      <w:bookmarkEnd w:id="106"/>
      <w:bookmarkEnd w:id="107"/>
      <w:bookmarkEnd w:id="108"/>
    </w:p>
    <w:p w14:paraId="106D1094" w14:textId="47836ED7" w:rsidR="00E30483" w:rsidRPr="00172C39" w:rsidRDefault="00E30483" w:rsidP="00E30483">
      <w:pPr>
        <w:rPr>
          <w:rFonts w:cs="Times New Roman"/>
          <w:szCs w:val="24"/>
        </w:rPr>
      </w:pPr>
      <w:r w:rsidRPr="00172C39">
        <w:rPr>
          <w:rFonts w:cs="Times New Roman"/>
          <w:szCs w:val="24"/>
        </w:rPr>
        <w:t xml:space="preserve">The present </w:t>
      </w:r>
      <w:r>
        <w:rPr>
          <w:rFonts w:cs="Times New Roman"/>
          <w:szCs w:val="24"/>
        </w:rPr>
        <w:t>chapter</w:t>
      </w:r>
      <w:r w:rsidRPr="00172C39">
        <w:rPr>
          <w:rFonts w:cs="Times New Roman"/>
          <w:szCs w:val="24"/>
        </w:rPr>
        <w:t xml:space="preserve"> is the first attempt to document all the e-therapies used and recommended by the NHS in England at a </w:t>
      </w:r>
      <w:r>
        <w:rPr>
          <w:rFonts w:cs="Times New Roman"/>
          <w:szCs w:val="24"/>
        </w:rPr>
        <w:t xml:space="preserve">particular </w:t>
      </w:r>
      <w:r w:rsidRPr="00172C39">
        <w:rPr>
          <w:rFonts w:cs="Times New Roman"/>
          <w:szCs w:val="24"/>
        </w:rPr>
        <w:t xml:space="preserve">window in time. </w:t>
      </w:r>
      <w:r>
        <w:rPr>
          <w:rFonts w:cs="Times New Roman"/>
          <w:szCs w:val="24"/>
        </w:rPr>
        <w:t xml:space="preserve"> The purpose of doing this was to provide a list of e-therapies to examine </w:t>
      </w:r>
      <w:r w:rsidRPr="00083FD3">
        <w:rPr>
          <w:rFonts w:cs="Times New Roman"/>
          <w:noProof/>
          <w:szCs w:val="24"/>
        </w:rPr>
        <w:t>in relation to</w:t>
      </w:r>
      <w:r>
        <w:rPr>
          <w:rFonts w:cs="Times New Roman"/>
          <w:szCs w:val="24"/>
        </w:rPr>
        <w:t xml:space="preserve"> their suitability for older adults.  </w:t>
      </w:r>
      <w:r w:rsidRPr="00172C39">
        <w:rPr>
          <w:rFonts w:cs="Times New Roman"/>
          <w:szCs w:val="24"/>
        </w:rPr>
        <w:t xml:space="preserve">While the list of e-therapies used and recommended by </w:t>
      </w:r>
      <w:r w:rsidRPr="00172C39">
        <w:rPr>
          <w:rFonts w:cs="Times New Roman"/>
          <w:szCs w:val="24"/>
        </w:rPr>
        <w:lastRenderedPageBreak/>
        <w:t xml:space="preserve">the NHS in England is changeable over time, the present </w:t>
      </w:r>
      <w:r>
        <w:rPr>
          <w:rFonts w:cs="Times New Roman"/>
          <w:szCs w:val="24"/>
        </w:rPr>
        <w:t>chapter</w:t>
      </w:r>
      <w:r w:rsidRPr="00172C39">
        <w:rPr>
          <w:rFonts w:cs="Times New Roman"/>
          <w:szCs w:val="24"/>
        </w:rPr>
        <w:t xml:space="preserve"> provides future researchers, commissioners, and policymakers with a baseline of information from which to build.</w:t>
      </w:r>
      <w:r w:rsidR="006C7477">
        <w:rPr>
          <w:rFonts w:cs="Times New Roman"/>
          <w:szCs w:val="24"/>
        </w:rPr>
        <w:t xml:space="preserve"> </w:t>
      </w:r>
      <w:r w:rsidRPr="00172C39">
        <w:rPr>
          <w:rFonts w:cs="Times New Roman"/>
          <w:szCs w:val="24"/>
        </w:rPr>
        <w:t xml:space="preserve"> The data presented raise several interesting issues relating to the accessibility of </w:t>
      </w:r>
      <w:r>
        <w:rPr>
          <w:rFonts w:cs="Times New Roman"/>
          <w:szCs w:val="24"/>
        </w:rPr>
        <w:t>service</w:t>
      </w:r>
      <w:r w:rsidRPr="00172C39">
        <w:rPr>
          <w:rFonts w:cs="Times New Roman"/>
          <w:szCs w:val="24"/>
        </w:rPr>
        <w:t xml:space="preserve"> information, NICE guidelines on e-therapies, and ways of evaluating e-therapies.  </w:t>
      </w:r>
      <w:r>
        <w:rPr>
          <w:rFonts w:cs="Times New Roman"/>
          <w:szCs w:val="24"/>
        </w:rPr>
        <w:t>These are discussed in turn, followed by the relevance of the main findings for older adults specifically.</w:t>
      </w:r>
    </w:p>
    <w:p w14:paraId="4321B5F6" w14:textId="77777777" w:rsidR="00E30483" w:rsidRPr="00172C39" w:rsidRDefault="00E30483" w:rsidP="005E60F7">
      <w:pPr>
        <w:pStyle w:val="Heading3"/>
      </w:pPr>
      <w:bookmarkStart w:id="109" w:name="_Toc530598115"/>
      <w:bookmarkStart w:id="110" w:name="_Toc530660468"/>
      <w:bookmarkStart w:id="111" w:name="_Toc3538069"/>
      <w:r w:rsidRPr="00172C39">
        <w:t>Data Accessibility and Quality</w:t>
      </w:r>
      <w:bookmarkEnd w:id="109"/>
      <w:bookmarkEnd w:id="110"/>
      <w:bookmarkEnd w:id="111"/>
    </w:p>
    <w:p w14:paraId="7F4E810B" w14:textId="773B3657" w:rsidR="00E30483" w:rsidRPr="00172C39" w:rsidRDefault="00E30483" w:rsidP="00E30483">
      <w:pPr>
        <w:rPr>
          <w:rFonts w:cs="Times New Roman"/>
          <w:szCs w:val="24"/>
        </w:rPr>
      </w:pPr>
      <w:r w:rsidRPr="00172C39">
        <w:rPr>
          <w:rFonts w:cs="Times New Roman"/>
          <w:szCs w:val="24"/>
        </w:rPr>
        <w:t xml:space="preserve">This study relied heavily on the provisions of the UK FOI Act </w:t>
      </w:r>
      <w:r>
        <w:rPr>
          <w:rFonts w:cs="Times New Roman"/>
          <w:szCs w:val="24"/>
        </w:rPr>
        <w:t xml:space="preserve">(2000) </w:t>
      </w:r>
      <w:r w:rsidRPr="00172C39">
        <w:rPr>
          <w:rFonts w:cs="Times New Roman"/>
          <w:szCs w:val="24"/>
        </w:rPr>
        <w:t>for the collection of data</w:t>
      </w:r>
      <w:bookmarkStart w:id="112" w:name="_GoBack"/>
      <w:r w:rsidRPr="00C501FD">
        <w:rPr>
          <w:rFonts w:cs="Times New Roman"/>
          <w:color w:val="000000" w:themeColor="text1"/>
          <w:szCs w:val="24"/>
        </w:rPr>
        <w:t>.</w:t>
      </w:r>
      <w:r w:rsidR="006C7477" w:rsidRPr="00C501FD">
        <w:rPr>
          <w:rFonts w:cs="Times New Roman"/>
          <w:color w:val="000000" w:themeColor="text1"/>
          <w:szCs w:val="24"/>
        </w:rPr>
        <w:t xml:space="preserve"> </w:t>
      </w:r>
      <w:r w:rsidRPr="00C501FD">
        <w:rPr>
          <w:rFonts w:cs="Times New Roman"/>
          <w:color w:val="000000" w:themeColor="text1"/>
          <w:szCs w:val="24"/>
        </w:rPr>
        <w:t xml:space="preserve"> </w:t>
      </w:r>
      <w:r w:rsidR="000A07AB" w:rsidRPr="00C501FD">
        <w:rPr>
          <w:rFonts w:cs="Times New Roman"/>
          <w:color w:val="000000" w:themeColor="text1"/>
          <w:szCs w:val="24"/>
        </w:rPr>
        <w:t>A</w:t>
      </w:r>
      <w:r w:rsidR="00CA101C" w:rsidRPr="00C501FD">
        <w:rPr>
          <w:rFonts w:cs="Times New Roman"/>
          <w:color w:val="000000" w:themeColor="text1"/>
          <w:szCs w:val="24"/>
        </w:rPr>
        <w:t>pproximate</w:t>
      </w:r>
      <w:r w:rsidR="002E0A47" w:rsidRPr="00C501FD">
        <w:rPr>
          <w:rFonts w:cs="Times New Roman"/>
          <w:color w:val="000000" w:themeColor="text1"/>
          <w:szCs w:val="24"/>
        </w:rPr>
        <w:t>ly</w:t>
      </w:r>
      <w:r w:rsidR="00CA101C" w:rsidRPr="00C501FD">
        <w:rPr>
          <w:rFonts w:cs="Times New Roman"/>
          <w:color w:val="000000" w:themeColor="text1"/>
          <w:szCs w:val="24"/>
        </w:rPr>
        <w:t xml:space="preserve"> 54% of service providers respond</w:t>
      </w:r>
      <w:r w:rsidR="000A07AB" w:rsidRPr="00C501FD">
        <w:rPr>
          <w:rFonts w:cs="Times New Roman"/>
          <w:color w:val="000000" w:themeColor="text1"/>
          <w:szCs w:val="24"/>
        </w:rPr>
        <w:t>ed</w:t>
      </w:r>
      <w:r w:rsidR="00CA101C" w:rsidRPr="00C501FD">
        <w:rPr>
          <w:rFonts w:cs="Times New Roman"/>
          <w:color w:val="000000" w:themeColor="text1"/>
          <w:szCs w:val="24"/>
        </w:rPr>
        <w:t xml:space="preserve"> to the</w:t>
      </w:r>
      <w:r w:rsidR="002E0A47" w:rsidRPr="00C501FD">
        <w:rPr>
          <w:rFonts w:cs="Times New Roman"/>
          <w:color w:val="000000" w:themeColor="text1"/>
          <w:szCs w:val="24"/>
        </w:rPr>
        <w:t>ir</w:t>
      </w:r>
      <w:r w:rsidR="00CA101C" w:rsidRPr="00C501FD">
        <w:rPr>
          <w:rFonts w:cs="Times New Roman"/>
          <w:color w:val="000000" w:themeColor="text1"/>
          <w:szCs w:val="24"/>
        </w:rPr>
        <w:t xml:space="preserve"> FOI request</w:t>
      </w:r>
      <w:r w:rsidR="000A07AB" w:rsidRPr="00C501FD">
        <w:rPr>
          <w:rFonts w:cs="Times New Roman"/>
          <w:color w:val="000000" w:themeColor="text1"/>
          <w:szCs w:val="24"/>
        </w:rPr>
        <w:t>. Although this represents a large sample of service providers,</w:t>
      </w:r>
      <w:r w:rsidR="00CA101C" w:rsidRPr="00C501FD">
        <w:rPr>
          <w:rFonts w:cs="Times New Roman"/>
          <w:color w:val="000000" w:themeColor="text1"/>
          <w:szCs w:val="24"/>
        </w:rPr>
        <w:t xml:space="preserve"> it is difficult to ascertain </w:t>
      </w:r>
      <w:r w:rsidR="000A07AB" w:rsidRPr="00C501FD">
        <w:rPr>
          <w:rFonts w:cs="Times New Roman"/>
          <w:color w:val="000000" w:themeColor="text1"/>
          <w:szCs w:val="24"/>
        </w:rPr>
        <w:t>the extent to which they are</w:t>
      </w:r>
      <w:r w:rsidR="00CA101C" w:rsidRPr="00C501FD">
        <w:rPr>
          <w:rFonts w:cs="Times New Roman"/>
          <w:color w:val="000000" w:themeColor="text1"/>
          <w:szCs w:val="24"/>
        </w:rPr>
        <w:t xml:space="preserve"> representati</w:t>
      </w:r>
      <w:r w:rsidR="000A07AB" w:rsidRPr="00C501FD">
        <w:rPr>
          <w:rFonts w:cs="Times New Roman"/>
          <w:color w:val="000000" w:themeColor="text1"/>
          <w:szCs w:val="24"/>
        </w:rPr>
        <w:t>ve</w:t>
      </w:r>
      <w:r w:rsidR="00CA101C" w:rsidRPr="00C501FD">
        <w:rPr>
          <w:rFonts w:cs="Times New Roman"/>
          <w:color w:val="000000" w:themeColor="text1"/>
          <w:szCs w:val="24"/>
        </w:rPr>
        <w:t xml:space="preserve"> of </w:t>
      </w:r>
      <w:r w:rsidR="002E0A47" w:rsidRPr="00C501FD">
        <w:rPr>
          <w:rFonts w:cs="Times New Roman"/>
          <w:color w:val="000000" w:themeColor="text1"/>
          <w:szCs w:val="24"/>
        </w:rPr>
        <w:t xml:space="preserve">all </w:t>
      </w:r>
      <w:r w:rsidR="00CA101C" w:rsidRPr="00C501FD">
        <w:rPr>
          <w:rFonts w:cs="Times New Roman"/>
          <w:color w:val="000000" w:themeColor="text1"/>
          <w:szCs w:val="24"/>
        </w:rPr>
        <w:t xml:space="preserve">NHS IAPT services.  </w:t>
      </w:r>
      <w:r w:rsidRPr="00C501FD">
        <w:rPr>
          <w:rFonts w:cs="Times New Roman"/>
          <w:color w:val="000000" w:themeColor="text1"/>
          <w:szCs w:val="24"/>
        </w:rPr>
        <w:t>T</w:t>
      </w:r>
      <w:bookmarkEnd w:id="112"/>
      <w:r w:rsidRPr="00172C39">
        <w:rPr>
          <w:rFonts w:cs="Times New Roman"/>
          <w:szCs w:val="24"/>
        </w:rPr>
        <w:t>he reorganisation of the provision of mental health services in England has led to the increased participation of private and third sector provider organisations</w:t>
      </w:r>
      <w:r>
        <w:rPr>
          <w:rFonts w:cs="Times New Roman"/>
          <w:szCs w:val="24"/>
        </w:rPr>
        <w:t>.</w:t>
      </w:r>
      <w:r w:rsidR="006C7477">
        <w:rPr>
          <w:rFonts w:cs="Times New Roman"/>
          <w:szCs w:val="24"/>
        </w:rPr>
        <w:t xml:space="preserve"> </w:t>
      </w:r>
      <w:r w:rsidRPr="00172C39">
        <w:rPr>
          <w:rFonts w:cs="Times New Roman"/>
          <w:szCs w:val="24"/>
        </w:rPr>
        <w:t xml:space="preserve"> </w:t>
      </w:r>
      <w:r>
        <w:rPr>
          <w:rFonts w:cs="Times New Roman"/>
          <w:szCs w:val="24"/>
        </w:rPr>
        <w:t>U</w:t>
      </w:r>
      <w:r w:rsidRPr="00172C39">
        <w:rPr>
          <w:rFonts w:cs="Times New Roman"/>
          <w:szCs w:val="24"/>
        </w:rPr>
        <w:t>nlike public bodies, these organisations are not obliged to respond to FOI requests</w:t>
      </w:r>
      <w:r>
        <w:rPr>
          <w:rFonts w:cs="Times New Roman"/>
          <w:szCs w:val="24"/>
        </w:rPr>
        <w:t>.</w:t>
      </w:r>
      <w:r w:rsidR="004525DB">
        <w:rPr>
          <w:rFonts w:cs="Times New Roman"/>
          <w:szCs w:val="24"/>
        </w:rPr>
        <w:t xml:space="preserve"> </w:t>
      </w:r>
      <w:r w:rsidRPr="00172C39">
        <w:rPr>
          <w:rFonts w:cs="Times New Roman"/>
          <w:szCs w:val="24"/>
        </w:rPr>
        <w:t xml:space="preserve"> Indeed, over half of the organisations that did not respond to the FOI request were limited companies or charities.</w:t>
      </w:r>
      <w:r w:rsidR="006C7477">
        <w:rPr>
          <w:rFonts w:cs="Times New Roman"/>
          <w:szCs w:val="24"/>
        </w:rPr>
        <w:t xml:space="preserve"> </w:t>
      </w:r>
      <w:r w:rsidRPr="00172C39">
        <w:rPr>
          <w:rFonts w:cs="Times New Roman"/>
          <w:szCs w:val="24"/>
        </w:rPr>
        <w:t xml:space="preserve"> As more areas of the NHS </w:t>
      </w:r>
      <w:r w:rsidRPr="00083FD3">
        <w:rPr>
          <w:rFonts w:cs="Times New Roman"/>
          <w:noProof/>
          <w:szCs w:val="24"/>
        </w:rPr>
        <w:t>are outsourced</w:t>
      </w:r>
      <w:r w:rsidRPr="00172C39">
        <w:rPr>
          <w:rFonts w:cs="Times New Roman"/>
          <w:szCs w:val="24"/>
        </w:rPr>
        <w:t xml:space="preserve"> to external providers, inaccessibility of </w:t>
      </w:r>
      <w:r>
        <w:rPr>
          <w:rFonts w:cs="Times New Roman"/>
          <w:szCs w:val="24"/>
        </w:rPr>
        <w:t xml:space="preserve">service </w:t>
      </w:r>
      <w:r w:rsidRPr="00172C39">
        <w:rPr>
          <w:rFonts w:cs="Times New Roman"/>
          <w:szCs w:val="24"/>
        </w:rPr>
        <w:t>information is likely to increase.</w:t>
      </w:r>
      <w:r w:rsidR="006C7477">
        <w:rPr>
          <w:rFonts w:cs="Times New Roman"/>
          <w:szCs w:val="24"/>
        </w:rPr>
        <w:t xml:space="preserve"> </w:t>
      </w:r>
      <w:r w:rsidRPr="00172C39">
        <w:rPr>
          <w:rFonts w:cs="Times New Roman"/>
          <w:szCs w:val="24"/>
        </w:rPr>
        <w:t xml:space="preserve"> There is</w:t>
      </w:r>
      <w:r>
        <w:rPr>
          <w:rFonts w:cs="Times New Roman"/>
          <w:szCs w:val="24"/>
        </w:rPr>
        <w:t>, therefore,</w:t>
      </w:r>
      <w:r w:rsidRPr="00172C39">
        <w:rPr>
          <w:rFonts w:cs="Times New Roman"/>
          <w:szCs w:val="24"/>
        </w:rPr>
        <w:t xml:space="preserve"> a need for the FOI Act to apply to all NHS services, be they publicly or privately run, to ensure a level of transparency that allows both positive and negative aspects of services to be made visible to th</w:t>
      </w:r>
      <w:r w:rsidR="006C7477">
        <w:rPr>
          <w:rFonts w:cs="Times New Roman"/>
          <w:szCs w:val="24"/>
        </w:rPr>
        <w:t>e public and researchers alike.</w:t>
      </w:r>
    </w:p>
    <w:p w14:paraId="4C935C37" w14:textId="077CEF25" w:rsidR="008D4B50" w:rsidRPr="00172C39" w:rsidRDefault="00E30483" w:rsidP="00E30483">
      <w:pPr>
        <w:rPr>
          <w:rFonts w:cs="Times New Roman"/>
          <w:szCs w:val="24"/>
        </w:rPr>
      </w:pPr>
      <w:r>
        <w:rPr>
          <w:rFonts w:cs="Times New Roman"/>
          <w:szCs w:val="24"/>
        </w:rPr>
        <w:t>Regarding</w:t>
      </w:r>
      <w:r w:rsidRPr="00172C39">
        <w:rPr>
          <w:rFonts w:cs="Times New Roman"/>
          <w:szCs w:val="24"/>
        </w:rPr>
        <w:t xml:space="preserve"> the quality of the data collected</w:t>
      </w:r>
      <w:r>
        <w:rPr>
          <w:rFonts w:cs="Times New Roman"/>
          <w:szCs w:val="24"/>
        </w:rPr>
        <w:t>, i</w:t>
      </w:r>
      <w:r w:rsidRPr="00172C39">
        <w:rPr>
          <w:rFonts w:cs="Times New Roman"/>
          <w:szCs w:val="24"/>
        </w:rPr>
        <w:t xml:space="preserve">n </w:t>
      </w:r>
      <w:r>
        <w:rPr>
          <w:rFonts w:cs="Times New Roman"/>
          <w:noProof/>
          <w:szCs w:val="24"/>
        </w:rPr>
        <w:t>some instanc</w:t>
      </w:r>
      <w:r w:rsidRPr="00083FD3">
        <w:rPr>
          <w:rFonts w:cs="Times New Roman"/>
          <w:noProof/>
          <w:szCs w:val="24"/>
        </w:rPr>
        <w:t>es</w:t>
      </w:r>
      <w:r w:rsidRPr="00172C39">
        <w:rPr>
          <w:rFonts w:cs="Times New Roman"/>
          <w:szCs w:val="24"/>
        </w:rPr>
        <w:t>, the FOI requests were answered with datasets that contained missing or inaccurate data.</w:t>
      </w:r>
      <w:r w:rsidR="006C7477">
        <w:rPr>
          <w:rFonts w:cs="Times New Roman"/>
          <w:szCs w:val="24"/>
        </w:rPr>
        <w:t xml:space="preserve"> </w:t>
      </w:r>
      <w:r w:rsidRPr="00172C39">
        <w:rPr>
          <w:rFonts w:cs="Times New Roman"/>
          <w:szCs w:val="24"/>
        </w:rPr>
        <w:t xml:space="preserve"> For instance, in the IAPT dataset supplied by NHS choices, which is searched by service users of the NHS Choice</w:t>
      </w:r>
      <w:r>
        <w:rPr>
          <w:rFonts w:cs="Times New Roman"/>
          <w:szCs w:val="24"/>
        </w:rPr>
        <w:t>s</w:t>
      </w:r>
      <w:r w:rsidRPr="00172C39">
        <w:rPr>
          <w:rFonts w:cs="Times New Roman"/>
          <w:szCs w:val="24"/>
        </w:rPr>
        <w:t xml:space="preserve"> website, only 46.4% of services had provided a contact email</w:t>
      </w:r>
      <w:r>
        <w:rPr>
          <w:rFonts w:cs="Times New Roman"/>
          <w:szCs w:val="24"/>
        </w:rPr>
        <w:t>,</w:t>
      </w:r>
      <w:r w:rsidRPr="00172C39">
        <w:rPr>
          <w:rFonts w:cs="Times New Roman"/>
          <w:szCs w:val="24"/>
        </w:rPr>
        <w:t xml:space="preserve"> </w:t>
      </w:r>
      <w:r w:rsidRPr="00083FD3">
        <w:rPr>
          <w:rFonts w:cs="Times New Roman"/>
          <w:noProof/>
          <w:szCs w:val="24"/>
        </w:rPr>
        <w:t>and</w:t>
      </w:r>
      <w:r w:rsidRPr="00172C39">
        <w:rPr>
          <w:rFonts w:cs="Times New Roman"/>
          <w:szCs w:val="24"/>
        </w:rPr>
        <w:t xml:space="preserve"> only 52.5% had a website link detailing more information about the service location. </w:t>
      </w:r>
      <w:r w:rsidR="006C7477">
        <w:rPr>
          <w:rFonts w:cs="Times New Roman"/>
          <w:szCs w:val="24"/>
        </w:rPr>
        <w:t xml:space="preserve"> </w:t>
      </w:r>
      <w:r w:rsidRPr="00172C39">
        <w:rPr>
          <w:rFonts w:cs="Times New Roman"/>
          <w:szCs w:val="24"/>
        </w:rPr>
        <w:t>There is a clear need for the NHS to improve its data curation procedures to meet the aspiration of becoming truly digitally enabled.</w:t>
      </w:r>
    </w:p>
    <w:p w14:paraId="462FDE96" w14:textId="008F0D40" w:rsidR="00E30483" w:rsidRPr="00172C39" w:rsidRDefault="00E30483" w:rsidP="005E60F7">
      <w:pPr>
        <w:pStyle w:val="Heading3"/>
      </w:pPr>
      <w:bookmarkStart w:id="113" w:name="_Toc530598116"/>
      <w:bookmarkStart w:id="114" w:name="_Toc530660469"/>
      <w:bookmarkStart w:id="115" w:name="_Toc3538070"/>
      <w:r w:rsidRPr="00172C39">
        <w:t xml:space="preserve">NICE guidelines on </w:t>
      </w:r>
      <w:r w:rsidR="006B2C5D">
        <w:t>E</w:t>
      </w:r>
      <w:r w:rsidRPr="00172C39">
        <w:t>-therapies</w:t>
      </w:r>
      <w:bookmarkEnd w:id="113"/>
      <w:bookmarkEnd w:id="114"/>
      <w:bookmarkEnd w:id="115"/>
    </w:p>
    <w:p w14:paraId="357AF491" w14:textId="3F0C31BE" w:rsidR="00E30483" w:rsidRDefault="00E30483" w:rsidP="00E30483">
      <w:pPr>
        <w:rPr>
          <w:rFonts w:cs="Times New Roman"/>
          <w:noProof/>
          <w:szCs w:val="24"/>
        </w:rPr>
      </w:pPr>
      <w:r w:rsidRPr="00172C39">
        <w:rPr>
          <w:rFonts w:cs="Times New Roman"/>
          <w:szCs w:val="24"/>
        </w:rPr>
        <w:t xml:space="preserve">NICE </w:t>
      </w:r>
      <w:r w:rsidRPr="00172C39">
        <w:rPr>
          <w:rFonts w:cs="Times New Roman"/>
          <w:szCs w:val="24"/>
        </w:rPr>
        <w:fldChar w:fldCharType="begin" w:fldLock="1"/>
      </w:r>
      <w:r>
        <w:rPr>
          <w:rFonts w:cs="Times New Roman"/>
          <w:szCs w:val="24"/>
        </w:rPr>
        <w:instrText>ADDIN CSL_CITATION {"citationItems":[{"id":"ITEM-1","itemData":{"URL":"https://www.nice.org.uk/guidance/ta97/","accessed":{"date-parts":[["2016","9","9"]]},"author":[{"dropping-particle":"","family":"National Institute for Health and Care Excellence","given":"","non-dropping-particle":"","parse-names":false,"suffix":""}],"id":"ITEM-1","issue":"February","issued":{"date-parts":[["2006"]]},"title":"Computerised cognitive behaviour therapy for depression and anxiety. TA97","type":"webpage"},"uris":["http://www.mendeley.com/documents/?uuid=03eaa184-445c-4c5a-ac30-a3f753a2f131"]}],"mendeley":{"formattedCitation":"(National Institute for Health and Care Excellence, 2006)","manualFormatting":"(2006)","plainTextFormattedCitation":"(National Institute for Health and Care Excellence, 2006)","previouslyFormattedCitation":"(National Institute for Health and Care Excellence, 2006)"},"properties":{"noteIndex":0},"schema":"https://github.com/citation-style-language/schema/raw/master/csl-citation.json"}</w:instrText>
      </w:r>
      <w:r w:rsidRPr="00172C39">
        <w:rPr>
          <w:rFonts w:cs="Times New Roman"/>
          <w:szCs w:val="24"/>
        </w:rPr>
        <w:fldChar w:fldCharType="separate"/>
      </w:r>
      <w:bookmarkStart w:id="116" w:name="__Fieldmark__1249_2134608415"/>
      <w:r w:rsidRPr="00172C39">
        <w:rPr>
          <w:rFonts w:cs="Times New Roman"/>
          <w:noProof/>
          <w:szCs w:val="24"/>
        </w:rPr>
        <w:t>(2006)</w:t>
      </w:r>
      <w:r w:rsidRPr="00172C39">
        <w:rPr>
          <w:rFonts w:cs="Times New Roman"/>
          <w:szCs w:val="24"/>
        </w:rPr>
        <w:fldChar w:fldCharType="end"/>
      </w:r>
      <w:bookmarkEnd w:id="116"/>
      <w:r w:rsidRPr="00172C39">
        <w:rPr>
          <w:rFonts w:cs="Times New Roman"/>
          <w:szCs w:val="24"/>
        </w:rPr>
        <w:t xml:space="preserve"> recommend</w:t>
      </w:r>
      <w:r>
        <w:rPr>
          <w:rFonts w:cs="Times New Roman"/>
          <w:szCs w:val="24"/>
        </w:rPr>
        <w:t xml:space="preserve">ed </w:t>
      </w:r>
      <w:r w:rsidRPr="00172C39">
        <w:rPr>
          <w:rFonts w:cs="Times New Roman"/>
          <w:szCs w:val="24"/>
        </w:rPr>
        <w:t xml:space="preserve">two </w:t>
      </w:r>
      <w:proofErr w:type="spellStart"/>
      <w:r w:rsidRPr="00172C39">
        <w:rPr>
          <w:rFonts w:cs="Times New Roman"/>
          <w:szCs w:val="24"/>
        </w:rPr>
        <w:t>cCBT</w:t>
      </w:r>
      <w:proofErr w:type="spellEnd"/>
      <w:r w:rsidRPr="00172C39">
        <w:rPr>
          <w:rFonts w:cs="Times New Roman"/>
          <w:szCs w:val="24"/>
        </w:rPr>
        <w:t xml:space="preserve"> programs for use within NHS services.</w:t>
      </w:r>
      <w:r w:rsidR="006C7477">
        <w:rPr>
          <w:rFonts w:cs="Times New Roman"/>
          <w:szCs w:val="24"/>
        </w:rPr>
        <w:t xml:space="preserve"> </w:t>
      </w:r>
      <w:r w:rsidRPr="00172C39">
        <w:rPr>
          <w:rFonts w:cs="Times New Roman"/>
          <w:szCs w:val="24"/>
        </w:rPr>
        <w:t xml:space="preserve"> The publication of subsequent NICE recommendations </w:t>
      </w:r>
      <w:r w:rsidRPr="00172C39">
        <w:rPr>
          <w:rFonts w:cs="Times New Roman"/>
          <w:szCs w:val="24"/>
        </w:rPr>
        <w:fldChar w:fldCharType="begin" w:fldLock="1"/>
      </w:r>
      <w:r>
        <w:rPr>
          <w:rFonts w:cs="Times New Roman"/>
          <w:szCs w:val="24"/>
        </w:rPr>
        <w:instrText>ADDIN CSL_CITATION {"citationItems":[{"id":"ITEM-1","itemData":{"URL":"https://www.nice.org.uk/guidance/cg90/","accessed":{"date-parts":[["2016","9","9"]]},"author":[{"dropping-particle":"","family":"National Institute for Health and Care Excellence","given":"","non-dropping-particle":"","parse-names":false,"suffix":""}],"id":"ITEM-1","issue":"October","issued":{"date-parts":[["2009"]]},"page":"63","title":"Depression in adults: recognition and management. CG90","type":"webpage"},"uris":["http://www.mendeley.com/documents/?uuid=72612f6a-f62b-452b-a048-1f85f6cf419d"]}],"mendeley":{"formattedCitation":"(National Institute for Health and Care Excellence, 2009)","manualFormatting":"(2009b)","plainTextFormattedCitation":"(National Institute for Health and Care Excellence, 2009)","previouslyFormattedCitation":"(National Institute for Health and Care Excellence, 2009)"},"properties":{"noteIndex":0},"schema":"https://github.com/citation-style-language/schema/raw/master/csl-citation.json"}</w:instrText>
      </w:r>
      <w:r w:rsidRPr="00172C39">
        <w:rPr>
          <w:rFonts w:cs="Times New Roman"/>
          <w:szCs w:val="24"/>
        </w:rPr>
        <w:fldChar w:fldCharType="separate"/>
      </w:r>
      <w:bookmarkStart w:id="117" w:name="__Fieldmark__1260_2134608415"/>
      <w:r w:rsidRPr="00172C39">
        <w:rPr>
          <w:rFonts w:cs="Times New Roman"/>
          <w:noProof/>
          <w:szCs w:val="24"/>
        </w:rPr>
        <w:t>(2009b)</w:t>
      </w:r>
      <w:r w:rsidRPr="00172C39">
        <w:rPr>
          <w:rFonts w:cs="Times New Roman"/>
          <w:szCs w:val="24"/>
        </w:rPr>
        <w:fldChar w:fldCharType="end"/>
      </w:r>
      <w:bookmarkEnd w:id="117"/>
      <w:r w:rsidRPr="00172C39">
        <w:rPr>
          <w:rFonts w:cs="Times New Roman"/>
          <w:szCs w:val="24"/>
        </w:rPr>
        <w:t xml:space="preserve"> resulted in the withdrawal of endorsement of any specific app, shift</w:t>
      </w:r>
      <w:r>
        <w:rPr>
          <w:rFonts w:cs="Times New Roman"/>
          <w:szCs w:val="24"/>
        </w:rPr>
        <w:t>ing</w:t>
      </w:r>
      <w:r w:rsidRPr="00172C39">
        <w:rPr>
          <w:rFonts w:cs="Times New Roman"/>
          <w:szCs w:val="24"/>
        </w:rPr>
        <w:t xml:space="preserve"> responsibility</w:t>
      </w:r>
      <w:r>
        <w:rPr>
          <w:rFonts w:cs="Times New Roman"/>
          <w:szCs w:val="24"/>
        </w:rPr>
        <w:t xml:space="preserve"> for choosing e-therapies</w:t>
      </w:r>
      <w:r w:rsidRPr="00172C39">
        <w:rPr>
          <w:rFonts w:cs="Times New Roman"/>
          <w:szCs w:val="24"/>
        </w:rPr>
        <w:t xml:space="preserve"> to service</w:t>
      </w:r>
      <w:r>
        <w:rPr>
          <w:rFonts w:cs="Times New Roman"/>
          <w:szCs w:val="24"/>
        </w:rPr>
        <w:t xml:space="preserve"> providers</w:t>
      </w:r>
      <w:r w:rsidRPr="00172C39">
        <w:rPr>
          <w:rFonts w:cs="Times New Roman"/>
          <w:szCs w:val="24"/>
        </w:rPr>
        <w:t xml:space="preserve">. </w:t>
      </w:r>
      <w:r w:rsidR="004525DB">
        <w:rPr>
          <w:rFonts w:cs="Times New Roman"/>
          <w:szCs w:val="24"/>
        </w:rPr>
        <w:t xml:space="preserve"> </w:t>
      </w:r>
      <w:r w:rsidRPr="00172C39">
        <w:rPr>
          <w:rFonts w:cs="Times New Roman"/>
          <w:szCs w:val="24"/>
        </w:rPr>
        <w:t xml:space="preserve">Because of </w:t>
      </w:r>
      <w:r w:rsidRPr="00083FD3">
        <w:rPr>
          <w:rFonts w:cs="Times New Roman"/>
          <w:noProof/>
          <w:szCs w:val="24"/>
        </w:rPr>
        <w:t>this</w:t>
      </w:r>
      <w:r>
        <w:rPr>
          <w:rFonts w:cs="Times New Roman"/>
          <w:noProof/>
          <w:szCs w:val="24"/>
        </w:rPr>
        <w:t>,</w:t>
      </w:r>
      <w:r w:rsidRPr="00172C39">
        <w:rPr>
          <w:rFonts w:cs="Times New Roman"/>
          <w:szCs w:val="24"/>
        </w:rPr>
        <w:t xml:space="preserve"> there are now 1</w:t>
      </w:r>
      <w:r>
        <w:rPr>
          <w:rFonts w:cs="Times New Roman"/>
          <w:szCs w:val="24"/>
        </w:rPr>
        <w:t>3</w:t>
      </w:r>
      <w:r w:rsidRPr="00172C39">
        <w:rPr>
          <w:rFonts w:cs="Times New Roman"/>
          <w:szCs w:val="24"/>
        </w:rPr>
        <w:t xml:space="preserve"> different web apps, and 3</w:t>
      </w:r>
      <w:r>
        <w:rPr>
          <w:rFonts w:cs="Times New Roman"/>
          <w:szCs w:val="24"/>
        </w:rPr>
        <w:t>5</w:t>
      </w:r>
      <w:r w:rsidRPr="00172C39">
        <w:rPr>
          <w:rFonts w:cs="Times New Roman"/>
          <w:szCs w:val="24"/>
        </w:rPr>
        <w:t xml:space="preserve"> </w:t>
      </w:r>
      <w:r w:rsidRPr="00083FD3">
        <w:rPr>
          <w:rFonts w:cs="Times New Roman"/>
          <w:noProof/>
          <w:szCs w:val="24"/>
        </w:rPr>
        <w:t>smartphone</w:t>
      </w:r>
      <w:r w:rsidRPr="00172C39">
        <w:rPr>
          <w:rFonts w:cs="Times New Roman"/>
          <w:szCs w:val="24"/>
        </w:rPr>
        <w:t xml:space="preserve"> apps, for depression, anxiety or stress</w:t>
      </w:r>
      <w:r>
        <w:rPr>
          <w:rFonts w:cs="Times New Roman"/>
          <w:szCs w:val="24"/>
        </w:rPr>
        <w:t>,</w:t>
      </w:r>
      <w:r w:rsidRPr="00172C39">
        <w:rPr>
          <w:rFonts w:cs="Times New Roman"/>
          <w:szCs w:val="24"/>
        </w:rPr>
        <w:t xml:space="preserve"> available either through referral services or the NHS Mental Health Apps Library.</w:t>
      </w:r>
      <w:r w:rsidR="006C7477">
        <w:rPr>
          <w:rFonts w:cs="Times New Roman"/>
          <w:szCs w:val="24"/>
        </w:rPr>
        <w:t xml:space="preserve"> </w:t>
      </w:r>
      <w:r w:rsidRPr="00172C39">
        <w:rPr>
          <w:rFonts w:cs="Times New Roman"/>
          <w:szCs w:val="24"/>
        </w:rPr>
        <w:t xml:space="preserve"> These e-therapies are no</w:t>
      </w:r>
      <w:r>
        <w:rPr>
          <w:rFonts w:cs="Times New Roman"/>
          <w:szCs w:val="24"/>
        </w:rPr>
        <w:t>t</w:t>
      </w:r>
      <w:r w:rsidRPr="00172C39">
        <w:rPr>
          <w:rFonts w:cs="Times New Roman"/>
          <w:szCs w:val="24"/>
        </w:rPr>
        <w:t xml:space="preserve"> consistently used or recommended across the country representing variability in service provision by geographical location. </w:t>
      </w:r>
      <w:r w:rsidR="006C7477">
        <w:rPr>
          <w:rFonts w:cs="Times New Roman"/>
          <w:szCs w:val="24"/>
        </w:rPr>
        <w:t xml:space="preserve"> </w:t>
      </w:r>
      <w:r w:rsidRPr="00172C39">
        <w:rPr>
          <w:rFonts w:cs="Times New Roman"/>
          <w:szCs w:val="24"/>
        </w:rPr>
        <w:t xml:space="preserve">There are </w:t>
      </w:r>
      <w:r>
        <w:rPr>
          <w:rFonts w:cs="Times New Roman"/>
          <w:szCs w:val="24"/>
        </w:rPr>
        <w:t xml:space="preserve">also </w:t>
      </w:r>
      <w:r w:rsidRPr="00172C39">
        <w:rPr>
          <w:rFonts w:cs="Times New Roman"/>
          <w:szCs w:val="24"/>
        </w:rPr>
        <w:t xml:space="preserve">notable differences between </w:t>
      </w:r>
      <w:r>
        <w:rPr>
          <w:rFonts w:cs="Times New Roman"/>
          <w:szCs w:val="24"/>
        </w:rPr>
        <w:t xml:space="preserve">the </w:t>
      </w:r>
      <w:r w:rsidRPr="00172C39">
        <w:rPr>
          <w:rFonts w:cs="Times New Roman"/>
          <w:szCs w:val="24"/>
        </w:rPr>
        <w:t xml:space="preserve">four most used apps by IAPTs and Trusts, and the apps currently listed in the Mental Health Apps Library and previously listed in the Health Apps Library, with 3 of the </w:t>
      </w:r>
      <w:r>
        <w:rPr>
          <w:rFonts w:cs="Times New Roman"/>
          <w:noProof/>
          <w:szCs w:val="24"/>
        </w:rPr>
        <w:t>four</w:t>
      </w:r>
      <w:r w:rsidRPr="00172C39">
        <w:rPr>
          <w:rFonts w:cs="Times New Roman"/>
          <w:szCs w:val="24"/>
        </w:rPr>
        <w:t xml:space="preserve"> most used by IAPTs and Trusts not appearing in either library.</w:t>
      </w:r>
      <w:r w:rsidR="006C7477">
        <w:rPr>
          <w:rFonts w:cs="Times New Roman"/>
          <w:szCs w:val="24"/>
        </w:rPr>
        <w:t xml:space="preserve"> </w:t>
      </w:r>
      <w:r w:rsidRPr="00172C39">
        <w:rPr>
          <w:rFonts w:cs="Times New Roman"/>
          <w:szCs w:val="24"/>
        </w:rPr>
        <w:t xml:space="preserve"> Most notably, the top two apps used by IAPTs and Trusts are free to </w:t>
      </w:r>
      <w:r w:rsidRPr="00083FD3">
        <w:rPr>
          <w:rFonts w:cs="Times New Roman"/>
          <w:noProof/>
          <w:szCs w:val="24"/>
        </w:rPr>
        <w:t>access</w:t>
      </w:r>
      <w:r w:rsidRPr="00172C39">
        <w:rPr>
          <w:rFonts w:cs="Times New Roman"/>
          <w:szCs w:val="24"/>
        </w:rPr>
        <w:t xml:space="preserve"> and yet are not listed in the current (or previous) NHS librar</w:t>
      </w:r>
      <w:r>
        <w:rPr>
          <w:rFonts w:cs="Times New Roman"/>
          <w:szCs w:val="24"/>
        </w:rPr>
        <w:t>y</w:t>
      </w:r>
      <w:r w:rsidRPr="00172C39">
        <w:rPr>
          <w:rFonts w:cs="Times New Roman"/>
          <w:szCs w:val="24"/>
        </w:rPr>
        <w:t xml:space="preserve">. </w:t>
      </w:r>
      <w:r w:rsidR="004525DB">
        <w:rPr>
          <w:rFonts w:cs="Times New Roman"/>
          <w:szCs w:val="24"/>
        </w:rPr>
        <w:t xml:space="preserve"> </w:t>
      </w:r>
      <w:r w:rsidRPr="00172C39">
        <w:rPr>
          <w:rFonts w:cs="Times New Roman"/>
          <w:szCs w:val="24"/>
        </w:rPr>
        <w:t>Perhaps this indicates different decision processes being used by IAPTs and Trusts compared to NHS library curators</w:t>
      </w:r>
      <w:r w:rsidRPr="00083FD3">
        <w:rPr>
          <w:rFonts w:cs="Times New Roman"/>
          <w:noProof/>
          <w:szCs w:val="24"/>
        </w:rPr>
        <w:t>.</w:t>
      </w:r>
    </w:p>
    <w:p w14:paraId="49052183" w14:textId="2CAEA0DA" w:rsidR="00E30483" w:rsidRPr="00172C39" w:rsidRDefault="00E30483" w:rsidP="00E30483">
      <w:pPr>
        <w:rPr>
          <w:rFonts w:cs="Times New Roman"/>
          <w:szCs w:val="24"/>
        </w:rPr>
      </w:pPr>
      <w:r w:rsidRPr="00083FD3">
        <w:rPr>
          <w:rFonts w:cs="Times New Roman"/>
          <w:noProof/>
          <w:szCs w:val="24"/>
        </w:rPr>
        <w:t>Additionally</w:t>
      </w:r>
      <w:r>
        <w:rPr>
          <w:rFonts w:cs="Times New Roman"/>
          <w:szCs w:val="24"/>
        </w:rPr>
        <w:t xml:space="preserve">, </w:t>
      </w:r>
      <w:r w:rsidRPr="00172C39">
        <w:rPr>
          <w:rFonts w:cs="Times New Roman"/>
          <w:szCs w:val="24"/>
        </w:rPr>
        <w:t>the current Mental Health Apps library feature</w:t>
      </w:r>
      <w:r>
        <w:rPr>
          <w:rFonts w:cs="Times New Roman"/>
          <w:szCs w:val="24"/>
        </w:rPr>
        <w:t>s many apps that are</w:t>
      </w:r>
      <w:r w:rsidRPr="00172C39">
        <w:rPr>
          <w:rFonts w:cs="Times New Roman"/>
          <w:szCs w:val="24"/>
        </w:rPr>
        <w:t xml:space="preserve"> only free in some areas of England, requir</w:t>
      </w:r>
      <w:r>
        <w:rPr>
          <w:rFonts w:cs="Times New Roman"/>
          <w:szCs w:val="24"/>
        </w:rPr>
        <w:t>ing</w:t>
      </w:r>
      <w:r w:rsidRPr="00172C39">
        <w:rPr>
          <w:rFonts w:cs="Times New Roman"/>
          <w:szCs w:val="24"/>
        </w:rPr>
        <w:t xml:space="preserve"> user payment in others. </w:t>
      </w:r>
      <w:r>
        <w:rPr>
          <w:rFonts w:cs="Times New Roman"/>
          <w:szCs w:val="24"/>
        </w:rPr>
        <w:t xml:space="preserve"> </w:t>
      </w:r>
      <w:r w:rsidRPr="00083FD3">
        <w:rPr>
          <w:rFonts w:cs="Times New Roman"/>
          <w:noProof/>
          <w:szCs w:val="24"/>
        </w:rPr>
        <w:t>This</w:t>
      </w:r>
      <w:r w:rsidRPr="00172C39">
        <w:rPr>
          <w:rFonts w:cs="Times New Roman"/>
          <w:szCs w:val="24"/>
        </w:rPr>
        <w:t xml:space="preserve"> has implications for patient choice and service equality.</w:t>
      </w:r>
      <w:r w:rsidR="004525DB">
        <w:rPr>
          <w:rFonts w:cs="Times New Roman"/>
          <w:szCs w:val="24"/>
        </w:rPr>
        <w:t xml:space="preserve"> </w:t>
      </w:r>
      <w:r w:rsidRPr="00172C39">
        <w:rPr>
          <w:rFonts w:cs="Times New Roman"/>
          <w:szCs w:val="24"/>
        </w:rPr>
        <w:t xml:space="preserve"> </w:t>
      </w:r>
      <w:r w:rsidRPr="00172C39">
        <w:rPr>
          <w:rFonts w:cs="Times New Roman"/>
          <w:szCs w:val="24"/>
        </w:rPr>
        <w:lastRenderedPageBreak/>
        <w:t xml:space="preserve">Furthermore, 11.5% of IAPT services and 23.5% of Trusts do not use or recommend web apps at all. </w:t>
      </w:r>
      <w:r w:rsidR="004525DB">
        <w:rPr>
          <w:rFonts w:cs="Times New Roman"/>
          <w:szCs w:val="24"/>
        </w:rPr>
        <w:t xml:space="preserve"> </w:t>
      </w:r>
      <w:r w:rsidRPr="00172C39">
        <w:rPr>
          <w:rFonts w:cs="Times New Roman"/>
          <w:szCs w:val="24"/>
        </w:rPr>
        <w:t xml:space="preserve">It is not clear whether this reflects the absence of specific NICE </w:t>
      </w:r>
      <w:r w:rsidRPr="00083FD3">
        <w:rPr>
          <w:rFonts w:cs="Times New Roman"/>
          <w:noProof/>
          <w:szCs w:val="24"/>
        </w:rPr>
        <w:t>guidelines</w:t>
      </w:r>
      <w:r w:rsidRPr="00172C39">
        <w:rPr>
          <w:rFonts w:cs="Times New Roman"/>
          <w:szCs w:val="24"/>
        </w:rPr>
        <w:t xml:space="preserve"> or a general lack of digit</w:t>
      </w:r>
      <w:r w:rsidR="006C7477">
        <w:rPr>
          <w:rFonts w:cs="Times New Roman"/>
          <w:szCs w:val="24"/>
        </w:rPr>
        <w:t>ally enabled service provision.</w:t>
      </w:r>
    </w:p>
    <w:p w14:paraId="64E37953" w14:textId="66CC5E44" w:rsidR="00E30483" w:rsidRPr="00172C39" w:rsidRDefault="00E30483" w:rsidP="005E60F7">
      <w:pPr>
        <w:pStyle w:val="Heading3"/>
      </w:pPr>
      <w:bookmarkStart w:id="118" w:name="_Toc530598117"/>
      <w:bookmarkStart w:id="119" w:name="_Toc530660470"/>
      <w:bookmarkStart w:id="120" w:name="_Toc3538071"/>
      <w:r w:rsidRPr="00172C39">
        <w:t xml:space="preserve">Ways of </w:t>
      </w:r>
      <w:r w:rsidR="006B2C5D">
        <w:t>E</w:t>
      </w:r>
      <w:r w:rsidRPr="00172C39">
        <w:t xml:space="preserve">valuating </w:t>
      </w:r>
      <w:r w:rsidR="006B2C5D">
        <w:t>E</w:t>
      </w:r>
      <w:r w:rsidRPr="00172C39">
        <w:t>-therapies</w:t>
      </w:r>
      <w:bookmarkEnd w:id="118"/>
      <w:bookmarkEnd w:id="119"/>
      <w:bookmarkEnd w:id="120"/>
    </w:p>
    <w:p w14:paraId="05B26416" w14:textId="679B5780" w:rsidR="00E30483" w:rsidRPr="00172C39" w:rsidRDefault="00E30483" w:rsidP="00E30483">
      <w:pPr>
        <w:rPr>
          <w:rFonts w:cs="Times New Roman"/>
          <w:szCs w:val="24"/>
        </w:rPr>
      </w:pPr>
      <w:r w:rsidRPr="00083FD3">
        <w:rPr>
          <w:rFonts w:cs="Times New Roman"/>
          <w:noProof/>
          <w:szCs w:val="24"/>
        </w:rPr>
        <w:t>To help address the gap in NICE guidelines</w:t>
      </w:r>
      <w:r w:rsidRPr="00172C39">
        <w:rPr>
          <w:rFonts w:cs="Times New Roman"/>
          <w:szCs w:val="24"/>
        </w:rPr>
        <w:t xml:space="preserve">, it is crucial to investigate whether the apps currently being used are </w:t>
      </w:r>
      <w:r w:rsidRPr="00083FD3">
        <w:rPr>
          <w:rFonts w:cs="Times New Roman"/>
          <w:noProof/>
          <w:szCs w:val="24"/>
        </w:rPr>
        <w:t>effective</w:t>
      </w:r>
      <w:r w:rsidRPr="00172C39">
        <w:rPr>
          <w:rFonts w:cs="Times New Roman"/>
          <w:szCs w:val="24"/>
        </w:rPr>
        <w:t>.</w:t>
      </w:r>
      <w:r w:rsidR="006C7477">
        <w:rPr>
          <w:rFonts w:cs="Times New Roman"/>
          <w:szCs w:val="24"/>
        </w:rPr>
        <w:t xml:space="preserve"> </w:t>
      </w:r>
      <w:r w:rsidRPr="00172C39">
        <w:rPr>
          <w:rFonts w:cs="Times New Roman"/>
          <w:szCs w:val="24"/>
        </w:rPr>
        <w:t xml:space="preserve"> While the pace of large-scale evaluative research (e.g., RCTs) lags </w:t>
      </w:r>
      <w:r>
        <w:rPr>
          <w:rFonts w:cs="Times New Roman"/>
          <w:szCs w:val="24"/>
        </w:rPr>
        <w:t xml:space="preserve">behind </w:t>
      </w:r>
      <w:r w:rsidRPr="00172C39">
        <w:rPr>
          <w:rFonts w:cs="Times New Roman"/>
          <w:szCs w:val="24"/>
        </w:rPr>
        <w:t>that of advancing technology, there are other, more practical options for collecting and synthesising useful data.</w:t>
      </w:r>
      <w:r w:rsidR="006C7477">
        <w:rPr>
          <w:rFonts w:cs="Times New Roman"/>
          <w:szCs w:val="24"/>
        </w:rPr>
        <w:t xml:space="preserve"> </w:t>
      </w:r>
      <w:r w:rsidRPr="00172C39">
        <w:rPr>
          <w:rFonts w:cs="Times New Roman"/>
          <w:szCs w:val="24"/>
        </w:rPr>
        <w:t xml:space="preserve"> We make two </w:t>
      </w:r>
      <w:r>
        <w:rPr>
          <w:rFonts w:cs="Times New Roman"/>
          <w:szCs w:val="24"/>
        </w:rPr>
        <w:t xml:space="preserve">specific </w:t>
      </w:r>
      <w:r w:rsidRPr="00172C39">
        <w:rPr>
          <w:rFonts w:cs="Times New Roman"/>
          <w:szCs w:val="24"/>
        </w:rPr>
        <w:t xml:space="preserve">recommendations. </w:t>
      </w:r>
      <w:r w:rsidR="004525DB">
        <w:rPr>
          <w:rFonts w:cs="Times New Roman"/>
          <w:szCs w:val="24"/>
        </w:rPr>
        <w:t xml:space="preserve"> </w:t>
      </w:r>
      <w:r w:rsidRPr="00172C39">
        <w:rPr>
          <w:rFonts w:cs="Times New Roman"/>
          <w:szCs w:val="24"/>
        </w:rPr>
        <w:t>Firstly, the minimal dataset collected by IAPT</w:t>
      </w:r>
      <w:r>
        <w:rPr>
          <w:rFonts w:cs="Times New Roman"/>
          <w:szCs w:val="24"/>
        </w:rPr>
        <w:t xml:space="preserve"> </w:t>
      </w:r>
      <w:r>
        <w:rPr>
          <w:rFonts w:cs="Times New Roman"/>
          <w:szCs w:val="24"/>
        </w:rPr>
        <w:fldChar w:fldCharType="begin" w:fldLock="1"/>
      </w:r>
      <w:r>
        <w:rPr>
          <w:rFonts w:cs="Times New Roman"/>
          <w:szCs w:val="24"/>
        </w:rPr>
        <w:instrText>ADDIN CSL_CITATION {"citationItems":[{"id":"ITEM-1","itemData":{"URL":"http://content.digital.nhs.uk/iapt","accessed":{"date-parts":[["2016","9","9"]]},"author":[{"dropping-particle":"","family":"NHS Digital","given":"","non-dropping-particle":"","parse-names":false,"suffix":""}],"id":"ITEM-1","issued":{"date-parts":[["2016"]]},"publisher":"NHS Digital","title":"Improving Access to Psychological Therapies Data Set","type":"webpage"},"uris":["http://www.mendeley.com/documents/?uuid=9f3c98e8-899d-35e3-a0e2-406efc343ce2"]}],"mendeley":{"formattedCitation":"(NHS Digital, 2016)","plainTextFormattedCitation":"(NHS Digital, 2016)","previouslyFormattedCitation":"(NHS Digital, 2016)"},"properties":{"noteIndex":0},"schema":"https://github.com/citation-style-language/schema/raw/master/csl-citation.json"}</w:instrText>
      </w:r>
      <w:r>
        <w:rPr>
          <w:rFonts w:cs="Times New Roman"/>
          <w:szCs w:val="24"/>
        </w:rPr>
        <w:fldChar w:fldCharType="separate"/>
      </w:r>
      <w:r w:rsidRPr="00967ACC">
        <w:rPr>
          <w:rFonts w:cs="Times New Roman"/>
          <w:noProof/>
          <w:szCs w:val="24"/>
        </w:rPr>
        <w:t>(NHS Digital, 2016)</w:t>
      </w:r>
      <w:r>
        <w:rPr>
          <w:rFonts w:cs="Times New Roman"/>
          <w:szCs w:val="24"/>
        </w:rPr>
        <w:fldChar w:fldCharType="end"/>
      </w:r>
      <w:r w:rsidRPr="00172C39">
        <w:rPr>
          <w:rFonts w:cs="Times New Roman"/>
          <w:szCs w:val="24"/>
        </w:rPr>
        <w:t xml:space="preserve"> which is used to build a picture of the current activity within IAPT services</w:t>
      </w:r>
      <w:r>
        <w:rPr>
          <w:rFonts w:cs="Times New Roman"/>
          <w:szCs w:val="24"/>
        </w:rPr>
        <w:t xml:space="preserve"> such as assessments, sessions, scales, should be revised.  It currently requires data on whether a client is using an e-therapy, but it does not indicate which one</w:t>
      </w:r>
      <w:r w:rsidRPr="00172C39">
        <w:rPr>
          <w:rFonts w:cs="Times New Roman"/>
          <w:szCs w:val="24"/>
        </w:rPr>
        <w:t xml:space="preserve"> </w:t>
      </w:r>
      <w:r w:rsidRPr="00172C39">
        <w:rPr>
          <w:rFonts w:cs="Times New Roman"/>
          <w:szCs w:val="24"/>
        </w:rPr>
        <w:fldChar w:fldCharType="begin" w:fldLock="1"/>
      </w:r>
      <w:r>
        <w:rPr>
          <w:rFonts w:cs="Times New Roman"/>
          <w:szCs w:val="24"/>
        </w:rPr>
        <w:instrText>ADDIN CSL_CITATION {"citationItems":[{"id":"ITEM-1","itemData":{"author":[{"dropping-particle":"","family":"Health and Social Care Information Centre","given":"","non-dropping-particle":"","parse-names":false,"suffix":""}],"id":"ITEM-1","issue":"November","issued":{"date-parts":[["2015"]]},"title":"Psychological Therapies: Annual Report on the use of IAPT services England, 2014/15","type":"report"},"uris":["http://www.mendeley.com/documents/?uuid=c7745d2d-6e73-4a26-a9ce-586e4e39080a"]}],"mendeley":{"formattedCitation":"(Health and Social Care Information Centre, 2015)","plainTextFormattedCitation":"(Health and Social Care Information Centre, 2015)","previouslyFormattedCitation":"(Health and Social Care Information Centre, 2015)"},"properties":{"noteIndex":0},"schema":"https://github.com/citation-style-language/schema/raw/master/csl-citation.json"}</w:instrText>
      </w:r>
      <w:r w:rsidRPr="00172C39">
        <w:rPr>
          <w:rFonts w:cs="Times New Roman"/>
          <w:szCs w:val="24"/>
        </w:rPr>
        <w:fldChar w:fldCharType="separate"/>
      </w:r>
      <w:r w:rsidRPr="00967ACC">
        <w:rPr>
          <w:rFonts w:cs="Times New Roman"/>
          <w:noProof/>
          <w:szCs w:val="24"/>
        </w:rPr>
        <w:t>(Health and Social Care Information Centre, 2015)</w:t>
      </w:r>
      <w:r w:rsidRPr="00172C39">
        <w:rPr>
          <w:rFonts w:cs="Times New Roman"/>
          <w:szCs w:val="24"/>
        </w:rPr>
        <w:fldChar w:fldCharType="end"/>
      </w:r>
      <w:r>
        <w:rPr>
          <w:rFonts w:cs="Times New Roman"/>
          <w:szCs w:val="24"/>
        </w:rPr>
        <w:t xml:space="preserve">. </w:t>
      </w:r>
      <w:r w:rsidR="006C7477">
        <w:rPr>
          <w:rFonts w:cs="Times New Roman"/>
          <w:szCs w:val="24"/>
        </w:rPr>
        <w:t xml:space="preserve"> </w:t>
      </w:r>
      <w:r>
        <w:rPr>
          <w:rFonts w:cs="Times New Roman"/>
          <w:szCs w:val="24"/>
        </w:rPr>
        <w:t xml:space="preserve">A more fine-grained approach, where not only e-therapy </w:t>
      </w:r>
      <w:r w:rsidRPr="00083FD3">
        <w:rPr>
          <w:rFonts w:cs="Times New Roman"/>
          <w:noProof/>
          <w:szCs w:val="24"/>
        </w:rPr>
        <w:t>use</w:t>
      </w:r>
      <w:r>
        <w:rPr>
          <w:rFonts w:cs="Times New Roman"/>
          <w:szCs w:val="24"/>
        </w:rPr>
        <w:t xml:space="preserve"> but also which one, was recorded, would provide the ability to</w:t>
      </w:r>
      <w:r w:rsidRPr="00172C39">
        <w:rPr>
          <w:rFonts w:cs="Times New Roman"/>
          <w:szCs w:val="24"/>
        </w:rPr>
        <w:t xml:space="preserve"> isolate the impact of individual apps on end users.</w:t>
      </w:r>
      <w:r w:rsidR="006C7477">
        <w:rPr>
          <w:rFonts w:cs="Times New Roman"/>
          <w:szCs w:val="24"/>
        </w:rPr>
        <w:t xml:space="preserve"> </w:t>
      </w:r>
      <w:r w:rsidRPr="00172C39">
        <w:rPr>
          <w:rFonts w:cs="Times New Roman"/>
          <w:szCs w:val="24"/>
        </w:rPr>
        <w:t xml:space="preserve"> This relatively small change to routine data collection practices would provide an instant evidence base against which all the e-therapies listed in the present </w:t>
      </w:r>
      <w:r w:rsidR="00B81D6B">
        <w:rPr>
          <w:rFonts w:cs="Times New Roman"/>
          <w:szCs w:val="24"/>
        </w:rPr>
        <w:t>chapter</w:t>
      </w:r>
      <w:r w:rsidRPr="00172C39">
        <w:rPr>
          <w:rFonts w:cs="Times New Roman"/>
          <w:szCs w:val="24"/>
        </w:rPr>
        <w:t xml:space="preserve"> could </w:t>
      </w:r>
      <w:r w:rsidRPr="00083FD3">
        <w:rPr>
          <w:rFonts w:cs="Times New Roman"/>
          <w:noProof/>
          <w:szCs w:val="24"/>
        </w:rPr>
        <w:t>be evaluated</w:t>
      </w:r>
      <w:r w:rsidRPr="00172C39">
        <w:rPr>
          <w:rFonts w:cs="Times New Roman"/>
          <w:szCs w:val="24"/>
        </w:rPr>
        <w:t xml:space="preserve">. </w:t>
      </w:r>
      <w:r w:rsidR="004525DB">
        <w:rPr>
          <w:rFonts w:cs="Times New Roman"/>
          <w:szCs w:val="24"/>
        </w:rPr>
        <w:t xml:space="preserve"> </w:t>
      </w:r>
      <w:r w:rsidRPr="00172C39">
        <w:rPr>
          <w:rFonts w:cs="Times New Roman"/>
          <w:szCs w:val="24"/>
        </w:rPr>
        <w:t xml:space="preserve">Secondly, for each e-therapy listed in the present </w:t>
      </w:r>
      <w:r w:rsidR="00B81D6B">
        <w:rPr>
          <w:rFonts w:cs="Times New Roman"/>
          <w:szCs w:val="24"/>
        </w:rPr>
        <w:t>chapter</w:t>
      </w:r>
      <w:r w:rsidRPr="00172C39">
        <w:rPr>
          <w:rFonts w:cs="Times New Roman"/>
          <w:szCs w:val="24"/>
        </w:rPr>
        <w:t xml:space="preserve">, a systematic literature review should be conducted, </w:t>
      </w:r>
      <w:r w:rsidRPr="00083FD3">
        <w:rPr>
          <w:rFonts w:cs="Times New Roman"/>
          <w:noProof/>
          <w:szCs w:val="24"/>
        </w:rPr>
        <w:t>to</w:t>
      </w:r>
      <w:r w:rsidRPr="00172C39">
        <w:rPr>
          <w:rFonts w:cs="Times New Roman"/>
          <w:szCs w:val="24"/>
        </w:rPr>
        <w:t xml:space="preserve"> synthesise a</w:t>
      </w:r>
      <w:r w:rsidR="006C7477">
        <w:rPr>
          <w:rFonts w:cs="Times New Roman"/>
          <w:szCs w:val="24"/>
        </w:rPr>
        <w:t>ny existing effectiveness data.</w:t>
      </w:r>
    </w:p>
    <w:p w14:paraId="27B647EE" w14:textId="36EE3901" w:rsidR="00E30483" w:rsidRDefault="00E30483" w:rsidP="00E30483">
      <w:pPr>
        <w:rPr>
          <w:rFonts w:cs="Times New Roman"/>
          <w:szCs w:val="24"/>
        </w:rPr>
      </w:pPr>
      <w:r w:rsidRPr="00172C39">
        <w:rPr>
          <w:rFonts w:cs="Times New Roman"/>
          <w:szCs w:val="24"/>
        </w:rPr>
        <w:t xml:space="preserve">There are also alternative methods of evaluating e-therapies, which, while they do not address effectiveness specifically, can provide useful insight into the integrity of the content, data security </w:t>
      </w:r>
      <w:r w:rsidRPr="00BF7226">
        <w:rPr>
          <w:rFonts w:cs="Times New Roman"/>
          <w:szCs w:val="24"/>
        </w:rPr>
        <w:t>measures, and the acceptability to end users.</w:t>
      </w:r>
      <w:r w:rsidR="006C7477">
        <w:rPr>
          <w:rFonts w:cs="Times New Roman"/>
          <w:szCs w:val="24"/>
        </w:rPr>
        <w:t xml:space="preserve"> </w:t>
      </w:r>
      <w:r w:rsidRPr="00BF7226">
        <w:rPr>
          <w:rFonts w:cs="Times New Roman"/>
          <w:szCs w:val="24"/>
        </w:rPr>
        <w:t xml:space="preserve"> Researchers have begun to discuss and propose methods of evaluating e-therapies. </w:t>
      </w:r>
      <w:r w:rsidR="006C7477">
        <w:rPr>
          <w:rFonts w:cs="Times New Roman"/>
          <w:szCs w:val="24"/>
        </w:rPr>
        <w:t xml:space="preserve"> </w:t>
      </w:r>
      <w:r w:rsidRPr="00083FD3">
        <w:rPr>
          <w:rFonts w:cs="Times New Roman"/>
          <w:noProof/>
          <w:szCs w:val="24"/>
        </w:rPr>
        <w:t>MindTech’s</w:t>
      </w:r>
      <w:r w:rsidRPr="00BF7226">
        <w:rPr>
          <w:rFonts w:cs="Times New Roman"/>
          <w:szCs w:val="24"/>
        </w:rPr>
        <w:t xml:space="preserve"> Framework for Mental Health Digital Products </w:t>
      </w:r>
      <w:r w:rsidRPr="00BF7226">
        <w:rPr>
          <w:rFonts w:cs="Times New Roman"/>
          <w:szCs w:val="24"/>
        </w:rPr>
        <w:fldChar w:fldCharType="begin" w:fldLock="1"/>
      </w:r>
      <w:r>
        <w:rPr>
          <w:rFonts w:cs="Times New Roman"/>
          <w:szCs w:val="24"/>
        </w:rPr>
        <w:instrText>ADDIN CSL_CITATION {"citationItems":[{"id":"ITEM-1","itemData":{"URL":"http://www.mindtech.org.uk/digital-mental-health-toolkit.html","accessed":{"date-parts":[["2015","10","20"]]},"author":[{"dropping-particle":"","family":"MindTech","given":"","non-dropping-particle":"","parse-names":false,"suffix":""}],"id":"ITEM-1","issued":{"date-parts":[["2014"]]},"title":"Digital mental health toolkit - MindTech","type":"webpage"},"uris":["http://www.mendeley.com/documents/?uuid=3aae8930-5415-4b16-ab8a-09b1c7f8d815"]}],"mendeley":{"formattedCitation":"(MindTech, 2014)","plainTextFormattedCitation":"(MindTech, 2014)","previouslyFormattedCitation":"(MindTech, 2014)"},"properties":{"noteIndex":0},"schema":"https://github.com/citation-style-language/schema/raw/master/csl-citation.json"}</w:instrText>
      </w:r>
      <w:r w:rsidRPr="00BF7226">
        <w:rPr>
          <w:rFonts w:cs="Times New Roman"/>
          <w:szCs w:val="24"/>
        </w:rPr>
        <w:fldChar w:fldCharType="separate"/>
      </w:r>
      <w:r w:rsidRPr="00967ACC">
        <w:rPr>
          <w:rFonts w:cs="Times New Roman"/>
          <w:noProof/>
          <w:szCs w:val="24"/>
        </w:rPr>
        <w:t>(MindTech, 2014)</w:t>
      </w:r>
      <w:r w:rsidRPr="00BF7226">
        <w:rPr>
          <w:rFonts w:cs="Times New Roman"/>
          <w:szCs w:val="24"/>
        </w:rPr>
        <w:fldChar w:fldCharType="end"/>
      </w:r>
      <w:r w:rsidRPr="00BF7226">
        <w:rPr>
          <w:rFonts w:cs="Times New Roman"/>
          <w:szCs w:val="24"/>
        </w:rPr>
        <w:t xml:space="preserve"> aids users in the process of evaluating, comparing and contrasting programs by providing a list of all possible and relevant issues.  The Mobile Application Rating Scale (MARS) </w:t>
      </w:r>
      <w:r w:rsidRPr="00BF7226">
        <w:rPr>
          <w:rFonts w:cs="Times New Roman"/>
          <w:szCs w:val="24"/>
        </w:rPr>
        <w:fldChar w:fldCharType="begin" w:fldLock="1"/>
      </w:r>
      <w:r>
        <w:rPr>
          <w:rFonts w:cs="Times New Roman"/>
          <w:szCs w:val="24"/>
        </w:rPr>
        <w:instrText>ADDIN CSL_CITATION {"citationItems":[{"id":"ITEM-1","itemData":{"DOI":"10.2196/mhealth.3422","ISBN":"2291-5222 (Electronic)12291-5222 (Linking)","ISSN":"2291-5222","PMID":"25760773","abstract":"Background: The use of mobile apps for health and well being promotion has grown exponentially in recent years. Yet, there is currently no app-quality assessment tool beyond “star”-ratings. Objective: The objective of this study was to develop a reliable, multidimensional measure for trialling, classifying, and rating the quality of mobile health apps. Methods: A literature search was conducted to identify articles containing explicit Web or app quality rating criteria published between January 2000 and January 2013. Existing criteria for the assessment of app quality were categorized by an expert panel to develop the new Mobile App Rating Scale (MARS) subscales, items, descriptors, and anchors. There were sixty well being apps that were randomly selected using an iTunes search for MARS rating. There were ten that were used to pilot the rating procedure, and the remaining 50 provided data on interrater reliability. Results: There were 372 explicit criteria for assessing Web or app quality that were extracted from 25 published papers, conference proceedings, and Internet resources. There were five broad categories of criteria that were identified including four objective quality scales: engagement, functionality, aesthetics, and information quality; and one subjective quality scale; which were refined into the 23-item MARS. The MARS demonstrated excellent internal consistency (alpha = .90) and interrater reliability intraclass correlation coefficient (ICC = .79). Conclusions: The MARS is a simple, objective, and reliable tool for classifying and assessing the quality of mobile health apps. It can also be used to provide a checklist for the design and development of new high quality health apps. [JMIR mHealth uHealth 2015;3(1):e27]","author":[{"dropping-particle":"","family":"Stoyanov","given":"Stoyan R","non-dropping-particle":"","parse-names":false,"suffix":""},{"dropping-particle":"","family":"Hides","given":"Leanne","non-dropping-particle":"","parse-names":false,"suffix":""},{"dropping-particle":"","family":"Kavanagh","given":"David J","non-dropping-particle":"","parse-names":false,"suffix":""},{"dropping-particle":"","family":"Zelenko","given":"Oksana","non-dropping-particle":"","parse-names":false,"suffix":""},{"dropping-particle":"","family":"Tjondronegoro","given":"Dian","non-dropping-particle":"","parse-names":false,"suffix":""},{"dropping-particle":"","family":"Mani","given":"Madhavan","non-dropping-particle":"","parse-names":false,"suffix":""}],"container-title":"JMIR mHealth and uHealth","id":"ITEM-1","issue":"1","issued":{"date-parts":[["2015"]]},"page":"e27","title":"Mobile App Rating Scale: A New Tool for Assessing the Quality of Health Mobile Apps","type":"article-journal","volume":"3"},"uris":["http://www.mendeley.com/documents/?uuid=3c4f90fc-8a87-45a4-b511-89d559bb4c46"]}],"mendeley":{"formattedCitation":"(Stoyanov &lt;i&gt;et al.&lt;/i&gt;, 2015)","plainTextFormattedCitation":"(Stoyanov et al., 2015)","previouslyFormattedCitation":"(Stoyanov &lt;i&gt;et al.&lt;/i&gt;, 2015)"},"properties":{"noteIndex":0},"schema":"https://github.com/citation-style-language/schema/raw/master/csl-citation.json"}</w:instrText>
      </w:r>
      <w:r w:rsidRPr="00BF7226">
        <w:rPr>
          <w:rFonts w:cs="Times New Roman"/>
          <w:szCs w:val="24"/>
        </w:rPr>
        <w:fldChar w:fldCharType="separate"/>
      </w:r>
      <w:r w:rsidRPr="00967ACC">
        <w:rPr>
          <w:rFonts w:cs="Times New Roman"/>
          <w:noProof/>
          <w:szCs w:val="24"/>
        </w:rPr>
        <w:t xml:space="preserve">(Stoyanov </w:t>
      </w:r>
      <w:r w:rsidRPr="00967ACC">
        <w:rPr>
          <w:rFonts w:cs="Times New Roman"/>
          <w:i/>
          <w:noProof/>
          <w:szCs w:val="24"/>
        </w:rPr>
        <w:t>et al.</w:t>
      </w:r>
      <w:r w:rsidRPr="00967ACC">
        <w:rPr>
          <w:rFonts w:cs="Times New Roman"/>
          <w:noProof/>
          <w:szCs w:val="24"/>
        </w:rPr>
        <w:t>, 2015)</w:t>
      </w:r>
      <w:r w:rsidRPr="00BF7226">
        <w:rPr>
          <w:rFonts w:cs="Times New Roman"/>
          <w:szCs w:val="24"/>
        </w:rPr>
        <w:fldChar w:fldCharType="end"/>
      </w:r>
      <w:r w:rsidRPr="00BF7226">
        <w:rPr>
          <w:rFonts w:cs="Times New Roman"/>
          <w:szCs w:val="24"/>
        </w:rPr>
        <w:t xml:space="preserve"> enables expert </w:t>
      </w:r>
      <w:proofErr w:type="spellStart"/>
      <w:r w:rsidRPr="00BF7226">
        <w:rPr>
          <w:rFonts w:cs="Times New Roman"/>
          <w:szCs w:val="24"/>
        </w:rPr>
        <w:t>raters</w:t>
      </w:r>
      <w:proofErr w:type="spellEnd"/>
      <w:r w:rsidRPr="00BF7226">
        <w:rPr>
          <w:rFonts w:cs="Times New Roman"/>
          <w:szCs w:val="24"/>
        </w:rPr>
        <w:t xml:space="preserve"> to review apps for engagement, functionality, visual aesthetics, information quality and subject quality of health apps and has been tested on Mindfulness apps </w:t>
      </w:r>
      <w:r w:rsidRPr="00BF7226">
        <w:rPr>
          <w:rFonts w:cs="Times New Roman"/>
          <w:szCs w:val="24"/>
        </w:rPr>
        <w:fldChar w:fldCharType="begin" w:fldLock="1"/>
      </w:r>
      <w:r>
        <w:rPr>
          <w:rFonts w:cs="Times New Roman"/>
          <w:szCs w:val="24"/>
        </w:rPr>
        <w:instrText>ADDIN CSL_CITATION {"citationItems":[{"id":"ITEM-1","itemData":{"DOI":"10.2196/mhealth.4328","ISSN":"2291-5222","author":[{"dropping-particle":"","family":"Mani","given":"Madhavan","non-dropping-particle":"","parse-names":false,"suffix":""},{"dropping-particle":"","family":"Kavanagh","given":"David J","non-dropping-particle":"","parse-names":false,"suffix":""},{"dropping-particle":"","family":"Hides","given":"Leanne","non-dropping-particle":"","parse-names":false,"suffix":""},{"dropping-particle":"","family":"Stoyanov","given":"Stoyan R","non-dropping-particle":"","parse-names":false,"suffix":""}],"container-title":"JMIR mHealth and uHealth","id":"ITEM-1","issue":"3","issued":{"date-parts":[["2015"]]},"page":"e82","title":"Review and Evaluation of Mindfulness-Based iPhone Apps","type":"article-journal","volume":"3"},"uris":["http://www.mendeley.com/documents/?uuid=27917957-517d-43cf-83a6-adda7dca04d3"]}],"mendeley":{"formattedCitation":"(Mani &lt;i&gt;et al.&lt;/i&gt;, 2015)","plainTextFormattedCitation":"(Mani et al., 2015)","previouslyFormattedCitation":"(Mani &lt;i&gt;et al.&lt;/i&gt;, 2015)"},"properties":{"noteIndex":0},"schema":"https://github.com/citation-style-language/schema/raw/master/csl-citation.json"}</w:instrText>
      </w:r>
      <w:r w:rsidRPr="00BF7226">
        <w:rPr>
          <w:rFonts w:cs="Times New Roman"/>
          <w:szCs w:val="24"/>
        </w:rPr>
        <w:fldChar w:fldCharType="separate"/>
      </w:r>
      <w:r w:rsidRPr="00967ACC">
        <w:rPr>
          <w:rFonts w:cs="Times New Roman"/>
          <w:noProof/>
          <w:szCs w:val="24"/>
        </w:rPr>
        <w:t xml:space="preserve">(Mani </w:t>
      </w:r>
      <w:r w:rsidRPr="00967ACC">
        <w:rPr>
          <w:rFonts w:cs="Times New Roman"/>
          <w:i/>
          <w:noProof/>
          <w:szCs w:val="24"/>
        </w:rPr>
        <w:t>et al.</w:t>
      </w:r>
      <w:r w:rsidRPr="00967ACC">
        <w:rPr>
          <w:rFonts w:cs="Times New Roman"/>
          <w:noProof/>
          <w:szCs w:val="24"/>
        </w:rPr>
        <w:t>, 2015)</w:t>
      </w:r>
      <w:r w:rsidRPr="00BF7226">
        <w:rPr>
          <w:rFonts w:cs="Times New Roman"/>
          <w:szCs w:val="24"/>
        </w:rPr>
        <w:fldChar w:fldCharType="end"/>
      </w:r>
      <w:r w:rsidRPr="00BF7226">
        <w:rPr>
          <w:rFonts w:cs="Times New Roman"/>
          <w:szCs w:val="24"/>
        </w:rPr>
        <w:t xml:space="preserve">.  Other methods of </w:t>
      </w:r>
      <w:r w:rsidRPr="00172C39">
        <w:rPr>
          <w:rFonts w:cs="Times New Roman"/>
          <w:szCs w:val="24"/>
        </w:rPr>
        <w:t xml:space="preserve">analysis and evaluation </w:t>
      </w:r>
      <w:r>
        <w:rPr>
          <w:rFonts w:cs="Times New Roman"/>
          <w:szCs w:val="24"/>
        </w:rPr>
        <w:t>might include</w:t>
      </w:r>
      <w:r w:rsidRPr="00172C39">
        <w:rPr>
          <w:rFonts w:cs="Times New Roman"/>
          <w:szCs w:val="24"/>
        </w:rPr>
        <w:t xml:space="preserve"> syphoning review data from the app stores.  </w:t>
      </w:r>
      <w:r>
        <w:rPr>
          <w:rFonts w:cs="Times New Roman"/>
          <w:szCs w:val="24"/>
        </w:rPr>
        <w:t xml:space="preserve">While it cannot speak to effectiveness, </w:t>
      </w:r>
      <w:r w:rsidRPr="00172C39">
        <w:rPr>
          <w:rFonts w:cs="Times New Roman"/>
          <w:szCs w:val="24"/>
        </w:rPr>
        <w:t>rating scores and download numbers may give indications about acceptability</w:t>
      </w:r>
      <w:r>
        <w:rPr>
          <w:rFonts w:cs="Times New Roman"/>
          <w:szCs w:val="24"/>
        </w:rPr>
        <w:t>.</w:t>
      </w:r>
    </w:p>
    <w:p w14:paraId="16F2482F" w14:textId="77777777" w:rsidR="00E30483" w:rsidRPr="00BF7226" w:rsidRDefault="00E30483" w:rsidP="00E30483">
      <w:r w:rsidRPr="00BF7226">
        <w:t xml:space="preserve">Presently the NHS does not have a process in place to endorse apps.  </w:t>
      </w:r>
      <w:r w:rsidRPr="00083FD3">
        <w:rPr>
          <w:noProof/>
        </w:rPr>
        <w:t>However</w:t>
      </w:r>
      <w:r>
        <w:rPr>
          <w:noProof/>
        </w:rPr>
        <w:t>,</w:t>
      </w:r>
      <w:r w:rsidRPr="00BF7226">
        <w:t xml:space="preserve"> The National Information Board is working to develop a Health App Assessment process </w:t>
      </w:r>
      <w:r w:rsidRPr="00BF7226">
        <w:fldChar w:fldCharType="begin" w:fldLock="1"/>
      </w:r>
      <w:r>
        <w:instrText>ADDIN CSL_CITATION {"citationItems":[{"id":"ITEM-1","itemData":{"abstract":"Enable me to make the right health and care choices Providing citizens with access to an assessed set of NHS and social care 'apps'","author":[{"dropping-particle":"","family":"National Information Board","given":"","non-dropping-particle":"","parse-names":false,"suffix":""}],"id":"ITEM-1","issue":"October","issued":{"date-parts":[["2015"]]},"title":"WORK STREAM 1.2 ROADMAP. Enable me to make the right health and care choices. Providing citizens with access to an assessed set of NHS and social care ‘apps’ Work","type":"report"},"uris":["http://www.mendeley.com/documents/?uuid=1fb88ae8-53ea-30a9-92e9-b544e9a809a7"]}],"mendeley":{"formattedCitation":"(National Information Board, 2015)","plainTextFormattedCitation":"(National Information Board, 2015)","previouslyFormattedCitation":"(National Information Board, 2015)"},"properties":{"noteIndex":0},"schema":"https://github.com/citation-style-language/schema/raw/master/csl-citation.json"}</w:instrText>
      </w:r>
      <w:r w:rsidRPr="00BF7226">
        <w:fldChar w:fldCharType="separate"/>
      </w:r>
      <w:r w:rsidRPr="00967ACC">
        <w:rPr>
          <w:noProof/>
        </w:rPr>
        <w:t>(National Information Board, 2015)</w:t>
      </w:r>
      <w:r w:rsidRPr="00BF7226">
        <w:fldChar w:fldCharType="end"/>
      </w:r>
      <w:r w:rsidRPr="00BF7226">
        <w:t xml:space="preserve">.  This process will eventually enable the NHS to endorse apps.  However, the consequences of endorsement are currently unknown.  </w:t>
      </w:r>
      <w:r w:rsidRPr="00083FD3">
        <w:rPr>
          <w:noProof/>
        </w:rPr>
        <w:t>Endorsement</w:t>
      </w:r>
      <w:r w:rsidRPr="00BF7226">
        <w:t xml:space="preserve"> may result in market dominance by those gaining NHS approval, stunting the market and truncating innovation.</w:t>
      </w:r>
    </w:p>
    <w:p w14:paraId="67C7FAEE" w14:textId="06B53C21" w:rsidR="00E30483" w:rsidRPr="00BF7226" w:rsidRDefault="00E30483" w:rsidP="005E60F7">
      <w:pPr>
        <w:pStyle w:val="Heading3"/>
      </w:pPr>
      <w:bookmarkStart w:id="121" w:name="_Toc530598118"/>
      <w:bookmarkStart w:id="122" w:name="_Toc530660471"/>
      <w:bookmarkStart w:id="123" w:name="_Toc3538072"/>
      <w:r w:rsidRPr="00BF7226">
        <w:t xml:space="preserve">E-therapy </w:t>
      </w:r>
      <w:r w:rsidR="00D34985">
        <w:t>T</w:t>
      </w:r>
      <w:r w:rsidRPr="00BF7226">
        <w:t xml:space="preserve">ailored to </w:t>
      </w:r>
      <w:r w:rsidR="00D34985">
        <w:t>S</w:t>
      </w:r>
      <w:r w:rsidRPr="00BF7226">
        <w:t xml:space="preserve">pecific </w:t>
      </w:r>
      <w:r w:rsidR="00D34985">
        <w:t>D</w:t>
      </w:r>
      <w:r w:rsidRPr="00BF7226">
        <w:t>emographics</w:t>
      </w:r>
      <w:bookmarkEnd w:id="121"/>
      <w:bookmarkEnd w:id="122"/>
      <w:bookmarkEnd w:id="123"/>
    </w:p>
    <w:p w14:paraId="7DF25DB7" w14:textId="6582D6D6" w:rsidR="00E30483" w:rsidRDefault="00E30483" w:rsidP="00E30483">
      <w:r w:rsidRPr="00BF7226">
        <w:t xml:space="preserve">The majority of the web/phone applications included in this review </w:t>
      </w:r>
      <w:r w:rsidRPr="00083FD3">
        <w:rPr>
          <w:noProof/>
        </w:rPr>
        <w:t>were not tailored</w:t>
      </w:r>
      <w:r w:rsidRPr="00BF7226">
        <w:t xml:space="preserve"> to a specific demographic.  One e-therapy</w:t>
      </w:r>
      <w:r>
        <w:t>,</w:t>
      </w:r>
      <w:r w:rsidRPr="00BF7226">
        <w:t xml:space="preserve"> </w:t>
      </w:r>
      <w:proofErr w:type="spellStart"/>
      <w:r w:rsidRPr="00BF7226">
        <w:t>Kooth</w:t>
      </w:r>
      <w:proofErr w:type="spellEnd"/>
      <w:r>
        <w:t>,</w:t>
      </w:r>
      <w:r w:rsidRPr="00BF7226">
        <w:t xml:space="preserve"> </w:t>
      </w:r>
      <w:r w:rsidRPr="00083FD3">
        <w:rPr>
          <w:noProof/>
        </w:rPr>
        <w:t>was designed</w:t>
      </w:r>
      <w:r w:rsidRPr="00BF7226">
        <w:t xml:space="preserve"> for young people aged 11 to 19.  There were no e-therapies found for older adults aged over 65.  It may be possible that some of the modular based e-therapies </w:t>
      </w:r>
      <w:r w:rsidRPr="00BF7226">
        <w:lastRenderedPageBreak/>
        <w:t>listed have the potential to support these groups through customised modules.</w:t>
      </w:r>
      <w:r w:rsidR="006C7477">
        <w:t xml:space="preserve"> </w:t>
      </w:r>
      <w:r w:rsidRPr="00BF7226">
        <w:t xml:space="preserve"> It would be useful for future research to collect data on specific provision for different demographics, both </w:t>
      </w:r>
      <w:r w:rsidRPr="00083FD3">
        <w:rPr>
          <w:noProof/>
        </w:rPr>
        <w:t>in terms of</w:t>
      </w:r>
      <w:r w:rsidRPr="00BF7226">
        <w:t xml:space="preserve"> e-therapies available, and those employed by NHS services for specific demographics (e.g. Child and Adolescent Mental Health Services).</w:t>
      </w:r>
    </w:p>
    <w:p w14:paraId="56022CD7" w14:textId="26332545" w:rsidR="00E30483" w:rsidRDefault="00E30483" w:rsidP="005E60F7">
      <w:pPr>
        <w:pStyle w:val="Heading3"/>
      </w:pPr>
      <w:bookmarkStart w:id="124" w:name="_Toc530598119"/>
      <w:bookmarkStart w:id="125" w:name="_Toc530660472"/>
      <w:bookmarkStart w:id="126" w:name="_Toc3538073"/>
      <w:r w:rsidRPr="0081346B">
        <w:t xml:space="preserve">Older </w:t>
      </w:r>
      <w:r w:rsidR="00D61CF4">
        <w:t>A</w:t>
      </w:r>
      <w:r w:rsidRPr="0081346B">
        <w:t xml:space="preserve">dults and </w:t>
      </w:r>
      <w:r w:rsidR="00D34985">
        <w:t>E</w:t>
      </w:r>
      <w:r w:rsidRPr="0081346B">
        <w:t>-therapies</w:t>
      </w:r>
      <w:bookmarkEnd w:id="124"/>
      <w:bookmarkEnd w:id="125"/>
      <w:bookmarkEnd w:id="126"/>
    </w:p>
    <w:p w14:paraId="2C7F1B95" w14:textId="2DFB8EC5" w:rsidR="00E30483" w:rsidRDefault="00E30483" w:rsidP="00E30483">
      <w:r>
        <w:t>As we have found, a large</w:t>
      </w:r>
      <w:r w:rsidRPr="00493918">
        <w:t xml:space="preserve"> number of web and smartphone apps have been developed as the medium for delivery of e</w:t>
      </w:r>
      <w:r w:rsidRPr="00493918">
        <w:noBreakHyphen/>
        <w:t>therapies.</w:t>
      </w:r>
      <w:r w:rsidR="006C7477">
        <w:t xml:space="preserve"> </w:t>
      </w:r>
      <w:r w:rsidRPr="00493918">
        <w:t xml:space="preserve"> Alongside this, a recent survey (Ofcom, 2016) found that 65% of those aged 65 to 74 in the UK have access to the internet, with 72% users of smartphones, and nothing suggests that these figures will do anything other than increase over the next few years.</w:t>
      </w:r>
      <w:r w:rsidR="004525DB">
        <w:t xml:space="preserve"> </w:t>
      </w:r>
      <w:r w:rsidRPr="00493918">
        <w:t xml:space="preserve"> Taken together, these figures suggest that older adults </w:t>
      </w:r>
      <w:r>
        <w:t>are</w:t>
      </w:r>
      <w:r w:rsidRPr="00493918">
        <w:t xml:space="preserve"> among the </w:t>
      </w:r>
      <w:r>
        <w:t>users</w:t>
      </w:r>
      <w:r w:rsidRPr="00493918">
        <w:t xml:space="preserve"> of e</w:t>
      </w:r>
      <w:r w:rsidRPr="00493918">
        <w:noBreakHyphen/>
        <w:t xml:space="preserve">therapies. </w:t>
      </w:r>
      <w:r w:rsidR="004525DB">
        <w:t xml:space="preserve"> </w:t>
      </w:r>
      <w:r w:rsidRPr="00493918">
        <w:t xml:space="preserve">However, it does </w:t>
      </w:r>
      <w:r w:rsidRPr="00493918">
        <w:rPr>
          <w:i/>
        </w:rPr>
        <w:t>not</w:t>
      </w:r>
      <w:r w:rsidRPr="00493918">
        <w:t xml:space="preserve"> follow from this that the available apps are either acceptable or effective for this age group</w:t>
      </w:r>
      <w:r>
        <w:t>.</w:t>
      </w:r>
      <w:r w:rsidR="006C7477">
        <w:t xml:space="preserve"> </w:t>
      </w:r>
      <w:r w:rsidRPr="00493918">
        <w:t xml:space="preserve"> While learning more about the development</w:t>
      </w:r>
      <w:r>
        <w:t xml:space="preserve"> of e-therapies</w:t>
      </w:r>
      <w:r w:rsidRPr="00493918">
        <w:t>, the therapeutic models they use</w:t>
      </w:r>
      <w:r>
        <w:t>,</w:t>
      </w:r>
      <w:r w:rsidRPr="00493918">
        <w:t xml:space="preserve"> and their theoretical underpinnings</w:t>
      </w:r>
      <w:r>
        <w:t>,</w:t>
      </w:r>
      <w:r w:rsidRPr="00493918">
        <w:t xml:space="preserve"> may help to strengthen the case for particular apps, a meta-analysis of the published studies should paint a more robust picture of the evidence for e</w:t>
      </w:r>
      <w:r w:rsidRPr="00493918">
        <w:noBreakHyphen/>
        <w:t>therapies, as well as revealing any gaps in current knowledge surrounding their effectiveness for older adults.</w:t>
      </w:r>
    </w:p>
    <w:p w14:paraId="2351F70D" w14:textId="77777777" w:rsidR="00E30483" w:rsidRPr="00172C39" w:rsidRDefault="00E30483" w:rsidP="005E60F7">
      <w:pPr>
        <w:pStyle w:val="Heading2"/>
      </w:pPr>
      <w:bookmarkStart w:id="127" w:name="_Toc530598120"/>
      <w:bookmarkStart w:id="128" w:name="_Toc530660473"/>
      <w:bookmarkStart w:id="129" w:name="_Toc3538074"/>
      <w:r w:rsidRPr="00172C39">
        <w:t>Conclusion</w:t>
      </w:r>
      <w:r>
        <w:t>s</w:t>
      </w:r>
      <w:bookmarkEnd w:id="127"/>
      <w:bookmarkEnd w:id="128"/>
      <w:bookmarkEnd w:id="129"/>
    </w:p>
    <w:p w14:paraId="3FB0492F" w14:textId="77777777" w:rsidR="00397AD9" w:rsidRDefault="00E30483" w:rsidP="00397AD9">
      <w:pPr>
        <w:sectPr w:rsidR="00397AD9" w:rsidSect="00452C07">
          <w:type w:val="continuous"/>
          <w:pgSz w:w="11906" w:h="16838"/>
          <w:pgMar w:top="851" w:right="851" w:bottom="851" w:left="1134" w:header="708" w:footer="708" w:gutter="0"/>
          <w:cols w:space="720"/>
        </w:sectPr>
      </w:pPr>
      <w:r w:rsidRPr="00172C39">
        <w:t xml:space="preserve">As e-therapies are continually evolving, their place within NHS services will also continue to change. </w:t>
      </w:r>
      <w:r w:rsidR="006C7477">
        <w:t xml:space="preserve"> </w:t>
      </w:r>
      <w:r w:rsidRPr="00172C39">
        <w:t>However, there is a pressing need for proper evaluation of the effectiveness of the e-therapies used and recommended by the NHS, to support evidence-based practice, and help to overcome the gaps remaining in the NICE guidelines on apps for common mental health problems.</w:t>
      </w:r>
      <w:r w:rsidR="006C7477">
        <w:t xml:space="preserve"> </w:t>
      </w:r>
      <w:r w:rsidRPr="00172C39">
        <w:t xml:space="preserve"> Th</w:t>
      </w:r>
      <w:r>
        <w:t xml:space="preserve">is chapter </w:t>
      </w:r>
      <w:r w:rsidRPr="00172C39">
        <w:t xml:space="preserve">has provided a starting point for this work, by documenting </w:t>
      </w:r>
      <w:r w:rsidRPr="00BF7226">
        <w:t xml:space="preserve">all the web- and </w:t>
      </w:r>
      <w:r w:rsidRPr="00083FD3">
        <w:rPr>
          <w:noProof/>
        </w:rPr>
        <w:t>smartphone-based</w:t>
      </w:r>
      <w:r w:rsidRPr="00BF7226">
        <w:t xml:space="preserve"> apps currently being used or recommended by the NHS in England.</w:t>
      </w:r>
      <w:r w:rsidR="006C7477">
        <w:t xml:space="preserve"> </w:t>
      </w:r>
      <w:r w:rsidRPr="00BF7226">
        <w:t xml:space="preserve"> Future research should seek to examine the e-therapies identified within this </w:t>
      </w:r>
      <w:r w:rsidR="00B81D6B">
        <w:t>chapter</w:t>
      </w:r>
      <w:r w:rsidRPr="00BF7226">
        <w:t xml:space="preserve"> and systematically review</w:t>
      </w:r>
      <w:r w:rsidR="006C7477">
        <w:t xml:space="preserve"> and </w:t>
      </w:r>
      <w:proofErr w:type="gramStart"/>
      <w:r w:rsidR="006C7477">
        <w:t>m</w:t>
      </w:r>
      <w:r>
        <w:t>eta</w:t>
      </w:r>
      <w:proofErr w:type="gramEnd"/>
      <w:r w:rsidR="006C7477">
        <w:t xml:space="preserve"> </w:t>
      </w:r>
      <w:r>
        <w:t>analyse</w:t>
      </w:r>
      <w:r w:rsidRPr="00BF7226">
        <w:t xml:space="preserve"> </w:t>
      </w:r>
      <w:r>
        <w:t xml:space="preserve">the evidence for </w:t>
      </w:r>
      <w:r w:rsidRPr="00BF7226">
        <w:t>them</w:t>
      </w:r>
      <w:r>
        <w:t xml:space="preserve"> to establish </w:t>
      </w:r>
      <w:r w:rsidRPr="00BF7226">
        <w:t xml:space="preserve">their clinical effectiveness. </w:t>
      </w:r>
      <w:r w:rsidR="006C7477">
        <w:t xml:space="preserve"> </w:t>
      </w:r>
      <w:r w:rsidRPr="00BF7226">
        <w:t xml:space="preserve">It is also </w:t>
      </w:r>
      <w:r w:rsidRPr="00083FD3">
        <w:rPr>
          <w:noProof/>
        </w:rPr>
        <w:t>important</w:t>
      </w:r>
      <w:r w:rsidRPr="00BF7226">
        <w:t xml:space="preserve"> that changes </w:t>
      </w:r>
      <w:r w:rsidRPr="00083FD3">
        <w:rPr>
          <w:noProof/>
        </w:rPr>
        <w:t>are made</w:t>
      </w:r>
      <w:r w:rsidRPr="00BF7226">
        <w:t xml:space="preserve"> to </w:t>
      </w:r>
      <w:r w:rsidRPr="00083FD3">
        <w:rPr>
          <w:noProof/>
        </w:rPr>
        <w:t>i</w:t>
      </w:r>
      <w:r w:rsidRPr="00BF7226">
        <w:t>) enable better reporting of digital mental health service provisions within IAPT services, and ii) build an evidence base with which to evaluate the effectiveness of different e-therapies.</w:t>
      </w:r>
      <w:bookmarkStart w:id="130" w:name="__Fieldmark__711_1571196078"/>
      <w:bookmarkStart w:id="131" w:name="__Fieldmark__882_1553685682"/>
      <w:bookmarkStart w:id="132" w:name="_Toc530598121"/>
      <w:bookmarkStart w:id="133" w:name="_Toc530660474"/>
      <w:bookmarkEnd w:id="130"/>
      <w:bookmarkEnd w:id="131"/>
    </w:p>
    <w:p w14:paraId="41D98BB1" w14:textId="3BE0F1FD" w:rsidR="00E30483" w:rsidRPr="00DF39D1" w:rsidRDefault="00E30483" w:rsidP="00397AD9">
      <w:pPr>
        <w:pStyle w:val="Heading1"/>
      </w:pPr>
      <w:bookmarkStart w:id="134" w:name="_Toc3538075"/>
      <w:r>
        <w:lastRenderedPageBreak/>
        <w:t xml:space="preserve">NHS Service Provision Panorama Part 2 (E-therapy </w:t>
      </w:r>
      <w:r w:rsidR="003C58A2">
        <w:t>D</w:t>
      </w:r>
      <w:r>
        <w:t xml:space="preserve">evelopers </w:t>
      </w:r>
      <w:r w:rsidR="003C58A2">
        <w:t>S</w:t>
      </w:r>
      <w:r>
        <w:t>urvey)</w:t>
      </w:r>
      <w:bookmarkEnd w:id="132"/>
      <w:bookmarkEnd w:id="133"/>
      <w:bookmarkEnd w:id="134"/>
    </w:p>
    <w:p w14:paraId="51D0ECED" w14:textId="77777777" w:rsidR="00E30483" w:rsidRDefault="00E30483" w:rsidP="00E30483">
      <w:pPr>
        <w:pStyle w:val="Heading2"/>
      </w:pPr>
      <w:bookmarkStart w:id="135" w:name="_Toc530598122"/>
      <w:bookmarkStart w:id="136" w:name="_Toc530660475"/>
      <w:bookmarkStart w:id="137" w:name="_Toc3538076"/>
      <w:r>
        <w:t>Introduction</w:t>
      </w:r>
      <w:bookmarkEnd w:id="135"/>
      <w:bookmarkEnd w:id="136"/>
      <w:bookmarkEnd w:id="137"/>
    </w:p>
    <w:p w14:paraId="571E21F4" w14:textId="19D7BFF1" w:rsidR="00E30483" w:rsidRDefault="00E30483" w:rsidP="00E30483">
      <w:bookmarkStart w:id="138" w:name="_gjdgxs" w:colFirst="0" w:colLast="0"/>
      <w:bookmarkEnd w:id="138"/>
      <w:r>
        <w:t xml:space="preserve">While apps can have the potential to give great benefits, </w:t>
      </w:r>
      <w:r w:rsidRPr="00DE4004">
        <w:rPr>
          <w:noProof/>
        </w:rPr>
        <w:t>they</w:t>
      </w:r>
      <w:r>
        <w:t xml:space="preserve"> also have the potential to cause physical, mental, reputational or financial harm to patients, healthcare professionals and their organisations if they </w:t>
      </w:r>
      <w:r w:rsidRPr="007039D3">
        <w:rPr>
          <w:noProof/>
        </w:rPr>
        <w:t>are not evaluated</w:t>
      </w:r>
      <w:r>
        <w:t xml:space="preserve"> for clinical safety.  For example, an app may miscalculate a drug dose or give incorrect medical advice to a consumer or patient.  </w:t>
      </w:r>
      <w:bookmarkStart w:id="139" w:name="_Hlk530658792"/>
      <w:r w:rsidR="00A34673">
        <w:t xml:space="preserve">NHS Digital </w:t>
      </w:r>
      <w:r w:rsidR="00A34673">
        <w:fldChar w:fldCharType="begin" w:fldLock="1"/>
      </w:r>
      <w:r w:rsidR="000B6CC8">
        <w:instrText>ADDIN CSL_CITATION {"citationItems":[{"id":"ITEM-1","itemData":{"URL":"https://developer.nhs.uk/digital-tools/daq/","accessed":{"date-parts":[["2018","2","19"]]},"author":[{"dropping-particle":"","family":"NHS Digital","given":"","non-dropping-particle":"","parse-names":false,"suffix":""}],"id":"ITEM-1","issued":{"date-parts":[["2017"]]},"title":"Digital Assessment Questions - Beta","type":"webpage"},"uris":["http://www.mendeley.com/documents/?uuid=b6095058-bd1b-3afd-8a14-c375735cc827"]}],"mendeley":{"formattedCitation":"(NHS Digital, 2017a)","manualFormatting":"(2017)","plainTextFormattedCitation":"(NHS Digital, 2017a)","previouslyFormattedCitation":"(NHS Digital, 2017a)"},"properties":{"noteIndex":0},"schema":"https://github.com/citation-style-language/schema/raw/master/csl-citation.json"}</w:instrText>
      </w:r>
      <w:r w:rsidR="00A34673">
        <w:fldChar w:fldCharType="separate"/>
      </w:r>
      <w:r w:rsidR="00A34673" w:rsidRPr="00451BBB">
        <w:rPr>
          <w:noProof/>
        </w:rPr>
        <w:t>(2017)</w:t>
      </w:r>
      <w:r w:rsidR="00A34673">
        <w:fldChar w:fldCharType="end"/>
      </w:r>
      <w:bookmarkEnd w:id="139"/>
      <w:r>
        <w:t xml:space="preserve"> highlights that apps to be used by the NHS cannot be endorsed unless they have been evaluated for potential harm, while Public Health England’s (PHE) health app assessment process requires developers to outline plans and policies to limit and mitigate potential risks associated with their apps.</w:t>
      </w:r>
    </w:p>
    <w:p w14:paraId="3A097006" w14:textId="3CE43CC1" w:rsidR="00E30483" w:rsidRDefault="00E30483" w:rsidP="00E30483">
      <w:r w:rsidRPr="00DE4004">
        <w:rPr>
          <w:noProof/>
        </w:rPr>
        <w:t>Regulatory</w:t>
      </w:r>
      <w:r>
        <w:t xml:space="preserve"> approval provides patients and healthcare professionals with the assurance that an app is of high quality, safe and ethical </w:t>
      </w:r>
      <w:r w:rsidR="00A34673">
        <w:fldChar w:fldCharType="begin" w:fldLock="1"/>
      </w:r>
      <w:r w:rsidR="000B6CC8">
        <w:instrText>ADDIN CSL_CITATION {"citationItems":[{"id":"ITEM-1","itemData":{"URL":"https://developer.nhs.uk/digital-tools/daq/","accessed":{"date-parts":[["2018","2","19"]]},"author":[{"dropping-particle":"","family":"NHS Digital","given":"","non-dropping-particle":"","parse-names":false,"suffix":""}],"id":"ITEM-1","issued":{"date-parts":[["2017"]]},"title":"Digital Assessment Questions - Beta","type":"webpage"},"uris":["http://www.mendeley.com/documents/?uuid=b6095058-bd1b-3afd-8a14-c375735cc827"]}],"mendeley":{"formattedCitation":"(NHS Digital, 2017a)","manualFormatting":"(NHS Digital, 2017)","plainTextFormattedCitation":"(NHS Digital, 2017a)","previouslyFormattedCitation":"(NHS Digital, 2017a)"},"properties":{"noteIndex":0},"schema":"https://github.com/citation-style-language/schema/raw/master/csl-citation.json"}</w:instrText>
      </w:r>
      <w:r w:rsidR="00A34673">
        <w:fldChar w:fldCharType="separate"/>
      </w:r>
      <w:r w:rsidR="00A34673" w:rsidRPr="00451BBB">
        <w:rPr>
          <w:noProof/>
        </w:rPr>
        <w:t>(</w:t>
      </w:r>
      <w:r w:rsidR="00A34673">
        <w:rPr>
          <w:noProof/>
        </w:rPr>
        <w:t xml:space="preserve">NHS Digital, </w:t>
      </w:r>
      <w:r w:rsidR="00A34673" w:rsidRPr="00451BBB">
        <w:rPr>
          <w:noProof/>
        </w:rPr>
        <w:t>2017)</w:t>
      </w:r>
      <w:r w:rsidR="00A34673">
        <w:fldChar w:fldCharType="end"/>
      </w:r>
      <w:r>
        <w:t>.  There are two types of regulation presently available in the UK: The Medicines &amp; Healthcare products Regulatory Agency Medical Device Registration and Care Quality Commission Registration.</w:t>
      </w:r>
    </w:p>
    <w:p w14:paraId="171B5C9D" w14:textId="41BD661C" w:rsidR="00E30483" w:rsidRDefault="00E30483" w:rsidP="00E30483">
      <w:r>
        <w:t xml:space="preserve">The Medicines &amp; Healthcare products Regulatory Agency (MHRA) provides a ‘device determination’ flowchart that enables developers to check whether their app </w:t>
      </w:r>
      <w:r w:rsidRPr="007039D3">
        <w:rPr>
          <w:noProof/>
        </w:rPr>
        <w:t>is defined</w:t>
      </w:r>
      <w:r>
        <w:t xml:space="preserve"> as a medical device.  The two main questions in determining this are whether the app has a medical purpose and whether it works directly with data obtained in vivo.  </w:t>
      </w:r>
      <w:r w:rsidRPr="007039D3">
        <w:rPr>
          <w:noProof/>
        </w:rPr>
        <w:t>At the time of writing</w:t>
      </w:r>
      <w:r>
        <w:rPr>
          <w:noProof/>
        </w:rPr>
        <w:t>,</w:t>
      </w:r>
      <w:r w:rsidRPr="007039D3">
        <w:rPr>
          <w:noProof/>
        </w:rPr>
        <w:t xml:space="preserve"> developers of apps that meet these criteria and who want to market them to the public are required by the UK government to register the app with the MHRA and to obtain for it CE marking, indicating conformity with health, safety and environmental protection standards for products sold within the European Economic Area </w:t>
      </w:r>
      <w:r w:rsidR="00A34673">
        <w:fldChar w:fldCharType="begin" w:fldLock="1"/>
      </w:r>
      <w:r w:rsidR="000B6CC8">
        <w:instrText>ADDIN CSL_CITATION {"citationItems":[{"id":"ITEM-1","itemData":{"URL":"https://www.gov.uk/guidance/ce-marking","accessed":{"date-parts":[["2018","2","24"]]},"author":[{"dropping-particle":"","family":"Department for Business Energy &amp; Industrial Strategy","given":"","non-dropping-particle":"","parse-names":false,"suffix":""}],"container-title":"gov.uk","id":"ITEM-1","issued":{"date-parts":[["2012"]]},"title":"CE marking","type":"webpage"},"uris":["http://www.mendeley.com/documents/?uuid=903775b0-ff79-31bb-9248-1b3737d4aa3c"]}],"mendeley":{"formattedCitation":"(Department for Business Energy &amp; Industrial Strategy, 2012)","manualFormatting":"(Department for Business, Energy &amp; Industrial Strategy, 2012)","plainTextFormattedCitation":"(Department for Business Energy &amp; Industrial Strategy, 2012)","previouslyFormattedCitation":"(Department for Business Energy &amp; Industrial Strategy, 2012)"},"properties":{"noteIndex":0},"schema":"https://github.com/citation-style-language/schema/raw/master/csl-citation.json"}</w:instrText>
      </w:r>
      <w:r w:rsidR="00A34673">
        <w:fldChar w:fldCharType="separate"/>
      </w:r>
      <w:r w:rsidR="00A34673" w:rsidRPr="00933AC8">
        <w:rPr>
          <w:noProof/>
        </w:rPr>
        <w:t>(Department for Business</w:t>
      </w:r>
      <w:r w:rsidR="00A34673">
        <w:rPr>
          <w:noProof/>
        </w:rPr>
        <w:t>,</w:t>
      </w:r>
      <w:r w:rsidR="00A34673" w:rsidRPr="00933AC8">
        <w:rPr>
          <w:noProof/>
        </w:rPr>
        <w:t xml:space="preserve"> Energy &amp; Industrial Strategy, 2012)</w:t>
      </w:r>
      <w:r w:rsidR="00A34673">
        <w:fldChar w:fldCharType="end"/>
      </w:r>
      <w:r w:rsidRPr="007039D3">
        <w:rPr>
          <w:noProof/>
        </w:rPr>
        <w:t>.</w:t>
      </w:r>
    </w:p>
    <w:p w14:paraId="0FBCC2FD" w14:textId="77777777" w:rsidR="00E30483" w:rsidRDefault="00E30483" w:rsidP="00E30483">
      <w:r w:rsidRPr="007039D3">
        <w:rPr>
          <w:noProof/>
        </w:rPr>
        <w:t>The Care Quality Commission (CQC) set out 14 regulated activities: personal care; accommodation for people who require nursing or personal care; accommodation for people who require treatment for substance misuse; treatment of disease, disorder or injury; assessment or medical treatment for persons detained under the Mental Health Act 1983; surgical procedures; diagnostic and screening procedures; management of supply of blood and blood-derived products; transport services; triage and medical advice provided remotely; maternity and midwifery services; termination of pregnancies; services in slimming clinics; and nursing care and family planning services.</w:t>
      </w:r>
      <w:r>
        <w:t xml:space="preserve">  If an app provides </w:t>
      </w:r>
      <w:r w:rsidRPr="00DE4004">
        <w:rPr>
          <w:noProof/>
        </w:rPr>
        <w:t>a health</w:t>
      </w:r>
      <w:r>
        <w:t xml:space="preserve"> or social care service that fits one of these activities the developers are required by the PHE to register with the CQC before the app can </w:t>
      </w:r>
      <w:r w:rsidRPr="007039D3">
        <w:rPr>
          <w:noProof/>
        </w:rPr>
        <w:t>be assessed</w:t>
      </w:r>
      <w:r>
        <w:t xml:space="preserve"> via the PHE app assessment process.</w:t>
      </w:r>
    </w:p>
    <w:p w14:paraId="5791101E" w14:textId="26A0F21C" w:rsidR="00E30483" w:rsidRDefault="00E30483" w:rsidP="00E30483">
      <w:r>
        <w:t xml:space="preserve">It is essential for the public to know whether a digital mental health app is </w:t>
      </w:r>
      <w:r w:rsidRPr="007039D3">
        <w:rPr>
          <w:noProof/>
        </w:rPr>
        <w:t>effective</w:t>
      </w:r>
      <w:r>
        <w:t xml:space="preserve">. </w:t>
      </w:r>
      <w:r w:rsidR="006E2B11">
        <w:t xml:space="preserve"> </w:t>
      </w:r>
      <w:r>
        <w:t>Some have argued that many apps have no evidence to support their effectiven</w:t>
      </w:r>
      <w:r w:rsidRPr="000B6CC8">
        <w:t>ess</w:t>
      </w:r>
      <w:r w:rsidR="000B6CC8" w:rsidRPr="000B6CC8">
        <w:t xml:space="preserve"> </w:t>
      </w:r>
      <w:r w:rsidR="000B6CC8" w:rsidRPr="000B6CC8">
        <w:fldChar w:fldCharType="begin" w:fldLock="1"/>
      </w:r>
      <w:r w:rsidR="00C746FC">
        <w:instrText>ADDIN CSL_CITATION {"citationItems":[{"id":"ITEM-1","itemData":{"DOI":"10.1136/eb-2015-102203","ISBN":"1468-960X","ISSN":"1362-0347","PMID":"26459466","abstract":"THE NEED In a time of increasing demand for psychological services and continu-ally decreasing resources, unmet need with respect to National Health Service (NHS) mental health services is reaching an unprecedented level. 1 While monthly referrals to community mental health teams increased 13% in 2013, and 16% in the case of crisis services, invest-ment in mental health services has fallen in real terms for three suc-cessive years, 2 not helped by the government's £22 billion target for efficiency savings. As such, the resulting loss of over 200 full-time mental health doctors and 3600 nurses 1 has meant that despite a £450 million investment in reducing waiting times 3 and increasing access to psychological therapies (IAPT), 1 in 10 patients experience waiting lists of over a year before receiving any form of treatment, with 1 in 2 waiting over 3 months. 4 One in 6 of those on waiting lists for mental health services are expected to attempt suicide, 4 in 10 are expected to self-harm and two-thirds are likely to see their condition deteriorate before having the opportunity to see a mental health professional. 1 5 As such, approxi-mately 70 million sick days 6 and 170 000 self-harm related accident and emergency attendances 7 can be attributed to underlying mental health issues in the UK every year; with these individuals also exhibiting double the rate of both inpatient and outpatient hospital attendances compared to the UK general population. 8 Unfortunately long-term pro-spects for those with mental health issues are not much better. Those suffering from serious mental illness face twice the risk of diabetes and death from heart disease, 9 three times the risk of hypertension and a fourfold increase in all-cause premature mortality when compared with the UK general population; all of which contributing to the £105billion that mental distress costs the English economy each year. 10","author":[{"dropping-particle":"","family":"Leigh","given":"Simon","non-dropping-particle":"","parse-names":false,"suffix":""},{"dropping-particle":"","family":"Flatt","given":"Steve","non-dropping-particle":"","parse-names":false,"suffix":""}],"container-title":"Evidence-Based Mental Health","id":"ITEM-1","issue":"4","issued":{"date-parts":[["2015"]]},"page":"97-99","title":"App-based psychological interventions: friend or foe?: Table 1","type":"article-journal","volume":"18"},"uris":["http://www.mendeley.com/documents/?uuid=7d94721c-2541-41fa-bcbb-847a161208f6"]}],"mendeley":{"formattedCitation":"(Leigh and Flatt, 2015)","plainTextFormattedCitation":"(Leigh and Flatt, 2015)","previouslyFormattedCitation":"(Leigh and Flatt, 2015)"},"properties":{"noteIndex":0},"schema":"https://github.com/citation-style-language/schema/raw/master/csl-citation.json"}</w:instrText>
      </w:r>
      <w:r w:rsidR="000B6CC8" w:rsidRPr="000B6CC8">
        <w:fldChar w:fldCharType="separate"/>
      </w:r>
      <w:r w:rsidR="000B6CC8" w:rsidRPr="000B6CC8">
        <w:rPr>
          <w:noProof/>
        </w:rPr>
        <w:t>(Leigh and Flatt, 2015)</w:t>
      </w:r>
      <w:r w:rsidR="000B6CC8" w:rsidRPr="000B6CC8">
        <w:fldChar w:fldCharType="end"/>
      </w:r>
      <w:r>
        <w:t xml:space="preserve">, but deciding what </w:t>
      </w:r>
      <w:r>
        <w:lastRenderedPageBreak/>
        <w:t>constitutes ‘evidence’ for apps is not straightforward.</w:t>
      </w:r>
      <w:r w:rsidR="004525DB">
        <w:t xml:space="preserve"> </w:t>
      </w:r>
      <w:r>
        <w:t xml:space="preserve"> Within healthcare research, there is a hierarchical structure depicting the strength of evidence </w:t>
      </w:r>
      <w:r>
        <w:fldChar w:fldCharType="begin" w:fldLock="1"/>
      </w:r>
      <w:r w:rsidR="00140546">
        <w:instrText>ADDIN CSL_CITATION {"citationItems":[{"id":"ITEM-1","itemData":{"URL":"http://joannabriggs.org/jbi-approach.html#tabbed-nav=Levels-of-Evidence%0Ahttp://joannabriggs.org/jbi-approach.html%7B%23%7Dtabbed-nav=JBI-approach%5Cnhttp://joannabriggs.org/jbi-approach.html%23tabbed-nav=JBI-approach%5Cnhttp://joannabriggs.org/jbi-approach.","abstract":"The JBI Levels of Evidence are: The New JBI Levels of Evidence and Grades of Recommendation are now being used for all JBI documents as of the 1st of March 2014.","accessed":{"date-parts":[["2018","10","24"]]},"author":[{"dropping-particle":"","family":"Joanna Briggs Institute","given":"","non-dropping-particle":"","parse-names":false,"suffix":""}],"container-title":"The Joanna Briggs Institute","id":"ITEM-1","issued":{"date-parts":[["2014"]]},"title":"The JBI Approach","type":"webpage"},"uris":["http://www.mendeley.com/documents/?uuid=356b55f4-ee8a-35ec-b749-16b556b36766"]}],"mendeley":{"formattedCitation":"(Joanna Briggs Institute, 2014)","plainTextFormattedCitation":"(Joanna Briggs Institute, 2014)","previouslyFormattedCitation":"(Joanna Briggs Institute, 2014)"},"properties":{"noteIndex":0},"schema":"https://github.com/citation-style-language/schema/raw/master/csl-citation.json"}</w:instrText>
      </w:r>
      <w:r>
        <w:fldChar w:fldCharType="separate"/>
      </w:r>
      <w:r w:rsidRPr="006A1968">
        <w:rPr>
          <w:noProof/>
        </w:rPr>
        <w:t>(Joanna Briggs Institute, 2014)</w:t>
      </w:r>
      <w:r>
        <w:fldChar w:fldCharType="end"/>
      </w:r>
      <w:r>
        <w:t xml:space="preserve">.  The higher the level, the </w:t>
      </w:r>
      <w:r w:rsidRPr="007039D3">
        <w:rPr>
          <w:noProof/>
        </w:rPr>
        <w:t>greater</w:t>
      </w:r>
      <w:r>
        <w:t xml:space="preserve"> the internal validity and hence the more persuasive and trustworthy the evidence is.  The randomised controlled trial (RCT) is currently the gold standard for providing evidence of clinical efficacy </w:t>
      </w:r>
      <w:r>
        <w:fldChar w:fldCharType="begin" w:fldLock="1"/>
      </w:r>
      <w:r w:rsidR="00140546">
        <w:instrText>ADDIN CSL_CITATION {"citationItems":[{"id":"ITEM-1","itemData":{"URL":"http://joannabriggs.org/jbi-approach.html#tabbed-nav=Levels-of-Evidence%0Ahttp://joannabriggs.org/jbi-approach.html%7B%23%7Dtabbed-nav=JBI-approach%5Cnhttp://joannabriggs.org/jbi-approach.html%23tabbed-nav=JBI-approach%5Cnhttp://joannabriggs.org/jbi-approach.","abstract":"The JBI Levels of Evidence are: The New JBI Levels of Evidence and Grades of Recommendation are now being used for all JBI documents as of the 1st of March 2014.","accessed":{"date-parts":[["2018","10","24"]]},"author":[{"dropping-particle":"","family":"Joanna Briggs Institute","given":"","non-dropping-particle":"","parse-names":false,"suffix":""}],"container-title":"The Joanna Briggs Institute","id":"ITEM-1","issued":{"date-parts":[["2014"]]},"title":"The JBI Approach","type":"webpage"},"uris":["http://www.mendeley.com/documents/?uuid=356b55f4-ee8a-35ec-b749-16b556b36766"]}],"mendeley":{"formattedCitation":"(Joanna Briggs Institute, 2014)","plainTextFormattedCitation":"(Joanna Briggs Institute, 2014)","previouslyFormattedCitation":"(Joanna Briggs Institute, 2014)"},"properties":{"noteIndex":0},"schema":"https://github.com/citation-style-language/schema/raw/master/csl-citation.json"}</w:instrText>
      </w:r>
      <w:r>
        <w:fldChar w:fldCharType="separate"/>
      </w:r>
      <w:r w:rsidRPr="006A1968">
        <w:rPr>
          <w:noProof/>
        </w:rPr>
        <w:t>(Joanna Briggs Institute, 2014)</w:t>
      </w:r>
      <w:r>
        <w:fldChar w:fldCharType="end"/>
      </w:r>
      <w:r>
        <w:t xml:space="preserve">. </w:t>
      </w:r>
      <w:r w:rsidR="006E2B11">
        <w:t xml:space="preserve"> </w:t>
      </w:r>
      <w:r>
        <w:t xml:space="preserve">However, RCTs take time to design, implement and publish and thus may </w:t>
      </w:r>
      <w:r w:rsidRPr="007039D3">
        <w:rPr>
          <w:noProof/>
        </w:rPr>
        <w:t>be poorly matched</w:t>
      </w:r>
      <w:r>
        <w:t xml:space="preserve"> to the pace at which technologies and tools are evolving. </w:t>
      </w:r>
      <w:r w:rsidR="006E2B11">
        <w:t xml:space="preserve"> </w:t>
      </w:r>
      <w:r w:rsidRPr="007039D3">
        <w:rPr>
          <w:noProof/>
        </w:rPr>
        <w:t>This</w:t>
      </w:r>
      <w:r>
        <w:t xml:space="preserve"> means that there is presently no clear consensus on how best to evaluate apps, although policymaker and researcher efforts are </w:t>
      </w:r>
      <w:r w:rsidRPr="007039D3">
        <w:rPr>
          <w:noProof/>
        </w:rPr>
        <w:t>being directed</w:t>
      </w:r>
      <w:r>
        <w:t xml:space="preserve"> to </w:t>
      </w:r>
      <w:r w:rsidR="006E2B11">
        <w:t>the issue, as outlined below.</w:t>
      </w:r>
    </w:p>
    <w:p w14:paraId="73242F2E" w14:textId="4D9135D4" w:rsidR="00E30483" w:rsidRDefault="00E30483" w:rsidP="00E30483">
      <w:r>
        <w:t xml:space="preserve">An EU Working Group was set up in February 2016 to create </w:t>
      </w:r>
      <w:proofErr w:type="spellStart"/>
      <w:r>
        <w:t>mHealth</w:t>
      </w:r>
      <w:proofErr w:type="spellEnd"/>
      <w:r>
        <w:t xml:space="preserve"> assessment guidelines but unfortunately failed to </w:t>
      </w:r>
      <w:r w:rsidRPr="007039D3">
        <w:rPr>
          <w:noProof/>
        </w:rPr>
        <w:t>reach a conclusion</w:t>
      </w:r>
      <w:r>
        <w:t xml:space="preserve"> </w:t>
      </w:r>
      <w:r w:rsidR="00C746FC">
        <w:fldChar w:fldCharType="begin" w:fldLock="1"/>
      </w:r>
      <w:r w:rsidR="00C746FC">
        <w:instrText>ADDIN CSL_CITATION {"citationItems":[{"id":"ITEM-1","itemData":{"URL":"https://ec.europa.eu/digital-single-market/en/news/report-working-group-mhealth-assessment-guidelines","accessed":{"date-parts":[["2018","4","7"]]},"author":[{"dropping-particle":"","family":"European Commission","given":"","non-dropping-particle":"","parse-names":false,"suffix":""}],"id":"ITEM-1","issued":{"date-parts":[["2017"]]},"title":"Report of the Working Group on mHealth assessment guidelines | Digital Single Market","type":"webpage"},"uris":["http://www.mendeley.com/documents/?uuid=0d95bafb-b329-36ea-8be2-b010dd2639eb"]}],"mendeley":{"formattedCitation":"(European Commission, 2017)","plainTextFormattedCitation":"(European Commission, 2017)","previouslyFormattedCitation":"(European Commission, 2017)"},"properties":{"noteIndex":0},"schema":"https://github.com/citation-style-language/schema/raw/master/csl-citation.json"}</w:instrText>
      </w:r>
      <w:r w:rsidR="00C746FC">
        <w:fldChar w:fldCharType="separate"/>
      </w:r>
      <w:r w:rsidR="00C746FC" w:rsidRPr="00C746FC">
        <w:rPr>
          <w:noProof/>
        </w:rPr>
        <w:t>(European Commission, 2017)</w:t>
      </w:r>
      <w:r w:rsidR="00C746FC">
        <w:fldChar w:fldCharType="end"/>
      </w:r>
      <w:r>
        <w:t xml:space="preserve">.  A report by the group highlighted that building the guidelines had been found to be a much more complex exercise than </w:t>
      </w:r>
      <w:r>
        <w:rPr>
          <w:noProof/>
        </w:rPr>
        <w:t>initi</w:t>
      </w:r>
      <w:r w:rsidRPr="007039D3">
        <w:rPr>
          <w:noProof/>
        </w:rPr>
        <w:t>ally</w:t>
      </w:r>
      <w:r>
        <w:t xml:space="preserve"> expected at the beginning of the process, and the work required went far beyond the original mandate of the group </w:t>
      </w:r>
      <w:r w:rsidR="00C746FC">
        <w:fldChar w:fldCharType="begin" w:fldLock="1"/>
      </w:r>
      <w:r w:rsidR="0040057D">
        <w:instrText>ADDIN CSL_CITATION {"citationItems":[{"id":"ITEM-1","itemData":{"author":[{"dropping-particle":"","family":"Working Group on mHealth Assessment Guidelines","given":"","non-dropping-particle":"","parse-names":false,"suffix":""}],"id":"ITEM-1","issued":{"date-parts":[["2017"]]},"page":"1-10","title":"Report of the Working Group on mHealth Assessment Guidelines","type":"article-journal"},"uris":["http://www.mendeley.com/documents/?uuid=23c886a8-67f6-42c6-958c-58478f06232f"]}],"mendeley":{"formattedCitation":"(Working Group on mHealth Assessment Guidelines, 2017)","plainTextFormattedCitation":"(Working Group on mHealth Assessment Guidelines, 2017)","previouslyFormattedCitation":"(Working Group on mHealth Assessment Guidelines, 2017)"},"properties":{"noteIndex":0},"schema":"https://github.com/citation-style-language/schema/raw/master/csl-citation.json"}</w:instrText>
      </w:r>
      <w:r w:rsidR="00C746FC">
        <w:fldChar w:fldCharType="separate"/>
      </w:r>
      <w:r w:rsidR="00C746FC" w:rsidRPr="00C746FC">
        <w:rPr>
          <w:noProof/>
        </w:rPr>
        <w:t>(Working Group on mHealth Assessment Guidelines, 2017)</w:t>
      </w:r>
      <w:r w:rsidR="00C746FC">
        <w:fldChar w:fldCharType="end"/>
      </w:r>
    </w:p>
    <w:p w14:paraId="4E32E136" w14:textId="5AE59A5B" w:rsidR="00E30483" w:rsidRDefault="00E30483" w:rsidP="00E30483">
      <w:r>
        <w:t xml:space="preserve">Separately to this, a toolkit for appraising digital mental health products was developed and released by </w:t>
      </w:r>
      <w:proofErr w:type="spellStart"/>
      <w:r>
        <w:t>MindTech</w:t>
      </w:r>
      <w:proofErr w:type="spellEnd"/>
      <w:r>
        <w:t xml:space="preserve"> in October 2017.  The toolkit offers a standard set of criteria for evaluating existing digital mental health tools (apps and mobile websites) and a final report discussing the framework was published by </w:t>
      </w:r>
      <w:r w:rsidR="00C746FC" w:rsidRPr="00FE7B60">
        <w:rPr>
          <w:noProof/>
        </w:rPr>
        <w:t xml:space="preserve">Betton </w:t>
      </w:r>
      <w:r w:rsidR="00C746FC" w:rsidRPr="00FE7B60">
        <w:rPr>
          <w:i/>
          <w:noProof/>
        </w:rPr>
        <w:t>et al.</w:t>
      </w:r>
      <w:r w:rsidR="00C746FC" w:rsidRPr="00FE7B60">
        <w:rPr>
          <w:noProof/>
        </w:rPr>
        <w:t xml:space="preserve">, </w:t>
      </w:r>
      <w:r w:rsidR="00C746FC">
        <w:fldChar w:fldCharType="begin" w:fldLock="1"/>
      </w:r>
      <w:r w:rsidR="0040057D">
        <w:instrText>ADDIN CSL_CITATION {"citationItems":[{"id":"ITEM-1","itemData":{"author":[{"dropping-particle":"","family":"Betton","given":"Victoria","non-dropping-particle":"","parse-names":false,"suffix":""},{"dropping-particle":"","family":"Craven","given":"Michael","non-dropping-particle":"","parse-names":false,"suffix":""},{"dropping-particle":"","family":"Davies","given":"Bethan","non-dropping-particle":"","parse-names":false,"suffix":""},{"dropping-particle":"","family":"Martin","given":"Jennifer","non-dropping-particle":"","parse-names":false,"suffix":""},{"dropping-particle":"","family":"Nelissen","given":"Natalie","non-dropping-particle":"","parse-names":false,"suffix":""},{"dropping-particle":"","family":"Ridout","given":"Alicia","non-dropping-particle":"","parse-names":false,"suffix":""},{"dropping-particle":"","family":"Simons","given":"Lucy","non-dropping-particle":"","parse-names":false,"suffix":""}],"id":"ITEM-1","issued":{"date-parts":[["2017"]]},"title":"Framework for the effectiveness evaluation of mobile (mental) health tools","type":"report"},"uris":["http://www.mendeley.com/documents/?uuid=796d1236-54f1-3c8e-94cf-3f87075f819a"]}],"mendeley":{"formattedCitation":"(Betton &lt;i&gt;et al.&lt;/i&gt;, 2017)","manualFormatting":"(2017)","plainTextFormattedCitation":"(Betton et al., 2017)","previouslyFormattedCitation":"(Betton &lt;i&gt;et al.&lt;/i&gt;, 2017)"},"properties":{"noteIndex":0},"schema":"https://github.com/citation-style-language/schema/raw/master/csl-citation.json"}</w:instrText>
      </w:r>
      <w:r w:rsidR="00C746FC">
        <w:fldChar w:fldCharType="separate"/>
      </w:r>
      <w:r w:rsidR="00C746FC" w:rsidRPr="00FE7B60">
        <w:rPr>
          <w:noProof/>
        </w:rPr>
        <w:t>(2017)</w:t>
      </w:r>
      <w:r w:rsidR="00C746FC">
        <w:fldChar w:fldCharType="end"/>
      </w:r>
      <w:r>
        <w:t xml:space="preserve">.  Other examples of app assessment methods that have been developed in recent years include the Mobile App Rating Scale (MARS), developed by an Australian research team in 2015 </w:t>
      </w:r>
      <w:r>
        <w:fldChar w:fldCharType="begin" w:fldLock="1"/>
      </w:r>
      <w:r>
        <w:instrText>ADDIN CSL_CITATION {"citationItems":[{"id":"ITEM-1","itemData":{"DOI":"10.2196/mhealth.3422","ISBN":"2291-5222 (Electronic)12291-5222 (Linking)","ISSN":"2291-5222","PMID":"25760773","abstract":"Background: The use of mobile apps for health and well being promotion has grown exponentially in recent years. Yet, there is currently no app-quality assessment tool beyond “star”-ratings. Objective: The objective of this study was to develop a reliable, multidimensional measure for trialling, classifying, and rating the quality of mobile health apps. Methods: A literature search was conducted to identify articles containing explicit Web or app quality rating criteria published between January 2000 and January 2013. Existing criteria for the assessment of app quality were categorized by an expert panel to develop the new Mobile App Rating Scale (MARS) subscales, items, descriptors, and anchors. There were sixty well being apps that were randomly selected using an iTunes search for MARS rating. There were ten that were used to pilot the rating procedure, and the remaining 50 provided data on interrater reliability. Results: There were 372 explicit criteria for assessing Web or app quality that were extracted from 25 published papers, conference proceedings, and Internet resources. There were five broad categories of criteria that were identified including four objective quality scales: engagement, functionality, aesthetics, and information quality; and one subjective quality scale; which were refined into the 23-item MARS. The MARS demonstrated excellent internal consistency (alpha = .90) and interrater reliability intraclass correlation coefficient (ICC = .79). Conclusions: The MARS is a simple, objective, and reliable tool for classifying and assessing the quality of mobile health apps. It can also be used to provide a checklist for the design and development of new high quality health apps. [JMIR mHealth uHealth 2015;3(1):e27]","author":[{"dropping-particle":"","family":"Stoyanov","given":"Stoyan R","non-dropping-particle":"","parse-names":false,"suffix":""},{"dropping-particle":"","family":"Hides","given":"Leanne","non-dropping-particle":"","parse-names":false,"suffix":""},{"dropping-particle":"","family":"Kavanagh","given":"David J","non-dropping-particle":"","parse-names":false,"suffix":""},{"dropping-particle":"","family":"Zelenko","given":"Oksana","non-dropping-particle":"","parse-names":false,"suffix":""},{"dropping-particle":"","family":"Tjondronegoro","given":"Dian","non-dropping-particle":"","parse-names":false,"suffix":""},{"dropping-particle":"","family":"Mani","given":"Madhavan","non-dropping-particle":"","parse-names":false,"suffix":""}],"container-title":"JMIR mHealth and uHealth","id":"ITEM-1","issue":"1","issued":{"date-parts":[["2015"]]},"page":"e27","title":"Mobile App Rating Scale: A New Tool for Assessing the Quality of Health Mobile Apps","type":"article-journal","volume":"3"},"uris":["http://www.mendeley.com/documents/?uuid=3c4f90fc-8a87-45a4-b511-89d559bb4c46"]}],"mendeley":{"formattedCitation":"(Stoyanov &lt;i&gt;et al.&lt;/i&gt;, 2015)","plainTextFormattedCitation":"(Stoyanov et al., 2015)","previouslyFormattedCitation":"(Stoyanov &lt;i&gt;et al.&lt;/i&gt;, 2015)"},"properties":{"noteIndex":0},"schema":"https://github.com/citation-style-language/schema/raw/master/csl-citation.json"}</w:instrText>
      </w:r>
      <w:r>
        <w:fldChar w:fldCharType="separate"/>
      </w:r>
      <w:r w:rsidRPr="00B15035">
        <w:rPr>
          <w:noProof/>
        </w:rPr>
        <w:t xml:space="preserve">(Stoyanov </w:t>
      </w:r>
      <w:r w:rsidRPr="00B15035">
        <w:rPr>
          <w:i/>
          <w:noProof/>
        </w:rPr>
        <w:t>et al.</w:t>
      </w:r>
      <w:r w:rsidRPr="00B15035">
        <w:rPr>
          <w:noProof/>
        </w:rPr>
        <w:t>, 2015)</w:t>
      </w:r>
      <w:r>
        <w:fldChar w:fldCharType="end"/>
      </w:r>
      <w:r>
        <w:t xml:space="preserve">.  MARS is a scale that aims to provide researchers, clinicians and developers with a way to score digital tools based on a list of evaluation criteria </w:t>
      </w:r>
      <w:r w:rsidR="00FF45CC">
        <w:fldChar w:fldCharType="begin" w:fldLock="1"/>
      </w:r>
      <w:r w:rsidR="0040057D">
        <w:instrText>ADDIN CSL_CITATION {"citationItems":[{"id":"ITEM-1","itemData":{"DOI":"10.2196/mhealth.3422","ISBN":"2291-5222 (Electronic)12291-5222 (Linking)","ISSN":"2291-5222","PMID":"25760773","abstract":"Background: The use of mobile apps for health and well being promotion has grown exponentially in recent years. Yet, there is currently no app-quality assessment tool beyond “star”-ratings. Objective: The objective of this study was to develop a reliable, multidimensional measure for trialling, classifying, and rating the quality of mobile health apps. Methods: A literature search was conducted to identify articles containing explicit Web or app quality rating criteria published between January 2000 and January 2013. Existing criteria for the assessment of app quality were categorized by an expert panel to develop the new Mobile App Rating Scale (MARS) subscales, items, descriptors, and anchors. There were sixty well being apps that were randomly selected using an iTunes search for MARS rating. There were ten that were used to pilot the rating procedure, and the remaining 50 provided data on interrater reliability. Results: There were 372 explicit criteria for assessing Web or app quality that were extracted from 25 published papers, conference proceedings, and Internet resources. There were five broad categories of criteria that were identified including four objective quality scales: engagement, functionality, aesthetics, and information quality; and one subjective quality scale; which were refined into the 23-item MARS. The MARS demonstrated excellent internal consistency (alpha = .90) and interrater reliability intraclass correlation coefficient (ICC = .79). Conclusions: The MARS is a simple, objective, and reliable tool for classifying and assessing the quality of mobile health apps. It can also be used to provide a checklist for the design and development of new high quality health apps. [JMIR mHealth uHealth 2015;3(1):e27]","author":[{"dropping-particle":"","family":"Stoyanov","given":"Stoyan R","non-dropping-particle":"","parse-names":false,"suffix":""},{"dropping-particle":"","family":"Hides","given":"Leanne","non-dropping-particle":"","parse-names":false,"suffix":""},{"dropping-particle":"","family":"Kavanagh","given":"David J","non-dropping-particle":"","parse-names":false,"suffix":""},{"dropping-particle":"","family":"Zelenko","given":"Oksana","non-dropping-particle":"","parse-names":false,"suffix":""},{"dropping-particle":"","family":"Tjondronegoro","given":"Dian","non-dropping-particle":"","parse-names":false,"suffix":""},{"dropping-particle":"","family":"Mani","given":"Madhavan","non-dropping-particle":"","parse-names":false,"suffix":""}],"container-title":"JMIR mHealth and uHealth","id":"ITEM-1","issue":"1","issued":{"date-parts":[["2015"]]},"page":"e27","title":"Mobile App Rating Scale: A New Tool for Assessing the Quality of Health Mobile Apps","type":"article-journal","volume":"3"},"uris":["http://www.mendeley.com/documents/?uuid=3c4f90fc-8a87-45a4-b511-89d559bb4c46"]}],"mendeley":{"formattedCitation":"(Stoyanov &lt;i&gt;et al.&lt;/i&gt;, 2015)","plainTextFormattedCitation":"(Stoyanov et al., 2015)","previouslyFormattedCitation":"(Stoyanov &lt;i&gt;et al.&lt;/i&gt;, 2015)"},"properties":{"noteIndex":0},"schema":"https://github.com/citation-style-language/schema/raw/master/csl-citation.json"}</w:instrText>
      </w:r>
      <w:r w:rsidR="00FF45CC">
        <w:fldChar w:fldCharType="separate"/>
      </w:r>
      <w:r w:rsidR="00FF45CC" w:rsidRPr="00B15035">
        <w:rPr>
          <w:noProof/>
        </w:rPr>
        <w:t xml:space="preserve">(Stoyanov </w:t>
      </w:r>
      <w:r w:rsidR="00FF45CC" w:rsidRPr="00B15035">
        <w:rPr>
          <w:i/>
          <w:noProof/>
        </w:rPr>
        <w:t>et al.</w:t>
      </w:r>
      <w:r w:rsidR="00FF45CC" w:rsidRPr="00B15035">
        <w:rPr>
          <w:noProof/>
        </w:rPr>
        <w:t>, 2015)</w:t>
      </w:r>
      <w:r w:rsidR="00FF45CC">
        <w:fldChar w:fldCharType="end"/>
      </w:r>
      <w:r>
        <w:t>.  Similarly, the British Standards Institution in conjunction with Innovate UK has developed the PAS 277:20159 code of practice.  As well as helping to design new tools, the code can be used to eval</w:t>
      </w:r>
      <w:r w:rsidR="008E61EC">
        <w:t xml:space="preserve">uate existing ones </w:t>
      </w:r>
      <w:r w:rsidR="00FF45CC">
        <w:fldChar w:fldCharType="begin" w:fldLock="1"/>
      </w:r>
      <w:r w:rsidR="0040057D">
        <w:instrText>ADDIN CSL_CITATION {"citationItems":[{"id":"ITEM-1","itemData":{"DOI":"PAS 277:2015","ISBN":"978 0 580 87164 1","abstract":"The purpose of this PAS is to develop a set of principles for health and wellness app developers to follow throughout an app project life cycle, so that health care professionals, patients and the public trust their products and services. It has been developed for use in the United Kingdom. This PAS aims to encourage innovation in health care and the development of safe and effective apps that are of a high quality, and that are fit for purpose. These apps have the potential to change the way that health care is delivered in the future.","author":[{"dropping-particle":"","family":"BSI","given":"","non-dropping-particle":"","parse-names":false,"suffix":""}],"id":"ITEM-1","issued":{"date-parts":[["2015"]]},"page":"36","title":"Health and wellness apps - Quality criteria across the life cycle - Code of practice (PAS 277:2015)","type":"article-journal"},"uris":["http://www.mendeley.com/documents/?uuid=84f73af5-65c3-4e8a-9d4e-10e727f3caa6"]}],"mendeley":{"formattedCitation":"(BSI, 2015)","plainTextFormattedCitation":"(BSI, 2015)","previouslyFormattedCitation":"(BSI, 2015)"},"properties":{"noteIndex":0},"schema":"https://github.com/citation-style-language/schema/raw/master/csl-citation.json"}</w:instrText>
      </w:r>
      <w:r w:rsidR="00FF45CC">
        <w:fldChar w:fldCharType="separate"/>
      </w:r>
      <w:r w:rsidR="00FF45CC" w:rsidRPr="00936F62">
        <w:rPr>
          <w:noProof/>
        </w:rPr>
        <w:t>(BSI, 2015)</w:t>
      </w:r>
      <w:r w:rsidR="00FF45CC">
        <w:fldChar w:fldCharType="end"/>
      </w:r>
      <w:r w:rsidR="008E61EC">
        <w:t>.</w:t>
      </w:r>
    </w:p>
    <w:p w14:paraId="10F6A4DE" w14:textId="3F9994A3" w:rsidR="00E30483" w:rsidRDefault="00E30483" w:rsidP="00E30483">
      <w:r>
        <w:t xml:space="preserve">In October 2017, Public Health England (PHE) released a health app assessment process developed to encourage the creation of </w:t>
      </w:r>
      <w:r w:rsidRPr="007039D3">
        <w:rPr>
          <w:noProof/>
        </w:rPr>
        <w:t>effective</w:t>
      </w:r>
      <w:r>
        <w:t xml:space="preserve"> health apps and to enable health professionals to consider health apps for use in General Practice </w:t>
      </w:r>
      <w:r w:rsidR="00FF45CC">
        <w:fldChar w:fldCharType="begin" w:fldLock="1"/>
      </w:r>
      <w:r w:rsidR="0040057D">
        <w:instrText>ADDIN CSL_CITATION {"citationItems":[{"id":"ITEM-1","itemData":{"URL":"https://www.gov.uk/government/collections/health-app-development-creating-apps-for-health-professionals","accessed":{"date-parts":[["2018","2","10"]]},"author":[{"dropping-particle":"","family":"Public Health England","given":"","non-dropping-particle":"","parse-names":false,"suffix":""}],"container-title":"gov.uk","id":"ITEM-1","issued":{"date-parts":[["2017"]]},"title":"Health app development: the app assessment process","type":"webpage"},"uris":["http://www.mendeley.com/documents/?uuid=18ca23aa-a20e-491e-9065-915500e551db"]}],"mendeley":{"formattedCitation":"(Public Health England, 2017)","plainTextFormattedCitation":"(Public Health England, 2017)","previouslyFormattedCitation":"(Public Health England, 2017)"},"properties":{"noteIndex":0},"schema":"https://github.com/citation-style-language/schema/raw/master/csl-citation.json"}</w:instrText>
      </w:r>
      <w:r w:rsidR="00FF45CC">
        <w:fldChar w:fldCharType="separate"/>
      </w:r>
      <w:r w:rsidR="00FF45CC" w:rsidRPr="00221F42">
        <w:rPr>
          <w:noProof/>
        </w:rPr>
        <w:t>(Public Health England, 2017)</w:t>
      </w:r>
      <w:r w:rsidR="00FF45CC">
        <w:fldChar w:fldCharType="end"/>
      </w:r>
      <w:r w:rsidR="00884BB8">
        <w:t xml:space="preserve">. </w:t>
      </w:r>
      <w:r>
        <w:t xml:space="preserve"> The process covered eight different areas: evidence of effectiveness; regulatory approval; clinical safety; privacy and confidentiality; security; usability and accessibility; interoperability; and </w:t>
      </w:r>
      <w:r w:rsidR="00A34673">
        <w:t>finally,</w:t>
      </w:r>
      <w:r>
        <w:t xml:space="preserve"> </w:t>
      </w:r>
      <w:r w:rsidRPr="007039D3">
        <w:rPr>
          <w:noProof/>
        </w:rPr>
        <w:t>technical</w:t>
      </w:r>
      <w:r>
        <w:t xml:space="preserve"> stability.</w:t>
      </w:r>
    </w:p>
    <w:p w14:paraId="611FA0BA" w14:textId="77777777" w:rsidR="00E30483" w:rsidRPr="00657DB6" w:rsidRDefault="00E30483" w:rsidP="00E30483">
      <w:pPr>
        <w:pStyle w:val="Heading3"/>
      </w:pPr>
      <w:bookmarkStart w:id="140" w:name="_Toc530598123"/>
      <w:bookmarkStart w:id="141" w:name="_Toc530660476"/>
      <w:bookmarkStart w:id="142" w:name="_Toc3538077"/>
      <w:r w:rsidRPr="00657DB6">
        <w:t>The Current Study</w:t>
      </w:r>
      <w:bookmarkEnd w:id="140"/>
      <w:bookmarkEnd w:id="141"/>
      <w:bookmarkEnd w:id="142"/>
    </w:p>
    <w:p w14:paraId="1565F5BC" w14:textId="76F7FC91" w:rsidR="00E30483" w:rsidRDefault="00E30483" w:rsidP="00E30483">
      <w:r>
        <w:t xml:space="preserve">It is apparent that the landscape for assessing apps is complex and ever-changing.  The aim of the present chapter is to examine the quality of apps in use by the NHS by examining the manner in which they have been developed.  </w:t>
      </w:r>
      <w:r w:rsidRPr="00A84C77">
        <w:t xml:space="preserve">The majority of existing app review methods focus on the technical rules and regulations of app design, and neglect or ignore entirely the question of whether the </w:t>
      </w:r>
      <w:r w:rsidRPr="00DE4004">
        <w:rPr>
          <w:noProof/>
        </w:rPr>
        <w:t>actual</w:t>
      </w:r>
      <w:r w:rsidRPr="00A84C77">
        <w:t xml:space="preserve"> app does what it says and meets the claims its</w:t>
      </w:r>
      <w:r>
        <w:t xml:space="preserve"> developers make for it.  This is clearly a problem when dealing with apps that promise to improve the physical or mental health of their users.  In an ideal world, before being released for general </w:t>
      </w:r>
      <w:r w:rsidRPr="00DE4004">
        <w:rPr>
          <w:noProof/>
        </w:rPr>
        <w:t>use</w:t>
      </w:r>
      <w:r>
        <w:rPr>
          <w:noProof/>
        </w:rPr>
        <w:t>,</w:t>
      </w:r>
      <w:r>
        <w:t xml:space="preserve"> every app would have undergone rigorous user trials that demonstrated its effectiveness.  However, rigorous trials are a </w:t>
      </w:r>
      <w:r>
        <w:rPr>
          <w:noProof/>
        </w:rPr>
        <w:lastRenderedPageBreak/>
        <w:t>costly and challenging</w:t>
      </w:r>
      <w:r>
        <w:t xml:space="preserve"> business, and current models of app development and publishing seem to encourage ‘less rigorous’ approaches.  Here, in an attempt to gauge the quality of existing apps as providers of therapy without performing user trials on each and every one, we have adopted the approach of probing more deeply into the processes employed in their development.  More specifically, we are interested in the psychological model, theories, or therapies used, the extent of clinical and academic involvement, and any published (or otherwise) evidence in support of each app.  The developers of each of the apps identified in </w:t>
      </w:r>
      <w:r w:rsidR="004C4A0A">
        <w:t>C</w:t>
      </w:r>
      <w:r>
        <w:t xml:space="preserve">hapter </w:t>
      </w:r>
      <w:r w:rsidR="004C4A0A">
        <w:t>two</w:t>
      </w:r>
      <w:r>
        <w:t xml:space="preserve"> were contacted and asked to provide the relevant details.  Note that this work predates the publication of the assessment tools described above. </w:t>
      </w:r>
      <w:r w:rsidR="00DA176D">
        <w:t xml:space="preserve"> </w:t>
      </w:r>
      <w:r>
        <w:t xml:space="preserve">Were this </w:t>
      </w:r>
      <w:r w:rsidR="008D5CFF">
        <w:t>study to</w:t>
      </w:r>
      <w:r>
        <w:t xml:space="preserve"> be repeated now, it is likely that the work would hav</w:t>
      </w:r>
      <w:r w:rsidR="00DA176D">
        <w:t>e been informed by those tools.</w:t>
      </w:r>
    </w:p>
    <w:p w14:paraId="0390F1EF" w14:textId="6A2F86C0" w:rsidR="00E30483" w:rsidRDefault="00E30483" w:rsidP="00E30483">
      <w:pPr>
        <w:pStyle w:val="Heading3"/>
      </w:pPr>
      <w:bookmarkStart w:id="143" w:name="_Toc530598124"/>
      <w:bookmarkStart w:id="144" w:name="_Toc530660477"/>
      <w:bookmarkStart w:id="145" w:name="_Toc3538078"/>
      <w:r>
        <w:t xml:space="preserve">Important </w:t>
      </w:r>
      <w:r w:rsidR="00D34985">
        <w:t>I</w:t>
      </w:r>
      <w:r>
        <w:t xml:space="preserve">ndicators of </w:t>
      </w:r>
      <w:r w:rsidR="00D34985">
        <w:t>Q</w:t>
      </w:r>
      <w:r>
        <w:t>uality</w:t>
      </w:r>
      <w:bookmarkEnd w:id="143"/>
      <w:bookmarkEnd w:id="144"/>
      <w:bookmarkEnd w:id="145"/>
    </w:p>
    <w:p w14:paraId="6A9E1FFC" w14:textId="77777777" w:rsidR="00E30483" w:rsidRDefault="00E30483" w:rsidP="00E30483">
      <w:r>
        <w:t>The purpose of this chapter is to evaluate the apps that were in use or recommended by the NHS at the time of writing.  We were specifically interested in the following four indicators of quality, for the reasons that are outlined below.</w:t>
      </w:r>
    </w:p>
    <w:p w14:paraId="4F3DEF4C" w14:textId="35BDCAAC" w:rsidR="00E30483" w:rsidRDefault="00E30483" w:rsidP="00E30483">
      <w:pPr>
        <w:pStyle w:val="Heading4"/>
      </w:pPr>
      <w:r>
        <w:t xml:space="preserve">Clinician </w:t>
      </w:r>
      <w:r w:rsidR="00D34985">
        <w:t>I</w:t>
      </w:r>
      <w:r>
        <w:t xml:space="preserve">nvolvement </w:t>
      </w:r>
    </w:p>
    <w:p w14:paraId="16120DE7" w14:textId="6AA57DB5" w:rsidR="00E30483" w:rsidRDefault="00E30483" w:rsidP="00E30483">
      <w:r>
        <w:t xml:space="preserve">Healthcare staff routinely use apps to perform their roles </w:t>
      </w:r>
      <w:r w:rsidR="003E44DA">
        <w:fldChar w:fldCharType="begin" w:fldLock="1"/>
      </w:r>
      <w:r w:rsidR="003E44DA">
        <w:instrText>ADDIN CSL_CITATION {"citationItems":[{"id":"ITEM-1","itemData":{"DOI":"10.1136/postgradmedj-2013-131930","ISSN":"0032-5473","PMID":"24243966","abstract":"PURPOSE OF THE STUDY Smartphone use among healthcare professionals has become widespread and will continue to grow in the coming years. STUDY DESIGN In October 2012, a survey was distributed to 230 interns at two of the national intern training networks in the Republic of Ireland, asking how they used smartphones to carry out their clinical work. RESULTS It was found that out of 108 interns (47.0% response rate, 108/230), 94.4% (102/108) owned a smartphone. Of those respondents who owned a smartphone, on at least a daily basis for the purposes of work, 83.3% (85/102) made or received phone calls, 87.2% (89/102) sent or received texts, and 41.2% (42/102) sent or received emails on their smartphone. A total of 52.9% (54/102) had used their smartphone to take a work related picture. The most commonly used app was the British National Formulary. It was used daily by 30.4% (31/102) of respondents with a smartphone. The most commonly used website was Wikipedia. It was accessed at least weekly by 38.2% (39/102) of respondents with a smartphone. CONCLUSIONS Smartphones are used by the majority of interns on a daily basis in order to perform their job. As such, there is a need for guidance on how patient information can be safely secured and transmitted using smartphones, their appropriate use, and any restrictions on the use of these devices in certain clinical settings. For interns in particular, advice is needed on the credibility of medical apps and websites.","author":[{"dropping-particle":"","family":"O'Connor","given":"P","non-dropping-particle":"","parse-names":false,"suffix":""},{"dropping-particle":"","family":"Byrne","given":"D","non-dropping-particle":"","parse-names":false,"suffix":""},{"dropping-particle":"","family":"Butt","given":"M","non-dropping-particle":"","parse-names":false,"suffix":""},{"dropping-particle":"","family":"Offiah","given":"G","non-dropping-particle":"","parse-names":false,"suffix":""},{"dropping-particle":"","family":"Lydon","given":"S","non-dropping-particle":"","parse-names":false,"suffix":""},{"dropping-particle":"","family":"Mc Inerney","given":"K","non-dropping-particle":"","parse-names":false,"suffix":""},{"dropping-particle":"","family":"Stewart","given":"Brian","non-dropping-particle":"","parse-names":false,"suffix":""},{"dropping-particle":"","family":"Kerin","given":"M J","non-dropping-particle":"","parse-names":false,"suffix":""}],"container-title":"Postgraduate Medical Journal","id":"ITEM-1","issue":"1060","issued":{"date-parts":[["2014","2"]]},"page":"75-79","title":"Interns and their smartphones: use for clinical practice","type":"article-journal","volume":"90"},"uris":["http://www.mendeley.com/documents/?uuid=3da6266b-e967-39e9-a459-60b33e8e4dcf"]}],"mendeley":{"formattedCitation":"(O’Connor &lt;i&gt;et al.&lt;/i&gt;, 2014)","plainTextFormattedCitation":"(O’Connor et al., 2014)","previouslyFormattedCitation":"(O’Connor &lt;i&gt;et al.&lt;/i&gt;, 2014)"},"properties":{"noteIndex":0},"schema":"https://github.com/citation-style-language/schema/raw/master/csl-citation.json"}</w:instrText>
      </w:r>
      <w:r w:rsidR="003E44DA">
        <w:fldChar w:fldCharType="separate"/>
      </w:r>
      <w:r w:rsidR="003E44DA" w:rsidRPr="003E44DA">
        <w:rPr>
          <w:noProof/>
        </w:rPr>
        <w:t xml:space="preserve">(O’Connor </w:t>
      </w:r>
      <w:r w:rsidR="003E44DA" w:rsidRPr="003E44DA">
        <w:rPr>
          <w:i/>
          <w:noProof/>
        </w:rPr>
        <w:t>et al.</w:t>
      </w:r>
      <w:r w:rsidR="003E44DA" w:rsidRPr="003E44DA">
        <w:rPr>
          <w:noProof/>
        </w:rPr>
        <w:t>, 2014)</w:t>
      </w:r>
      <w:r w:rsidR="003E44DA">
        <w:fldChar w:fldCharType="end"/>
      </w:r>
      <w:r>
        <w:t xml:space="preserve">. </w:t>
      </w:r>
      <w:r w:rsidR="004525DB">
        <w:t xml:space="preserve"> </w:t>
      </w:r>
      <w:r>
        <w:t xml:space="preserve">This makes it </w:t>
      </w:r>
      <w:r>
        <w:rPr>
          <w:noProof/>
        </w:rPr>
        <w:t>essential</w:t>
      </w:r>
      <w:r>
        <w:t xml:space="preserve"> that the information </w:t>
      </w:r>
      <w:r w:rsidRPr="00DE4004">
        <w:rPr>
          <w:noProof/>
        </w:rPr>
        <w:t>given</w:t>
      </w:r>
      <w:r>
        <w:t xml:space="preserve"> in these apps be grounded in the best and most up-to-date knowledge, derived from research, clinical experience and patient preference</w:t>
      </w:r>
      <w:r w:rsidR="003E44DA">
        <w:t xml:space="preserve"> </w:t>
      </w:r>
      <w:r w:rsidR="003E44DA">
        <w:fldChar w:fldCharType="begin" w:fldLock="1"/>
      </w:r>
      <w:r w:rsidR="003E44DA">
        <w:instrText>ADDIN CSL_CITATION {"citationItems":[{"id":"ITEM-1","itemData":{"URL":"https://developer.nhs.uk/digital-tools/daq/","accessed":{"date-parts":[["2018","2","19"]]},"author":[{"dropping-particle":"","family":"NHS Digital","given":"","non-dropping-particle":"","parse-names":false,"suffix":""}],"id":"ITEM-1","issued":{"date-parts":[["2017"]]},"title":"Digital Assessment Questions - Beta","type":"webpage"},"uris":["http://www.mendeley.com/documents/?uuid=b6095058-bd1b-3afd-8a14-c375735cc827"]}],"mendeley":{"formattedCitation":"(NHS Digital, 2017a)","manualFormatting":"(NHS Digital, 2017)","plainTextFormattedCitation":"(NHS Digital, 2017a)","previouslyFormattedCitation":"(NHS Digital, 2017a)"},"properties":{"noteIndex":0},"schema":"https://github.com/citation-style-language/schema/raw/master/csl-citation.json"}</w:instrText>
      </w:r>
      <w:r w:rsidR="003E44DA">
        <w:fldChar w:fldCharType="separate"/>
      </w:r>
      <w:r w:rsidR="003E44DA" w:rsidRPr="00451BBB">
        <w:rPr>
          <w:noProof/>
        </w:rPr>
        <w:t>(</w:t>
      </w:r>
      <w:r w:rsidR="003E44DA">
        <w:rPr>
          <w:noProof/>
        </w:rPr>
        <w:t xml:space="preserve">NHS Digital, </w:t>
      </w:r>
      <w:r w:rsidR="003E44DA" w:rsidRPr="00451BBB">
        <w:rPr>
          <w:noProof/>
        </w:rPr>
        <w:t>2017)</w:t>
      </w:r>
      <w:r w:rsidR="003E44DA">
        <w:fldChar w:fldCharType="end"/>
      </w:r>
      <w:r>
        <w:t xml:space="preserve">.  Unfortunately, many app stores do not carry out rigorous reviews regarding the accuracy of app content before publication, meaning some apps potentially have inaccurate information </w:t>
      </w:r>
      <w:r w:rsidR="00D67743" w:rsidRPr="00E870E9">
        <w:fldChar w:fldCharType="begin" w:fldLock="1"/>
      </w:r>
      <w:r w:rsidR="00D67743">
        <w:instrText>ADDIN CSL_CITATION {"citationItems":[{"id":"ITEM-1","itemData":{"DOI":"10.1186/1741-7015-10-46","ISSN":"1741-7015","PMID":"22569114","abstract":"In July 2011, the United States Food and Drug Administration issued draft guidance concerning the regulation of mobile medical applications (applications on a wireless device that are used as accessories to medical devices or to convert a mobile platform to a medical device). While the suggestion of regulation is rooted in patient safety, concerns about limits on innovation and discovery as well as the evolving nature of both mobile health and current healthcare delivery have emerged. This article discusses the prevalence of mobile health, the context of regulation concerning mobile medical applications, and implications for the future.","author":[{"dropping-particle":"","family":"Barton","given":"Amy J","non-dropping-particle":"","parse-names":false,"suffix":""}],"container-title":"BMC medicine","id":"ITEM-1","issued":{"date-parts":[["2012","5","8"]]},"page":"46","publisher":"BioMed Central","title":"The regulation of mobile health applications.","type":"article-journal","volume":"10"},"uris":["http://www.mendeley.com/documents/?uuid=4e068de9-16be-39e6-a831-e298a3204b63"]}],"mendeley":{"formattedCitation":"(Barton, 2012)","plainTextFormattedCitation":"(Barton, 2012)","previouslyFormattedCitation":"(Barton, 2012)"},"properties":{"noteIndex":0},"schema":"https://github.com/citation-style-language/schema/raw/master/csl-citation.json"}</w:instrText>
      </w:r>
      <w:r w:rsidR="00D67743" w:rsidRPr="00E870E9">
        <w:fldChar w:fldCharType="separate"/>
      </w:r>
      <w:r w:rsidR="00D67743" w:rsidRPr="00E870E9">
        <w:rPr>
          <w:noProof/>
        </w:rPr>
        <w:t>(Barton, 2012)</w:t>
      </w:r>
      <w:r w:rsidR="00D67743" w:rsidRPr="00E870E9">
        <w:fldChar w:fldCharType="end"/>
      </w:r>
      <w:r>
        <w:t>.</w:t>
      </w:r>
      <w:r w:rsidR="004525DB">
        <w:t xml:space="preserve"> </w:t>
      </w:r>
      <w:r>
        <w:t xml:space="preserve"> </w:t>
      </w:r>
      <w:r w:rsidR="00D67743" w:rsidRPr="00D67743">
        <w:rPr>
          <w:noProof/>
        </w:rPr>
        <w:t>Hamilton and Brady</w:t>
      </w:r>
      <w:r w:rsidR="00D67743">
        <w:t xml:space="preserve"> </w:t>
      </w:r>
      <w:r w:rsidR="00D67743">
        <w:fldChar w:fldCharType="begin" w:fldLock="1"/>
      </w:r>
      <w:r w:rsidR="00D67743">
        <w:instrText>ADDIN CSL_CITATION {"citationItems":[{"id":"ITEM-1","itemData":{"DOI":"10.1111/j.1365-2133.2012.10844.x","ISSN":"00070963","author":[{"dropping-particle":"","family":"Hamilton","given":"A.D.","non-dropping-particle":"","parse-names":false,"suffix":""},{"dropping-particle":"","family":"Brady","given":"R.R.W.","non-dropping-particle":"","parse-names":false,"suffix":""}],"container-title":"British Journal of Dermatology","id":"ITEM-1","issue":"1","issued":{"date-parts":[["2012","7","1"]]},"page":"220-221","publisher":"Blackwell Publishing Ltd","title":"Medical professional involvement in smartphone ‘apps’ in dermatology","type":"article-journal","volume":"167"},"uris":["http://www.mendeley.com/documents/?uuid=34e6ac4b-ac1e-30cb-9c4f-638629a3dbca"]}],"mendeley":{"formattedCitation":"(Hamilton and Brady, 2012)","manualFormatting":"(2012)","plainTextFormattedCitation":"(Hamilton and Brady, 2012)","previouslyFormattedCitation":"(Hamilton and Brady, 2012)"},"properties":{"noteIndex":0},"schema":"https://github.com/citation-style-language/schema/raw/master/csl-citation.json"}</w:instrText>
      </w:r>
      <w:r w:rsidR="00D67743">
        <w:fldChar w:fldCharType="separate"/>
      </w:r>
      <w:r w:rsidR="00D67743" w:rsidRPr="00D67743">
        <w:rPr>
          <w:noProof/>
        </w:rPr>
        <w:t>(2012)</w:t>
      </w:r>
      <w:r w:rsidR="00D67743">
        <w:fldChar w:fldCharType="end"/>
      </w:r>
      <w:r>
        <w:t xml:space="preserve"> and</w:t>
      </w:r>
      <w:r w:rsidR="00D67743">
        <w:t xml:space="preserve"> </w:t>
      </w:r>
      <w:r w:rsidR="00D67743" w:rsidRPr="00D67743">
        <w:rPr>
          <w:noProof/>
        </w:rPr>
        <w:t>O’Neill and Brady</w:t>
      </w:r>
      <w:r w:rsidR="00D67743">
        <w:t xml:space="preserve"> (</w:t>
      </w:r>
      <w:r w:rsidR="00D67743">
        <w:fldChar w:fldCharType="begin" w:fldLock="1"/>
      </w:r>
      <w:r w:rsidR="00ED244F">
        <w:instrText>ADDIN CSL_CITATION {"citationItems":[{"id":"ITEM-1","itemData":{"DOI":"10.1111/j.1463-1318.2012.03088.x","ISSN":"14628910","author":[{"dropping-particle":"","family":"O’Neill","given":"S.","non-dropping-particle":"","parse-names":false,"suffix":""},{"dropping-particle":"","family":"Brady","given":"R. R. W.","non-dropping-particle":"","parse-names":false,"suffix":""}],"container-title":"Colorectal Disease","id":"ITEM-1","issue":"9","issued":{"date-parts":[["2012","9","1"]]},"page":"e530-e534","publisher":"Blackwell Publishing Ltd","title":"Colorectal smartphone apps: opportunities and risks","type":"article-journal","volume":"14"},"uris":["http://www.mendeley.com/documents/?uuid=3207e434-50c9-37b7-af8c-7c3f4e84ac0f"]}],"mendeley":{"formattedCitation":"(O’Neill and Brady, 2012)","manualFormatting":"2012)","plainTextFormattedCitation":"(O’Neill and Brady, 2012)","previouslyFormattedCitation":"(O’Neill and Brady, 2012)"},"properties":{"noteIndex":0},"schema":"https://github.com/citation-style-language/schema/raw/master/csl-citation.json"}</w:instrText>
      </w:r>
      <w:r w:rsidR="00D67743">
        <w:fldChar w:fldCharType="separate"/>
      </w:r>
      <w:r w:rsidR="00D67743" w:rsidRPr="00D67743">
        <w:rPr>
          <w:noProof/>
        </w:rPr>
        <w:t>2012)</w:t>
      </w:r>
      <w:r w:rsidR="00D67743">
        <w:fldChar w:fldCharType="end"/>
      </w:r>
      <w:r w:rsidR="00D67743">
        <w:t xml:space="preserve"> </w:t>
      </w:r>
      <w:r>
        <w:t xml:space="preserve">highlight that when assessing digital mental health </w:t>
      </w:r>
      <w:r w:rsidR="008D5CFF">
        <w:t>apps,</w:t>
      </w:r>
      <w:r>
        <w:t xml:space="preserve"> it is important to assess whether clinicians have been involved in the development process. </w:t>
      </w:r>
      <w:r w:rsidR="0055410C">
        <w:t xml:space="preserve"> </w:t>
      </w:r>
      <w:r>
        <w:t>This is because clinician involvement can help to ensure that any established modes of treatment are appropriately deployed within the app.</w:t>
      </w:r>
      <w:r w:rsidR="004525DB">
        <w:t xml:space="preserve"> </w:t>
      </w:r>
      <w:r>
        <w:t xml:space="preserve"> For instance, an app based on CBT but made by someone who is not qualified to deliver CBT may fail to give an accurate implementation, involving a clinician who specialises in CBT would improve the accountability of app content.</w:t>
      </w:r>
    </w:p>
    <w:p w14:paraId="4DAC21D9" w14:textId="3A1DFACA" w:rsidR="00E30483" w:rsidRPr="00657DB6" w:rsidRDefault="00E30483" w:rsidP="00E30483">
      <w:pPr>
        <w:pStyle w:val="Heading4"/>
      </w:pPr>
      <w:r w:rsidRPr="00657DB6">
        <w:t xml:space="preserve">Academic </w:t>
      </w:r>
      <w:r w:rsidR="00D34985">
        <w:t>I</w:t>
      </w:r>
      <w:r w:rsidRPr="00657DB6">
        <w:t xml:space="preserve">nvolvement </w:t>
      </w:r>
    </w:p>
    <w:p w14:paraId="5F9B4DE2" w14:textId="77777777" w:rsidR="00E30483" w:rsidRDefault="00E30483" w:rsidP="00E30483">
      <w:r>
        <w:t xml:space="preserve">Academic involvement in the process of developing an app can help to ensure the implementation of </w:t>
      </w:r>
      <w:r>
        <w:rPr>
          <w:highlight w:val="white"/>
        </w:rPr>
        <w:t>empirically supported interventions and principles, providing a foundation for an app’s use in clinical practice.</w:t>
      </w:r>
      <w:r>
        <w:t xml:space="preserve">  Responsible academics strive to bring neutrality and remove bias, to expose the app to </w:t>
      </w:r>
      <w:proofErr w:type="gramStart"/>
      <w:r>
        <w:t>peer</w:t>
      </w:r>
      <w:proofErr w:type="gramEnd"/>
      <w:r>
        <w:t xml:space="preserve"> review and publish evidence of an app’s feasibility, acceptability and clinical effectiveness</w:t>
      </w:r>
      <w:r>
        <w:rPr>
          <w:highlight w:val="white"/>
        </w:rPr>
        <w:t>.</w:t>
      </w:r>
    </w:p>
    <w:p w14:paraId="6407BEF3" w14:textId="69D47C5E" w:rsidR="00E30483" w:rsidRDefault="00E30483" w:rsidP="00E30483">
      <w:r>
        <w:t xml:space="preserve">As mentioned previously it is </w:t>
      </w:r>
      <w:r>
        <w:rPr>
          <w:noProof/>
        </w:rPr>
        <w:t>essential</w:t>
      </w:r>
      <w:r>
        <w:t xml:space="preserve"> that an app can show evidence of its effectiveness.  In PHE’s app assessment process, developers must provide evidence that their app improves outcomes for patients and users; provides value for money; meets user needs and is stable and simple to use, and that people use it.  Independent research is weighted highly in the assessment criteria, and apps that have a high level of clinical evidence are considered by NICE for “NICE evaluated” status.  This status is considered to represent the gold standard for NHS health apps.  In addition to this, all apps are required to show that they meet the </w:t>
      </w:r>
      <w:r w:rsidRPr="00DE4004">
        <w:rPr>
          <w:noProof/>
        </w:rPr>
        <w:t>criterion</w:t>
      </w:r>
      <w:r>
        <w:t xml:space="preserve"> </w:t>
      </w:r>
      <w:r>
        <w:lastRenderedPageBreak/>
        <w:t xml:space="preserve">set out by </w:t>
      </w:r>
      <w:r w:rsidR="00835A73" w:rsidRPr="00E870E9">
        <w:t xml:space="preserve">NHS Digital </w:t>
      </w:r>
      <w:r w:rsidR="00835A73" w:rsidRPr="00E870E9">
        <w:fldChar w:fldCharType="begin" w:fldLock="1"/>
      </w:r>
      <w:r w:rsidR="00ED244F">
        <w:instrText>ADDIN CSL_CITATION {"citationItems":[{"id":"ITEM-1","itemData":{"URL":"https://developer.nhs.uk/digital-tools/daq/","accessed":{"date-parts":[["2018","2","19"]]},"author":[{"dropping-particle":"","family":"NHS Digital","given":"","non-dropping-particle":"","parse-names":false,"suffix":""}],"id":"ITEM-1","issued":{"date-parts":[["2017"]]},"title":"Digital Assessment Questions - Beta","type":"webpage"},"uris":["http://www.mendeley.com/documents/?uuid=b6095058-bd1b-3afd-8a14-c375735cc827"]}],"mendeley":{"formattedCitation":"(NHS Digital, 2017a)","manualFormatting":"(2017)","plainTextFormattedCitation":"(NHS Digital, 2017a)","previouslyFormattedCitation":"(NHS Digital, 2017a)"},"properties":{"noteIndex":0},"schema":"https://github.com/citation-style-language/schema/raw/master/csl-citation.json"}</w:instrText>
      </w:r>
      <w:r w:rsidR="00835A73" w:rsidRPr="00E870E9">
        <w:fldChar w:fldCharType="separate"/>
      </w:r>
      <w:r w:rsidR="00835A73" w:rsidRPr="00E870E9">
        <w:rPr>
          <w:noProof/>
        </w:rPr>
        <w:t>(2017)</w:t>
      </w:r>
      <w:r w:rsidR="00835A73" w:rsidRPr="00E870E9">
        <w:fldChar w:fldCharType="end"/>
      </w:r>
      <w:r w:rsidR="00835A73">
        <w:t xml:space="preserve"> </w:t>
      </w:r>
      <w:r>
        <w:t>covering: clarity of purpose and intended use; their evidence basis; the data that forms the basis their evidence and findings; any published academic studies.</w:t>
      </w:r>
      <w:r w:rsidR="004525DB">
        <w:t xml:space="preserve"> </w:t>
      </w:r>
      <w:r>
        <w:t xml:space="preserve"> The involvement of academics in the development of an app can be helpful in ensuring that data are collected in a manner that makes it possible to evaluate effectiveness, although it is also important that evaluation is conducted by researchers independent of the app, without a personal interest in the results.</w:t>
      </w:r>
    </w:p>
    <w:p w14:paraId="1835670B" w14:textId="1D8644F1" w:rsidR="00E30483" w:rsidRDefault="00E30483" w:rsidP="00E30483">
      <w:pPr>
        <w:pStyle w:val="Heading4"/>
      </w:pPr>
      <w:r>
        <w:t xml:space="preserve">Research </w:t>
      </w:r>
      <w:r w:rsidR="00D34985">
        <w:t>E</w:t>
      </w:r>
      <w:r>
        <w:t xml:space="preserve">vidence / </w:t>
      </w:r>
      <w:r w:rsidR="00D34985">
        <w:t>O</w:t>
      </w:r>
      <w:r>
        <w:t xml:space="preserve">ther </w:t>
      </w:r>
      <w:r w:rsidR="00D34985">
        <w:t>E</w:t>
      </w:r>
      <w:r>
        <w:t>vidence</w:t>
      </w:r>
    </w:p>
    <w:p w14:paraId="53BEC0A6" w14:textId="30D57846" w:rsidR="00E30483" w:rsidRDefault="00E30483" w:rsidP="00E30483">
      <w:r>
        <w:t>While RCTs are the gold standard, it is not expected that all apps will have published research evidence at the time of writing in part due to the rapid pace of change and the unwieldy nature of conducting RCTs.  However, there might be other forms of evidence that can indicate whether an app may be beneficial to a patient.  This evidence may take different forms such as practice-based evidence methodologies (e.g. detailed case series) that assess the acceptability, feasibility and initial effectiveness of an app and may a</w:t>
      </w:r>
      <w:r w:rsidR="0055410C">
        <w:t>lso include early pilot trials.</w:t>
      </w:r>
    </w:p>
    <w:p w14:paraId="57F18E39" w14:textId="28402ECF" w:rsidR="00E30483" w:rsidRDefault="00E30483" w:rsidP="00E30483">
      <w:pPr>
        <w:pStyle w:val="Heading4"/>
      </w:pPr>
      <w:r>
        <w:t xml:space="preserve">Specific </w:t>
      </w:r>
      <w:r w:rsidR="003C58A2">
        <w:t>P</w:t>
      </w:r>
      <w:r>
        <w:t xml:space="preserve">sychological </w:t>
      </w:r>
      <w:r w:rsidR="003C58A2">
        <w:t>A</w:t>
      </w:r>
      <w:r>
        <w:t xml:space="preserve">pproach or </w:t>
      </w:r>
      <w:r w:rsidR="003C58A2">
        <w:t>T</w:t>
      </w:r>
      <w:r>
        <w:t xml:space="preserve">heory / </w:t>
      </w:r>
      <w:r w:rsidR="003C58A2">
        <w:t>S</w:t>
      </w:r>
      <w:r>
        <w:t xml:space="preserve">et of </w:t>
      </w:r>
      <w:r w:rsidR="003C58A2">
        <w:t>T</w:t>
      </w:r>
      <w:r>
        <w:t xml:space="preserve">echniques / </w:t>
      </w:r>
      <w:r w:rsidR="003C58A2">
        <w:t>T</w:t>
      </w:r>
      <w:r>
        <w:t>herapy</w:t>
      </w:r>
    </w:p>
    <w:p w14:paraId="68EA0C74" w14:textId="17B40668" w:rsidR="00E30483" w:rsidRDefault="00E30483" w:rsidP="00E30483">
      <w:r>
        <w:t xml:space="preserve">Apps claiming to help with mental health problems such as depression, anxiety or stress would be expected to use established approaches to treatment that have been found to be </w:t>
      </w:r>
      <w:r w:rsidRPr="007039D3">
        <w:rPr>
          <w:noProof/>
        </w:rPr>
        <w:t>effective</w:t>
      </w:r>
      <w:r>
        <w:t xml:space="preserve"> in the real world.  The psychological therapies that are designated by NICE regardless of </w:t>
      </w:r>
      <w:r w:rsidRPr="00DE4004">
        <w:rPr>
          <w:noProof/>
        </w:rPr>
        <w:t>disorder</w:t>
      </w:r>
      <w:r>
        <w:t xml:space="preserve"> are all underpinned by a clinical theory.  The risk of not having an organising theoretical framework for an app is that the change techniques that are used may be cherry-picked by developers on the basis of inappropriate criteria (e.g. selecting techniques that can be gamified easily rather than those that are most effective) and so lack theoretical coherence and consistency.</w:t>
      </w:r>
    </w:p>
    <w:p w14:paraId="75EC9F9F" w14:textId="06111AF6" w:rsidR="00E30483" w:rsidRDefault="00E30483" w:rsidP="00E30483">
      <w:pPr>
        <w:pStyle w:val="Heading3"/>
      </w:pPr>
      <w:bookmarkStart w:id="146" w:name="_Toc530598125"/>
      <w:bookmarkStart w:id="147" w:name="_Toc530660478"/>
      <w:bookmarkStart w:id="148" w:name="_Toc3538079"/>
      <w:r>
        <w:t xml:space="preserve">Using </w:t>
      </w:r>
      <w:r w:rsidR="00D34985">
        <w:t>I</w:t>
      </w:r>
      <w:r>
        <w:t xml:space="preserve">ndicators of </w:t>
      </w:r>
      <w:r w:rsidR="00D34985">
        <w:t>Q</w:t>
      </w:r>
      <w:r>
        <w:t xml:space="preserve">uality to </w:t>
      </w:r>
      <w:r w:rsidR="00D34985">
        <w:t>E</w:t>
      </w:r>
      <w:r>
        <w:t xml:space="preserve">valuate </w:t>
      </w:r>
      <w:r w:rsidR="00D34985">
        <w:t>A</w:t>
      </w:r>
      <w:r>
        <w:t>pps</w:t>
      </w:r>
      <w:bookmarkEnd w:id="146"/>
      <w:bookmarkEnd w:id="147"/>
      <w:bookmarkEnd w:id="148"/>
    </w:p>
    <w:p w14:paraId="11B47CAB" w14:textId="167B4425" w:rsidR="00E30483" w:rsidRDefault="00E30483" w:rsidP="00E30483">
      <w:r>
        <w:t>If we accept the premise that effective psychotherapeutic interventions only come about as the result of rigorous theoretical and empirical work by experienced clinicians and academics, it follows that apps need clinician and academic involvement, psychological theory and research/other data to support their effectiveness.</w:t>
      </w:r>
      <w:r w:rsidR="0055410C">
        <w:t xml:space="preserve"> </w:t>
      </w:r>
      <w:r>
        <w:t xml:space="preserve"> The NHS e-therapies identified in the previous chapter have not been examined for compliance with any of these indicators of quality.</w:t>
      </w:r>
    </w:p>
    <w:p w14:paraId="541F60CB" w14:textId="7066789A" w:rsidR="00E30483" w:rsidRDefault="00E30483" w:rsidP="00E30483">
      <w:r>
        <w:t xml:space="preserve">The current study used a survey sent to the developers of all the apps identified in </w:t>
      </w:r>
      <w:r w:rsidR="004C4A0A">
        <w:t>C</w:t>
      </w:r>
      <w:r>
        <w:t xml:space="preserve">hapter </w:t>
      </w:r>
      <w:r w:rsidR="004C4A0A">
        <w:t>two</w:t>
      </w:r>
      <w:r>
        <w:t xml:space="preserve"> to explore how the apps fared against the indicators of quality described, and whether there were any differences between web and phone apps.</w:t>
      </w:r>
    </w:p>
    <w:p w14:paraId="52D1402F" w14:textId="77777777" w:rsidR="00E30483" w:rsidRDefault="00E30483" w:rsidP="00E30483">
      <w:pPr>
        <w:pStyle w:val="Heading2"/>
      </w:pPr>
      <w:bookmarkStart w:id="149" w:name="_Toc530598126"/>
      <w:bookmarkStart w:id="150" w:name="_Toc530660479"/>
      <w:bookmarkStart w:id="151" w:name="_Toc3538080"/>
      <w:r>
        <w:t>Methods</w:t>
      </w:r>
      <w:bookmarkEnd w:id="149"/>
      <w:bookmarkEnd w:id="150"/>
      <w:bookmarkEnd w:id="151"/>
    </w:p>
    <w:p w14:paraId="40982F41" w14:textId="77777777" w:rsidR="00E30483" w:rsidRDefault="00E30483" w:rsidP="00E30483">
      <w:pPr>
        <w:pStyle w:val="Heading3"/>
      </w:pPr>
      <w:bookmarkStart w:id="152" w:name="_Toc530598127"/>
      <w:bookmarkStart w:id="153" w:name="_Toc530660480"/>
      <w:bookmarkStart w:id="154" w:name="_Toc3538081"/>
      <w:r>
        <w:t>Design</w:t>
      </w:r>
      <w:bookmarkEnd w:id="152"/>
      <w:bookmarkEnd w:id="153"/>
      <w:bookmarkEnd w:id="154"/>
    </w:p>
    <w:p w14:paraId="2959A4D6" w14:textId="262DAE53" w:rsidR="00E30483" w:rsidRDefault="00E30483" w:rsidP="00E30483">
      <w:r>
        <w:t xml:space="preserve">We documented development information surrounding each of the web and smartphone apps used and recommended by the NHS for stress, anxiety and </w:t>
      </w:r>
      <w:r w:rsidR="001E338E">
        <w:t xml:space="preserve">depression identified in Study </w:t>
      </w:r>
      <w:r w:rsidR="00CB2377">
        <w:t>I</w:t>
      </w:r>
      <w:r>
        <w:t xml:space="preserve">.  Our data source was a survey sent to developers. </w:t>
      </w:r>
      <w:r w:rsidR="004525DB">
        <w:t xml:space="preserve"> </w:t>
      </w:r>
      <w:r>
        <w:t xml:space="preserve">In the survey, we asked for information about clinical involvement, academic </w:t>
      </w:r>
      <w:r>
        <w:lastRenderedPageBreak/>
        <w:t>involvement, publications published or forthcoming, other evidence of effectiveness and whether the app was based on a psychological approach or theory.</w:t>
      </w:r>
    </w:p>
    <w:p w14:paraId="6F155F82" w14:textId="77777777" w:rsidR="00E30483" w:rsidRDefault="00E30483" w:rsidP="00E30483">
      <w:pPr>
        <w:pStyle w:val="Heading3"/>
      </w:pPr>
      <w:bookmarkStart w:id="155" w:name="_Toc530598128"/>
      <w:bookmarkStart w:id="156" w:name="_Toc530660481"/>
      <w:bookmarkStart w:id="157" w:name="_Toc3538082"/>
      <w:r>
        <w:t>Participants</w:t>
      </w:r>
      <w:bookmarkEnd w:id="155"/>
      <w:bookmarkEnd w:id="156"/>
      <w:bookmarkEnd w:id="157"/>
    </w:p>
    <w:p w14:paraId="21FE0028" w14:textId="76F76431" w:rsidR="00E30483" w:rsidRDefault="00E30483" w:rsidP="00E30483">
      <w:pPr>
        <w:rPr>
          <w:b/>
          <w:color w:val="000000"/>
        </w:rPr>
      </w:pPr>
      <w:r>
        <w:t>Participants were the developers of the 47 NHS e</w:t>
      </w:r>
      <w:r w:rsidR="001E338E">
        <w:t xml:space="preserve">-therapies identified in Study </w:t>
      </w:r>
      <w:r w:rsidR="00CB2377">
        <w:t>I</w:t>
      </w:r>
      <w:r>
        <w:t>.</w:t>
      </w:r>
    </w:p>
    <w:p w14:paraId="2858B0CF" w14:textId="77777777" w:rsidR="00E30483" w:rsidRDefault="00E30483" w:rsidP="00E30483">
      <w:pPr>
        <w:pStyle w:val="Heading3"/>
      </w:pPr>
      <w:bookmarkStart w:id="158" w:name="_Toc530598129"/>
      <w:bookmarkStart w:id="159" w:name="_Toc530660482"/>
      <w:bookmarkStart w:id="160" w:name="_Toc3538083"/>
      <w:r>
        <w:t>Procedure</w:t>
      </w:r>
      <w:bookmarkEnd w:id="158"/>
      <w:bookmarkEnd w:id="159"/>
      <w:bookmarkEnd w:id="160"/>
    </w:p>
    <w:p w14:paraId="6D83CA77" w14:textId="33E9C7E0" w:rsidR="00E30483" w:rsidRDefault="00E30483" w:rsidP="00E30483">
      <w:pPr>
        <w:rPr>
          <w:noProof/>
        </w:rPr>
      </w:pPr>
      <w:r>
        <w:t>Ethical approval was gained from the University of Sheffield Psychology Ethics Committee</w:t>
      </w:r>
      <w:r w:rsidR="00CB2377">
        <w:t xml:space="preserve"> (</w:t>
      </w:r>
      <w:r w:rsidR="00CB2377" w:rsidRPr="00663CD6">
        <w:t>see</w:t>
      </w:r>
      <w:r w:rsidR="00663CD6">
        <w:t xml:space="preserve"> </w:t>
      </w:r>
      <w:r w:rsidR="00CB2377" w:rsidRPr="00663CD6">
        <w:t xml:space="preserve">Appendix </w:t>
      </w:r>
      <w:r w:rsidR="00674C22" w:rsidRPr="00663CD6">
        <w:t>A1</w:t>
      </w:r>
      <w:r w:rsidR="00CB2377">
        <w:t>)</w:t>
      </w:r>
      <w:r>
        <w:t>.  During October 2015, each e-therapy developer was initially contacted by telephone before being sent an email invitation to be involved in a study (</w:t>
      </w:r>
      <w:r w:rsidRPr="003E44DA">
        <w:t xml:space="preserve">see Appendix </w:t>
      </w:r>
      <w:r w:rsidR="00674C22" w:rsidRPr="003E44DA">
        <w:t>A</w:t>
      </w:r>
      <w:r w:rsidR="00895C41">
        <w:t>2</w:t>
      </w:r>
      <w:r>
        <w:t xml:space="preserve">).  Those who expressed </w:t>
      </w:r>
      <w:proofErr w:type="gramStart"/>
      <w:r>
        <w:t>interest were</w:t>
      </w:r>
      <w:proofErr w:type="gramEnd"/>
      <w:r>
        <w:t xml:space="preserve"> sent an information </w:t>
      </w:r>
      <w:r w:rsidRPr="003E44DA">
        <w:t xml:space="preserve">sheet and consent form (see Appendix </w:t>
      </w:r>
      <w:r w:rsidR="00674C22" w:rsidRPr="003E44DA">
        <w:t>A</w:t>
      </w:r>
      <w:r w:rsidR="00895C41">
        <w:t>3</w:t>
      </w:r>
      <w:r w:rsidRPr="003E44DA">
        <w:t>).  Those who consented were sent a link to the online survey covering the five key areas of evidence for the quality of an app, namely: the extent of clinical involvement in its</w:t>
      </w:r>
      <w:r>
        <w:t xml:space="preserve"> development; the existence of published evidence; the extent of academic involvement; any studies or trials which have been undertaken; and any psychological approach or theory on which the app is based (see</w:t>
      </w:r>
      <w:r w:rsidR="001E338E">
        <w:t xml:space="preserve"> </w:t>
      </w:r>
      <w:r w:rsidR="001E338E">
        <w:fldChar w:fldCharType="begin"/>
      </w:r>
      <w:r w:rsidR="001E338E">
        <w:instrText xml:space="preserve"> REF _Ref530162248 \h </w:instrText>
      </w:r>
      <w:r w:rsidR="001E338E">
        <w:fldChar w:fldCharType="separate"/>
      </w:r>
      <w:r w:rsidR="00574650">
        <w:t xml:space="preserve">Table </w:t>
      </w:r>
      <w:r w:rsidR="00574650">
        <w:rPr>
          <w:noProof/>
        </w:rPr>
        <w:t>3</w:t>
      </w:r>
      <w:r w:rsidR="00574650">
        <w:t>.</w:t>
      </w:r>
      <w:r w:rsidR="00574650">
        <w:rPr>
          <w:noProof/>
        </w:rPr>
        <w:t>1</w:t>
      </w:r>
      <w:r w:rsidR="001E338E">
        <w:fldChar w:fldCharType="end"/>
      </w:r>
      <w:r>
        <w:t xml:space="preserve">). </w:t>
      </w:r>
      <w:r w:rsidR="0055410C">
        <w:t xml:space="preserve"> </w:t>
      </w:r>
      <w:r>
        <w:t>Each initial question had a further open-ended sub-question asking for more details when a participant confirmed the existence of that particular evidence.</w:t>
      </w:r>
      <w:bookmarkStart w:id="161" w:name="_30j0zll" w:colFirst="0" w:colLast="0"/>
      <w:bookmarkEnd w:id="161"/>
      <w:r w:rsidR="006E48FE">
        <w:t xml:space="preserve">  Participants </w:t>
      </w:r>
      <w:r w:rsidR="006E48FE" w:rsidRPr="00E263B8">
        <w:rPr>
          <w:noProof/>
        </w:rPr>
        <w:t xml:space="preserve">were then </w:t>
      </w:r>
      <w:r w:rsidR="006E48FE">
        <w:rPr>
          <w:noProof/>
        </w:rPr>
        <w:t>debriefed (</w:t>
      </w:r>
      <w:r w:rsidR="006E48FE" w:rsidRPr="003E44DA">
        <w:t>see Appendix A</w:t>
      </w:r>
      <w:r w:rsidR="006E48FE">
        <w:t>4</w:t>
      </w:r>
      <w:r w:rsidR="006E48FE">
        <w:rPr>
          <w:noProof/>
        </w:rPr>
        <w:t>)</w:t>
      </w:r>
    </w:p>
    <w:p w14:paraId="47F28702" w14:textId="1353DE0A" w:rsidR="001E338E" w:rsidRDefault="001E338E" w:rsidP="001E338E">
      <w:pPr>
        <w:pStyle w:val="Caption"/>
        <w:rPr>
          <w:i w:val="0"/>
          <w:color w:val="44546A"/>
        </w:rPr>
      </w:pPr>
      <w:bookmarkStart w:id="162" w:name="_Ref530162248"/>
      <w:bookmarkStart w:id="163" w:name="_Toc530759483"/>
      <w:proofErr w:type="gramStart"/>
      <w:r>
        <w:t xml:space="preserve">Table </w:t>
      </w:r>
      <w:r w:rsidR="007E7BB7">
        <w:fldChar w:fldCharType="begin"/>
      </w:r>
      <w:r w:rsidR="007E7BB7">
        <w:instrText xml:space="preserve"> STYLEREF 1 \s </w:instrText>
      </w:r>
      <w:r w:rsidR="007E7BB7">
        <w:fldChar w:fldCharType="separate"/>
      </w:r>
      <w:r w:rsidR="00574650">
        <w:rPr>
          <w:noProof/>
        </w:rPr>
        <w:t>3</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r w:rsidR="00574650">
        <w:rPr>
          <w:noProof/>
        </w:rPr>
        <w:t>1</w:t>
      </w:r>
      <w:r w:rsidR="007E7BB7">
        <w:fldChar w:fldCharType="end"/>
      </w:r>
      <w:bookmarkEnd w:id="162"/>
      <w:r>
        <w:t xml:space="preserve"> Questions asked of NHS e-therapy app developers</w:t>
      </w:r>
      <w:bookmarkEnd w:id="163"/>
    </w:p>
    <w:tbl>
      <w:tblPr>
        <w:tblW w:w="9026" w:type="dxa"/>
        <w:tblBorders>
          <w:top w:val="nil"/>
          <w:left w:val="nil"/>
          <w:bottom w:val="nil"/>
          <w:right w:val="nil"/>
          <w:insideH w:val="nil"/>
          <w:insideV w:val="nil"/>
        </w:tblBorders>
        <w:tblLayout w:type="fixed"/>
        <w:tblCellMar>
          <w:top w:w="57" w:type="dxa"/>
          <w:bottom w:w="57" w:type="dxa"/>
        </w:tblCellMar>
        <w:tblLook w:val="0400" w:firstRow="0" w:lastRow="0" w:firstColumn="0" w:lastColumn="0" w:noHBand="0" w:noVBand="1"/>
      </w:tblPr>
      <w:tblGrid>
        <w:gridCol w:w="1168"/>
        <w:gridCol w:w="7858"/>
      </w:tblGrid>
      <w:tr w:rsidR="00E30483" w14:paraId="4173541D" w14:textId="77777777" w:rsidTr="00A76323">
        <w:trPr>
          <w:trHeight w:val="100"/>
        </w:trPr>
        <w:tc>
          <w:tcPr>
            <w:tcW w:w="1168" w:type="dxa"/>
            <w:tcBorders>
              <w:top w:val="single" w:sz="4" w:space="0" w:color="000000"/>
              <w:bottom w:val="single" w:sz="4" w:space="0" w:color="000000"/>
            </w:tcBorders>
            <w:vAlign w:val="center"/>
          </w:tcPr>
          <w:p w14:paraId="05DB4279" w14:textId="77777777" w:rsidR="00E30483" w:rsidRPr="00ED602F" w:rsidRDefault="00E30483" w:rsidP="00646664">
            <w:pPr>
              <w:pStyle w:val="NoSpacing"/>
              <w:rPr>
                <w:b/>
              </w:rPr>
            </w:pPr>
            <w:r w:rsidRPr="00ED602F">
              <w:rPr>
                <w:b/>
              </w:rPr>
              <w:t>Question</w:t>
            </w:r>
          </w:p>
        </w:tc>
        <w:tc>
          <w:tcPr>
            <w:tcW w:w="7858" w:type="dxa"/>
            <w:tcBorders>
              <w:top w:val="single" w:sz="4" w:space="0" w:color="000000"/>
              <w:bottom w:val="single" w:sz="4" w:space="0" w:color="000000"/>
            </w:tcBorders>
            <w:vAlign w:val="center"/>
          </w:tcPr>
          <w:p w14:paraId="4791DA5F" w14:textId="77777777" w:rsidR="00E30483" w:rsidRPr="00ED602F" w:rsidRDefault="00E30483" w:rsidP="00646664">
            <w:pPr>
              <w:pStyle w:val="NoSpacing"/>
              <w:rPr>
                <w:b/>
              </w:rPr>
            </w:pPr>
            <w:r w:rsidRPr="00ED602F">
              <w:rPr>
                <w:b/>
              </w:rPr>
              <w:t>Wording</w:t>
            </w:r>
          </w:p>
        </w:tc>
      </w:tr>
      <w:tr w:rsidR="00E30483" w14:paraId="0DEF2532" w14:textId="77777777" w:rsidTr="00A76323">
        <w:tc>
          <w:tcPr>
            <w:tcW w:w="1168" w:type="dxa"/>
            <w:tcBorders>
              <w:top w:val="single" w:sz="4" w:space="0" w:color="000000"/>
            </w:tcBorders>
            <w:vAlign w:val="center"/>
          </w:tcPr>
          <w:p w14:paraId="006EC211" w14:textId="77777777" w:rsidR="00E30483" w:rsidRDefault="00E30483" w:rsidP="00646664">
            <w:pPr>
              <w:pStyle w:val="NoSpacing"/>
            </w:pPr>
            <w:r>
              <w:t>1</w:t>
            </w:r>
          </w:p>
        </w:tc>
        <w:tc>
          <w:tcPr>
            <w:tcW w:w="7858" w:type="dxa"/>
            <w:tcBorders>
              <w:top w:val="single" w:sz="4" w:space="0" w:color="000000"/>
            </w:tcBorders>
            <w:vAlign w:val="center"/>
          </w:tcPr>
          <w:p w14:paraId="3417BE60" w14:textId="77777777" w:rsidR="00E30483" w:rsidRDefault="00E30483" w:rsidP="00646664">
            <w:pPr>
              <w:pStyle w:val="NoSpacing"/>
            </w:pPr>
            <w:r>
              <w:t>Did the development of the content for your e-therapy or smartphone app have clinical involvement?</w:t>
            </w:r>
          </w:p>
        </w:tc>
      </w:tr>
      <w:tr w:rsidR="00E30483" w14:paraId="24928F81" w14:textId="77777777" w:rsidTr="00A76323">
        <w:tc>
          <w:tcPr>
            <w:tcW w:w="1168" w:type="dxa"/>
            <w:vAlign w:val="center"/>
          </w:tcPr>
          <w:p w14:paraId="2A72B69C" w14:textId="77777777" w:rsidR="00E30483" w:rsidRDefault="00E30483" w:rsidP="00646664">
            <w:pPr>
              <w:pStyle w:val="NoSpacing"/>
            </w:pPr>
            <w:r>
              <w:t>1.1</w:t>
            </w:r>
          </w:p>
        </w:tc>
        <w:tc>
          <w:tcPr>
            <w:tcW w:w="7858" w:type="dxa"/>
            <w:vAlign w:val="center"/>
          </w:tcPr>
          <w:p w14:paraId="0DD44CCA" w14:textId="77777777" w:rsidR="00E30483" w:rsidRDefault="00E30483" w:rsidP="00646664">
            <w:pPr>
              <w:pStyle w:val="NoSpacing"/>
            </w:pPr>
            <w:r>
              <w:t>Please state how there was clinical involvement in the development of your app - e.g. the people involved and the process by which they were involved.</w:t>
            </w:r>
          </w:p>
        </w:tc>
      </w:tr>
      <w:tr w:rsidR="00E30483" w14:paraId="66D99D66" w14:textId="77777777" w:rsidTr="00A76323">
        <w:tc>
          <w:tcPr>
            <w:tcW w:w="1168" w:type="dxa"/>
            <w:vAlign w:val="center"/>
          </w:tcPr>
          <w:p w14:paraId="259806D8" w14:textId="77777777" w:rsidR="00E30483" w:rsidRDefault="00E30483" w:rsidP="00646664">
            <w:pPr>
              <w:pStyle w:val="NoSpacing"/>
            </w:pPr>
            <w:r>
              <w:t>2</w:t>
            </w:r>
          </w:p>
        </w:tc>
        <w:tc>
          <w:tcPr>
            <w:tcW w:w="7858" w:type="dxa"/>
            <w:vAlign w:val="center"/>
          </w:tcPr>
          <w:p w14:paraId="544B466D" w14:textId="77777777" w:rsidR="00E30483" w:rsidRDefault="00E30483" w:rsidP="00646664">
            <w:pPr>
              <w:pStyle w:val="NoSpacing"/>
            </w:pPr>
            <w:r>
              <w:t>Does your e-therapy or smartphone app have any publications of research evidence either published or forthcoming?</w:t>
            </w:r>
          </w:p>
        </w:tc>
      </w:tr>
      <w:tr w:rsidR="00E30483" w14:paraId="5439DBA1" w14:textId="77777777" w:rsidTr="00A76323">
        <w:tc>
          <w:tcPr>
            <w:tcW w:w="1168" w:type="dxa"/>
            <w:vAlign w:val="center"/>
          </w:tcPr>
          <w:p w14:paraId="45783376" w14:textId="77777777" w:rsidR="00E30483" w:rsidRDefault="00E30483" w:rsidP="00646664">
            <w:pPr>
              <w:pStyle w:val="NoSpacing"/>
            </w:pPr>
            <w:r>
              <w:t>2.1</w:t>
            </w:r>
          </w:p>
        </w:tc>
        <w:tc>
          <w:tcPr>
            <w:tcW w:w="7858" w:type="dxa"/>
            <w:vAlign w:val="center"/>
          </w:tcPr>
          <w:p w14:paraId="2F5B14CD" w14:textId="77777777" w:rsidR="00E30483" w:rsidRDefault="00E30483" w:rsidP="00646664">
            <w:pPr>
              <w:pStyle w:val="NoSpacing"/>
            </w:pPr>
            <w:r>
              <w:t>Please list details of the publications of research evidence either published or forthcoming</w:t>
            </w:r>
          </w:p>
        </w:tc>
      </w:tr>
      <w:tr w:rsidR="00E30483" w14:paraId="78D7298E" w14:textId="77777777" w:rsidTr="00A76323">
        <w:tc>
          <w:tcPr>
            <w:tcW w:w="1168" w:type="dxa"/>
            <w:vAlign w:val="center"/>
          </w:tcPr>
          <w:p w14:paraId="4AABA38D" w14:textId="77777777" w:rsidR="00E30483" w:rsidRDefault="00E30483" w:rsidP="00646664">
            <w:pPr>
              <w:pStyle w:val="NoSpacing"/>
            </w:pPr>
            <w:r>
              <w:t>3</w:t>
            </w:r>
          </w:p>
        </w:tc>
        <w:tc>
          <w:tcPr>
            <w:tcW w:w="7858" w:type="dxa"/>
            <w:vAlign w:val="center"/>
          </w:tcPr>
          <w:p w14:paraId="35AE3FED" w14:textId="77777777" w:rsidR="00E30483" w:rsidRDefault="00E30483" w:rsidP="00646664">
            <w:pPr>
              <w:pStyle w:val="NoSpacing"/>
            </w:pPr>
            <w:r>
              <w:t>Did your app have any academic involvement in its development?</w:t>
            </w:r>
          </w:p>
        </w:tc>
      </w:tr>
      <w:tr w:rsidR="00E30483" w14:paraId="1DF100D8" w14:textId="77777777" w:rsidTr="00A76323">
        <w:tc>
          <w:tcPr>
            <w:tcW w:w="1168" w:type="dxa"/>
            <w:vAlign w:val="center"/>
          </w:tcPr>
          <w:p w14:paraId="71623135" w14:textId="77777777" w:rsidR="00E30483" w:rsidRDefault="00E30483" w:rsidP="00646664">
            <w:pPr>
              <w:pStyle w:val="NoSpacing"/>
            </w:pPr>
            <w:r>
              <w:t>3.1</w:t>
            </w:r>
          </w:p>
        </w:tc>
        <w:tc>
          <w:tcPr>
            <w:tcW w:w="7858" w:type="dxa"/>
            <w:vAlign w:val="center"/>
          </w:tcPr>
          <w:p w14:paraId="5F06AB93" w14:textId="77777777" w:rsidR="00E30483" w:rsidRDefault="00E30483" w:rsidP="00646664">
            <w:pPr>
              <w:pStyle w:val="NoSpacing"/>
            </w:pPr>
            <w:r>
              <w:t>Please list details of those academics</w:t>
            </w:r>
          </w:p>
        </w:tc>
      </w:tr>
      <w:tr w:rsidR="00E30483" w14:paraId="698F2E6E" w14:textId="77777777" w:rsidTr="00A76323">
        <w:tc>
          <w:tcPr>
            <w:tcW w:w="1168" w:type="dxa"/>
            <w:vAlign w:val="center"/>
          </w:tcPr>
          <w:p w14:paraId="41BA1B29" w14:textId="77777777" w:rsidR="00E30483" w:rsidRDefault="00E30483" w:rsidP="00646664">
            <w:pPr>
              <w:pStyle w:val="NoSpacing"/>
            </w:pPr>
            <w:r>
              <w:t>4</w:t>
            </w:r>
          </w:p>
        </w:tc>
        <w:tc>
          <w:tcPr>
            <w:tcW w:w="7858" w:type="dxa"/>
            <w:vAlign w:val="center"/>
          </w:tcPr>
          <w:p w14:paraId="1BB0D2AE" w14:textId="77777777" w:rsidR="00E30483" w:rsidRDefault="00E30483" w:rsidP="00646664">
            <w:pPr>
              <w:pStyle w:val="NoSpacing"/>
            </w:pPr>
            <w:r>
              <w:t xml:space="preserve">Has your app gone through any pilot studies, feasibility studies, efficacy studies, </w:t>
            </w:r>
            <w:proofErr w:type="gramStart"/>
            <w:r>
              <w:t>effectiveness</w:t>
            </w:r>
            <w:proofErr w:type="gramEnd"/>
            <w:r>
              <w:t xml:space="preserve"> studies, </w:t>
            </w:r>
            <w:proofErr w:type="spellStart"/>
            <w:r>
              <w:t>Randomised</w:t>
            </w:r>
            <w:proofErr w:type="spellEnd"/>
            <w:r>
              <w:t xml:space="preserve"> Control Trials (RCT) or any other evidence to prove your app is </w:t>
            </w:r>
            <w:r w:rsidRPr="007039D3">
              <w:rPr>
                <w:noProof/>
              </w:rPr>
              <w:t>effective</w:t>
            </w:r>
            <w:r>
              <w:t>?</w:t>
            </w:r>
          </w:p>
        </w:tc>
      </w:tr>
      <w:tr w:rsidR="00E30483" w14:paraId="496A6F89" w14:textId="77777777" w:rsidTr="00A76323">
        <w:tc>
          <w:tcPr>
            <w:tcW w:w="1168" w:type="dxa"/>
            <w:vAlign w:val="center"/>
          </w:tcPr>
          <w:p w14:paraId="34F52E45" w14:textId="77777777" w:rsidR="00E30483" w:rsidRDefault="00E30483" w:rsidP="00646664">
            <w:pPr>
              <w:pStyle w:val="NoSpacing"/>
            </w:pPr>
            <w:r>
              <w:t>4.1</w:t>
            </w:r>
          </w:p>
        </w:tc>
        <w:tc>
          <w:tcPr>
            <w:tcW w:w="7858" w:type="dxa"/>
            <w:vAlign w:val="center"/>
          </w:tcPr>
          <w:p w14:paraId="3CFCCDA8" w14:textId="77777777" w:rsidR="00E30483" w:rsidRDefault="00E30483" w:rsidP="00646664">
            <w:pPr>
              <w:pStyle w:val="NoSpacing"/>
            </w:pPr>
            <w:r>
              <w:t>Please list details of those studies / sources of evidence</w:t>
            </w:r>
          </w:p>
        </w:tc>
      </w:tr>
      <w:tr w:rsidR="00E30483" w14:paraId="02F8A6C2" w14:textId="77777777" w:rsidTr="00A76323">
        <w:tc>
          <w:tcPr>
            <w:tcW w:w="1168" w:type="dxa"/>
            <w:vAlign w:val="center"/>
          </w:tcPr>
          <w:p w14:paraId="1345BBE1" w14:textId="77777777" w:rsidR="00E30483" w:rsidRDefault="00E30483" w:rsidP="00646664">
            <w:pPr>
              <w:pStyle w:val="NoSpacing"/>
            </w:pPr>
            <w:r>
              <w:t>5</w:t>
            </w:r>
          </w:p>
        </w:tc>
        <w:tc>
          <w:tcPr>
            <w:tcW w:w="7858" w:type="dxa"/>
            <w:vAlign w:val="center"/>
          </w:tcPr>
          <w:p w14:paraId="754569CC" w14:textId="77777777" w:rsidR="00E30483" w:rsidRDefault="00E30483" w:rsidP="00646664">
            <w:pPr>
              <w:pStyle w:val="NoSpacing"/>
            </w:pPr>
            <w:r>
              <w:t>Is your app based on a specific psychological approach or theory / set of techniques / therapy? (example: CBT)</w:t>
            </w:r>
          </w:p>
        </w:tc>
      </w:tr>
      <w:tr w:rsidR="00E30483" w14:paraId="0EDAFE24" w14:textId="77777777" w:rsidTr="00A76323">
        <w:tc>
          <w:tcPr>
            <w:tcW w:w="1168" w:type="dxa"/>
            <w:tcBorders>
              <w:bottom w:val="single" w:sz="4" w:space="0" w:color="000000"/>
            </w:tcBorders>
            <w:vAlign w:val="center"/>
          </w:tcPr>
          <w:p w14:paraId="18220678" w14:textId="77777777" w:rsidR="00E30483" w:rsidRDefault="00E30483" w:rsidP="00646664">
            <w:pPr>
              <w:pStyle w:val="NoSpacing"/>
            </w:pPr>
            <w:r>
              <w:t>5.1</w:t>
            </w:r>
          </w:p>
        </w:tc>
        <w:tc>
          <w:tcPr>
            <w:tcW w:w="7858" w:type="dxa"/>
            <w:tcBorders>
              <w:bottom w:val="single" w:sz="4" w:space="0" w:color="000000"/>
            </w:tcBorders>
            <w:vAlign w:val="center"/>
          </w:tcPr>
          <w:p w14:paraId="6C5EE097" w14:textId="77777777" w:rsidR="00E30483" w:rsidRDefault="00E30483" w:rsidP="00646664">
            <w:pPr>
              <w:pStyle w:val="NoSpacing"/>
            </w:pPr>
            <w:r>
              <w:t>Please detail the specific psychological approach or theory / set of techniques / therapy? (example: CBT)</w:t>
            </w:r>
          </w:p>
        </w:tc>
      </w:tr>
    </w:tbl>
    <w:p w14:paraId="37D1BD88" w14:textId="77777777" w:rsidR="00CB2377" w:rsidRDefault="00CB2377" w:rsidP="00CB2377">
      <w:pPr>
        <w:pStyle w:val="NoSpacing"/>
      </w:pPr>
    </w:p>
    <w:p w14:paraId="780752EA" w14:textId="02A61073" w:rsidR="00E30483" w:rsidRDefault="00E30483" w:rsidP="00E30483">
      <w:pPr>
        <w:pStyle w:val="Heading3"/>
      </w:pPr>
      <w:bookmarkStart w:id="164" w:name="_Toc530598130"/>
      <w:bookmarkStart w:id="165" w:name="_Toc530660483"/>
      <w:bookmarkStart w:id="166" w:name="_Toc3538084"/>
      <w:r>
        <w:t xml:space="preserve">Statistical </w:t>
      </w:r>
      <w:r w:rsidR="0045775A">
        <w:t>A</w:t>
      </w:r>
      <w:r>
        <w:t>nalysis</w:t>
      </w:r>
      <w:bookmarkEnd w:id="164"/>
      <w:bookmarkEnd w:id="165"/>
      <w:bookmarkEnd w:id="166"/>
    </w:p>
    <w:p w14:paraId="4C04C0FD" w14:textId="41855BBA" w:rsidR="00E30483" w:rsidRDefault="00E30483" w:rsidP="00E30483">
      <w:r>
        <w:t>In order to establish whether the answers to these questions differed as a function of app type (web or phone), tests of association were use.</w:t>
      </w:r>
      <w:r w:rsidR="004525DB">
        <w:t xml:space="preserve"> </w:t>
      </w:r>
      <w:r>
        <w:t xml:space="preserve"> A series of chi-square tests were conducted for questions 2, 3, 4 and 5.  </w:t>
      </w:r>
      <w:r>
        <w:lastRenderedPageBreak/>
        <w:t xml:space="preserve">Data from question 1 did not meet all assumptions for a Chi square, </w:t>
      </w:r>
      <w:r w:rsidRPr="00DE4004">
        <w:rPr>
          <w:noProof/>
        </w:rPr>
        <w:t>so</w:t>
      </w:r>
      <w:r>
        <w:t xml:space="preserve"> a Fisher's </w:t>
      </w:r>
      <w:proofErr w:type="gramStart"/>
      <w:r>
        <w:t>Exact</w:t>
      </w:r>
      <w:proofErr w:type="gramEnd"/>
      <w:r>
        <w:t xml:space="preserve"> test was conducted instead.</w:t>
      </w:r>
    </w:p>
    <w:p w14:paraId="6D6C7C8E" w14:textId="77777777" w:rsidR="00E30483" w:rsidRDefault="00E30483" w:rsidP="00E30483">
      <w:pPr>
        <w:pStyle w:val="Heading2"/>
      </w:pPr>
      <w:bookmarkStart w:id="167" w:name="_Toc530598131"/>
      <w:bookmarkStart w:id="168" w:name="_Toc530660484"/>
      <w:bookmarkStart w:id="169" w:name="_Toc3538085"/>
      <w:r>
        <w:t>Results</w:t>
      </w:r>
      <w:bookmarkEnd w:id="167"/>
      <w:bookmarkEnd w:id="168"/>
      <w:bookmarkEnd w:id="169"/>
    </w:p>
    <w:p w14:paraId="0F250946" w14:textId="2E768ABC" w:rsidR="00E30483" w:rsidRDefault="00E30483" w:rsidP="0055410C">
      <w:pPr>
        <w:rPr>
          <w:i/>
          <w:color w:val="44546A"/>
          <w:sz w:val="18"/>
          <w:szCs w:val="18"/>
        </w:rPr>
        <w:sectPr w:rsidR="00E30483" w:rsidSect="00397AD9">
          <w:pgSz w:w="11906" w:h="16838"/>
          <w:pgMar w:top="851" w:right="851" w:bottom="851" w:left="1134" w:header="708" w:footer="708" w:gutter="0"/>
          <w:cols w:space="720"/>
        </w:sectPr>
      </w:pPr>
      <w:r>
        <w:t xml:space="preserve">Thirty-six (76.6%) of app developers responded to the survey.  Data for the missing 11 was determined by using information on each developer’s website relating to their web/smartphone app. </w:t>
      </w:r>
      <w:r w:rsidR="004525DB">
        <w:t xml:space="preserve"> </w:t>
      </w:r>
      <w:r w:rsidR="00CC2188">
        <w:fldChar w:fldCharType="begin"/>
      </w:r>
      <w:r w:rsidR="00CC2188">
        <w:instrText xml:space="preserve"> REF _Ref530162318 \h </w:instrText>
      </w:r>
      <w:r w:rsidR="00CC2188">
        <w:fldChar w:fldCharType="separate"/>
      </w:r>
      <w:r w:rsidR="00574650">
        <w:t xml:space="preserve">Table </w:t>
      </w:r>
      <w:r w:rsidR="00574650">
        <w:rPr>
          <w:noProof/>
        </w:rPr>
        <w:t>3</w:t>
      </w:r>
      <w:r w:rsidR="00574650">
        <w:t>.</w:t>
      </w:r>
      <w:r w:rsidR="00574650">
        <w:rPr>
          <w:noProof/>
        </w:rPr>
        <w:t>2</w:t>
      </w:r>
      <w:r w:rsidR="00CC2188">
        <w:fldChar w:fldCharType="end"/>
      </w:r>
      <w:r>
        <w:t xml:space="preserve"> details, for each of the apps, the extent and nature of their indicators of quality, as derived from the responses of the developers to the survey or else from the interpretation of the apps’ websites, and </w:t>
      </w:r>
      <w:r w:rsidR="00CE4BCA">
        <w:fldChar w:fldCharType="begin"/>
      </w:r>
      <w:r w:rsidR="00CE4BCA">
        <w:instrText xml:space="preserve"> REF _Ref530162432 \h </w:instrText>
      </w:r>
      <w:r w:rsidR="00CE4BCA">
        <w:fldChar w:fldCharType="separate"/>
      </w:r>
      <w:r w:rsidR="00574650">
        <w:t xml:space="preserve">Table </w:t>
      </w:r>
      <w:r w:rsidR="00574650">
        <w:rPr>
          <w:noProof/>
        </w:rPr>
        <w:t>3</w:t>
      </w:r>
      <w:r w:rsidR="00574650">
        <w:t>.</w:t>
      </w:r>
      <w:r w:rsidR="00574650">
        <w:rPr>
          <w:noProof/>
        </w:rPr>
        <w:t>3</w:t>
      </w:r>
      <w:r w:rsidR="00CE4BCA">
        <w:fldChar w:fldCharType="end"/>
      </w:r>
      <w:r w:rsidR="00CE4BCA">
        <w:t xml:space="preserve"> </w:t>
      </w:r>
      <w:r>
        <w:t>shows a summary of key findings relating to the questions asked.</w:t>
      </w:r>
      <w:bookmarkStart w:id="170" w:name="_1fob9te" w:colFirst="0" w:colLast="0"/>
      <w:bookmarkEnd w:id="170"/>
    </w:p>
    <w:p w14:paraId="1AE17AB4" w14:textId="55750E27" w:rsidR="00E30483" w:rsidRDefault="001E338E" w:rsidP="001E338E">
      <w:pPr>
        <w:pStyle w:val="Caption"/>
        <w:rPr>
          <w:i w:val="0"/>
          <w:color w:val="44546A"/>
        </w:rPr>
      </w:pPr>
      <w:bookmarkStart w:id="171" w:name="_Ref530162318"/>
      <w:bookmarkStart w:id="172" w:name="_Toc530759484"/>
      <w:proofErr w:type="gramStart"/>
      <w:r>
        <w:lastRenderedPageBreak/>
        <w:t xml:space="preserve">Table </w:t>
      </w:r>
      <w:r w:rsidR="007E7BB7">
        <w:fldChar w:fldCharType="begin"/>
      </w:r>
      <w:r w:rsidR="007E7BB7">
        <w:instrText xml:space="preserve"> STYLEREF 1 \s </w:instrText>
      </w:r>
      <w:r w:rsidR="007E7BB7">
        <w:fldChar w:fldCharType="separate"/>
      </w:r>
      <w:r w:rsidR="00574650">
        <w:rPr>
          <w:noProof/>
        </w:rPr>
        <w:t>3</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r w:rsidR="00574650">
        <w:rPr>
          <w:noProof/>
        </w:rPr>
        <w:t>2</w:t>
      </w:r>
      <w:r w:rsidR="007E7BB7">
        <w:fldChar w:fldCharType="end"/>
      </w:r>
      <w:bookmarkEnd w:id="171"/>
      <w:r>
        <w:rPr>
          <w:noProof/>
        </w:rPr>
        <w:t xml:space="preserve"> </w:t>
      </w:r>
      <w:r w:rsidRPr="000F5CDD">
        <w:rPr>
          <w:noProof/>
        </w:rPr>
        <w:t>All NHS e-therapy app survey responses by app</w:t>
      </w:r>
      <w:bookmarkEnd w:id="17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bottom w:w="57" w:type="dxa"/>
        </w:tblCellMar>
        <w:tblLook w:val="0400" w:firstRow="0" w:lastRow="0" w:firstColumn="0" w:lastColumn="0" w:noHBand="0" w:noVBand="1"/>
      </w:tblPr>
      <w:tblGrid>
        <w:gridCol w:w="2790"/>
        <w:gridCol w:w="1922"/>
        <w:gridCol w:w="1782"/>
        <w:gridCol w:w="1923"/>
        <w:gridCol w:w="2750"/>
        <w:gridCol w:w="1382"/>
        <w:gridCol w:w="2520"/>
      </w:tblGrid>
      <w:tr w:rsidR="00E30483" w14:paraId="3E35FE43" w14:textId="77777777" w:rsidTr="00A76323">
        <w:trPr>
          <w:trHeight w:val="140"/>
        </w:trPr>
        <w:tc>
          <w:tcPr>
            <w:tcW w:w="0" w:type="auto"/>
            <w:tcBorders>
              <w:top w:val="single" w:sz="4" w:space="0" w:color="000000"/>
              <w:left w:val="nil"/>
              <w:bottom w:val="single" w:sz="4" w:space="0" w:color="000000"/>
              <w:right w:val="nil"/>
            </w:tcBorders>
            <w:shd w:val="clear" w:color="auto" w:fill="auto"/>
            <w:vAlign w:val="center"/>
          </w:tcPr>
          <w:p w14:paraId="572D0EAD" w14:textId="77777777" w:rsidR="00E30483" w:rsidRPr="003E13DA" w:rsidRDefault="00E30483" w:rsidP="00646664">
            <w:pPr>
              <w:pStyle w:val="NoSpacing"/>
              <w:rPr>
                <w:b/>
              </w:rPr>
            </w:pPr>
            <w:bookmarkStart w:id="173" w:name="_3znysh7" w:colFirst="0" w:colLast="0"/>
            <w:bookmarkEnd w:id="173"/>
            <w:r w:rsidRPr="003E13DA">
              <w:rPr>
                <w:b/>
              </w:rPr>
              <w:t>App</w:t>
            </w:r>
          </w:p>
        </w:tc>
        <w:tc>
          <w:tcPr>
            <w:tcW w:w="0" w:type="auto"/>
            <w:tcBorders>
              <w:top w:val="single" w:sz="4" w:space="0" w:color="000000"/>
              <w:left w:val="nil"/>
              <w:bottom w:val="single" w:sz="4" w:space="0" w:color="000000"/>
              <w:right w:val="nil"/>
            </w:tcBorders>
            <w:shd w:val="clear" w:color="auto" w:fill="auto"/>
            <w:vAlign w:val="center"/>
          </w:tcPr>
          <w:p w14:paraId="7698E108" w14:textId="77777777" w:rsidR="00E30483" w:rsidRPr="003E13DA" w:rsidRDefault="00E30483" w:rsidP="00393414">
            <w:pPr>
              <w:pStyle w:val="NoSpacing"/>
              <w:jc w:val="center"/>
              <w:rPr>
                <w:b/>
              </w:rPr>
            </w:pPr>
            <w:r w:rsidRPr="003E13DA">
              <w:rPr>
                <w:b/>
              </w:rPr>
              <w:t xml:space="preserve">Web or </w:t>
            </w:r>
            <w:r w:rsidRPr="00DE4004">
              <w:rPr>
                <w:b/>
                <w:noProof/>
              </w:rPr>
              <w:t>phone based</w:t>
            </w:r>
            <w:r w:rsidRPr="003E13DA">
              <w:rPr>
                <w:b/>
              </w:rPr>
              <w:t xml:space="preserve"> (w/p)</w:t>
            </w:r>
          </w:p>
        </w:tc>
        <w:tc>
          <w:tcPr>
            <w:tcW w:w="0" w:type="auto"/>
            <w:tcBorders>
              <w:top w:val="single" w:sz="4" w:space="0" w:color="000000"/>
              <w:left w:val="nil"/>
              <w:bottom w:val="single" w:sz="4" w:space="0" w:color="000000"/>
              <w:right w:val="nil"/>
            </w:tcBorders>
            <w:shd w:val="clear" w:color="auto" w:fill="auto"/>
            <w:vAlign w:val="center"/>
          </w:tcPr>
          <w:p w14:paraId="61FDD61B" w14:textId="77777777" w:rsidR="00E30483" w:rsidRPr="003E13DA" w:rsidRDefault="00E30483" w:rsidP="00393414">
            <w:pPr>
              <w:pStyle w:val="NoSpacing"/>
              <w:jc w:val="center"/>
              <w:rPr>
                <w:b/>
              </w:rPr>
            </w:pPr>
            <w:r w:rsidRPr="003E13DA">
              <w:rPr>
                <w:b/>
              </w:rPr>
              <w:t>Clinical involvement</w:t>
            </w:r>
          </w:p>
        </w:tc>
        <w:tc>
          <w:tcPr>
            <w:tcW w:w="0" w:type="auto"/>
            <w:tcBorders>
              <w:top w:val="single" w:sz="4" w:space="0" w:color="000000"/>
              <w:left w:val="nil"/>
              <w:bottom w:val="single" w:sz="4" w:space="0" w:color="000000"/>
              <w:right w:val="nil"/>
            </w:tcBorders>
            <w:shd w:val="clear" w:color="auto" w:fill="auto"/>
            <w:vAlign w:val="center"/>
          </w:tcPr>
          <w:p w14:paraId="620BC0B8" w14:textId="77777777" w:rsidR="00E30483" w:rsidRPr="003E13DA" w:rsidRDefault="00E30483" w:rsidP="00393414">
            <w:pPr>
              <w:pStyle w:val="NoSpacing"/>
              <w:jc w:val="center"/>
              <w:rPr>
                <w:b/>
              </w:rPr>
            </w:pPr>
            <w:r w:rsidRPr="003E13DA">
              <w:rPr>
                <w:b/>
              </w:rPr>
              <w:t>Academic involvement</w:t>
            </w:r>
          </w:p>
        </w:tc>
        <w:tc>
          <w:tcPr>
            <w:tcW w:w="0" w:type="auto"/>
            <w:tcBorders>
              <w:top w:val="single" w:sz="4" w:space="0" w:color="000000"/>
              <w:left w:val="nil"/>
              <w:bottom w:val="single" w:sz="4" w:space="0" w:color="000000"/>
              <w:right w:val="nil"/>
            </w:tcBorders>
            <w:shd w:val="clear" w:color="auto" w:fill="auto"/>
            <w:vAlign w:val="center"/>
          </w:tcPr>
          <w:p w14:paraId="77ED36CC" w14:textId="77777777" w:rsidR="00E30483" w:rsidRPr="003E13DA" w:rsidRDefault="00E30483" w:rsidP="00393414">
            <w:pPr>
              <w:pStyle w:val="NoSpacing"/>
              <w:jc w:val="center"/>
              <w:rPr>
                <w:b/>
              </w:rPr>
            </w:pPr>
            <w:r w:rsidRPr="003E13DA">
              <w:rPr>
                <w:b/>
              </w:rPr>
              <w:t>Publications published or forthcoming</w:t>
            </w:r>
          </w:p>
        </w:tc>
        <w:tc>
          <w:tcPr>
            <w:tcW w:w="0" w:type="auto"/>
            <w:tcBorders>
              <w:top w:val="single" w:sz="4" w:space="0" w:color="000000"/>
              <w:left w:val="nil"/>
              <w:bottom w:val="single" w:sz="4" w:space="0" w:color="000000"/>
              <w:right w:val="nil"/>
            </w:tcBorders>
            <w:shd w:val="clear" w:color="auto" w:fill="auto"/>
            <w:vAlign w:val="center"/>
          </w:tcPr>
          <w:p w14:paraId="625C15C9" w14:textId="77777777" w:rsidR="00E30483" w:rsidRPr="003E13DA" w:rsidRDefault="00E30483" w:rsidP="00393414">
            <w:pPr>
              <w:pStyle w:val="NoSpacing"/>
              <w:jc w:val="center"/>
              <w:rPr>
                <w:b/>
              </w:rPr>
            </w:pPr>
            <w:r w:rsidRPr="003E13DA">
              <w:rPr>
                <w:b/>
              </w:rPr>
              <w:t>Other evidence</w:t>
            </w:r>
          </w:p>
        </w:tc>
        <w:tc>
          <w:tcPr>
            <w:tcW w:w="0" w:type="auto"/>
            <w:tcBorders>
              <w:top w:val="single" w:sz="4" w:space="0" w:color="000000"/>
              <w:left w:val="nil"/>
              <w:bottom w:val="single" w:sz="4" w:space="0" w:color="000000"/>
              <w:right w:val="nil"/>
            </w:tcBorders>
            <w:shd w:val="clear" w:color="auto" w:fill="auto"/>
            <w:vAlign w:val="center"/>
          </w:tcPr>
          <w:p w14:paraId="01BCAC98" w14:textId="77777777" w:rsidR="00E30483" w:rsidRPr="003E13DA" w:rsidRDefault="00E30483" w:rsidP="00393414">
            <w:pPr>
              <w:pStyle w:val="NoSpacing"/>
              <w:jc w:val="center"/>
              <w:rPr>
                <w:b/>
              </w:rPr>
            </w:pPr>
            <w:r w:rsidRPr="003E13DA">
              <w:rPr>
                <w:b/>
              </w:rPr>
              <w:t>Psychological approach or theory</w:t>
            </w:r>
          </w:p>
        </w:tc>
      </w:tr>
      <w:tr w:rsidR="00E30483" w14:paraId="1E8F133E" w14:textId="77777777" w:rsidTr="00A76323">
        <w:tc>
          <w:tcPr>
            <w:tcW w:w="0" w:type="auto"/>
            <w:tcBorders>
              <w:top w:val="single" w:sz="4" w:space="0" w:color="000000"/>
              <w:left w:val="nil"/>
              <w:bottom w:val="nil"/>
              <w:right w:val="nil"/>
            </w:tcBorders>
            <w:shd w:val="clear" w:color="auto" w:fill="auto"/>
          </w:tcPr>
          <w:p w14:paraId="38682F47" w14:textId="77777777" w:rsidR="00E30483" w:rsidRDefault="00E30483" w:rsidP="00646664">
            <w:pPr>
              <w:pStyle w:val="NoSpacing"/>
            </w:pPr>
            <w:r>
              <w:t>Aventurine Mood Improver</w:t>
            </w:r>
          </w:p>
        </w:tc>
        <w:tc>
          <w:tcPr>
            <w:tcW w:w="0" w:type="auto"/>
            <w:tcBorders>
              <w:top w:val="single" w:sz="4" w:space="0" w:color="000000"/>
              <w:left w:val="nil"/>
              <w:bottom w:val="nil"/>
              <w:right w:val="nil"/>
            </w:tcBorders>
            <w:shd w:val="clear" w:color="auto" w:fill="auto"/>
          </w:tcPr>
          <w:p w14:paraId="0FEA8698" w14:textId="77777777" w:rsidR="00E30483" w:rsidRDefault="00E30483" w:rsidP="00646664">
            <w:pPr>
              <w:pStyle w:val="NoSpacing"/>
              <w:jc w:val="center"/>
            </w:pPr>
            <w:r>
              <w:t>P</w:t>
            </w:r>
          </w:p>
        </w:tc>
        <w:tc>
          <w:tcPr>
            <w:tcW w:w="0" w:type="auto"/>
            <w:tcBorders>
              <w:top w:val="single" w:sz="4" w:space="0" w:color="000000"/>
              <w:left w:val="nil"/>
              <w:bottom w:val="nil"/>
              <w:right w:val="nil"/>
            </w:tcBorders>
            <w:shd w:val="clear" w:color="auto" w:fill="auto"/>
          </w:tcPr>
          <w:p w14:paraId="333A39DB" w14:textId="77777777" w:rsidR="00E30483" w:rsidRDefault="00E30483" w:rsidP="00646664">
            <w:pPr>
              <w:pStyle w:val="NoSpacing"/>
              <w:jc w:val="center"/>
            </w:pPr>
            <w:r>
              <w:t>N</w:t>
            </w:r>
          </w:p>
        </w:tc>
        <w:tc>
          <w:tcPr>
            <w:tcW w:w="0" w:type="auto"/>
            <w:tcBorders>
              <w:top w:val="single" w:sz="4" w:space="0" w:color="000000"/>
              <w:left w:val="nil"/>
              <w:bottom w:val="nil"/>
              <w:right w:val="nil"/>
            </w:tcBorders>
            <w:shd w:val="clear" w:color="auto" w:fill="auto"/>
          </w:tcPr>
          <w:p w14:paraId="5BCA48B8" w14:textId="77777777" w:rsidR="00E30483" w:rsidRDefault="00E30483" w:rsidP="00646664">
            <w:pPr>
              <w:pStyle w:val="NoSpacing"/>
              <w:jc w:val="center"/>
            </w:pPr>
            <w:r>
              <w:t>N</w:t>
            </w:r>
          </w:p>
        </w:tc>
        <w:tc>
          <w:tcPr>
            <w:tcW w:w="0" w:type="auto"/>
            <w:tcBorders>
              <w:top w:val="single" w:sz="4" w:space="0" w:color="000000"/>
              <w:left w:val="nil"/>
              <w:bottom w:val="nil"/>
              <w:right w:val="nil"/>
            </w:tcBorders>
            <w:shd w:val="clear" w:color="auto" w:fill="auto"/>
          </w:tcPr>
          <w:p w14:paraId="7A54A397" w14:textId="77777777" w:rsidR="00E30483" w:rsidRDefault="00E30483" w:rsidP="00646664">
            <w:pPr>
              <w:pStyle w:val="NoSpacing"/>
              <w:jc w:val="center"/>
            </w:pPr>
            <w:proofErr w:type="spellStart"/>
            <w:r>
              <w:t>Y</w:t>
            </w:r>
            <w:r w:rsidRPr="003515D7">
              <w:rPr>
                <w:vertAlign w:val="superscript"/>
              </w:rPr>
              <w:t>a</w:t>
            </w:r>
            <w:proofErr w:type="spellEnd"/>
          </w:p>
        </w:tc>
        <w:tc>
          <w:tcPr>
            <w:tcW w:w="0" w:type="auto"/>
            <w:tcBorders>
              <w:top w:val="single" w:sz="4" w:space="0" w:color="000000"/>
              <w:left w:val="nil"/>
              <w:bottom w:val="nil"/>
              <w:right w:val="nil"/>
            </w:tcBorders>
            <w:shd w:val="clear" w:color="auto" w:fill="auto"/>
          </w:tcPr>
          <w:p w14:paraId="1C14D583" w14:textId="77777777" w:rsidR="00E30483" w:rsidRDefault="00E30483" w:rsidP="00646664">
            <w:pPr>
              <w:pStyle w:val="NoSpacing"/>
              <w:jc w:val="center"/>
            </w:pPr>
            <w:proofErr w:type="spellStart"/>
            <w:r>
              <w:t>Y</w:t>
            </w:r>
            <w:r w:rsidRPr="00290413">
              <w:rPr>
                <w:vertAlign w:val="superscript"/>
              </w:rPr>
              <w:t>b</w:t>
            </w:r>
            <w:proofErr w:type="spellEnd"/>
          </w:p>
        </w:tc>
        <w:tc>
          <w:tcPr>
            <w:tcW w:w="0" w:type="auto"/>
            <w:tcBorders>
              <w:top w:val="single" w:sz="4" w:space="0" w:color="000000"/>
              <w:left w:val="nil"/>
              <w:bottom w:val="nil"/>
              <w:right w:val="nil"/>
            </w:tcBorders>
            <w:shd w:val="clear" w:color="auto" w:fill="auto"/>
          </w:tcPr>
          <w:p w14:paraId="664FCD97" w14:textId="77777777" w:rsidR="00E30483" w:rsidRDefault="00E30483" w:rsidP="00646664">
            <w:pPr>
              <w:pStyle w:val="NoSpacing"/>
              <w:jc w:val="center"/>
            </w:pPr>
            <w:r>
              <w:t>Y</w:t>
            </w:r>
          </w:p>
        </w:tc>
      </w:tr>
      <w:tr w:rsidR="00E30483" w14:paraId="1A4B0FF6" w14:textId="77777777" w:rsidTr="00A76323">
        <w:tc>
          <w:tcPr>
            <w:tcW w:w="0" w:type="auto"/>
            <w:tcBorders>
              <w:top w:val="nil"/>
              <w:left w:val="nil"/>
              <w:bottom w:val="nil"/>
              <w:right w:val="nil"/>
            </w:tcBorders>
            <w:shd w:val="clear" w:color="auto" w:fill="auto"/>
          </w:tcPr>
          <w:p w14:paraId="71E1EEE3" w14:textId="77777777" w:rsidR="00E30483" w:rsidRDefault="00E30483" w:rsidP="00646664">
            <w:pPr>
              <w:pStyle w:val="NoSpacing"/>
            </w:pPr>
            <w:r>
              <w:t>Beating the Blues</w:t>
            </w:r>
          </w:p>
        </w:tc>
        <w:tc>
          <w:tcPr>
            <w:tcW w:w="0" w:type="auto"/>
            <w:tcBorders>
              <w:top w:val="nil"/>
              <w:left w:val="nil"/>
              <w:bottom w:val="nil"/>
              <w:right w:val="nil"/>
            </w:tcBorders>
            <w:shd w:val="clear" w:color="auto" w:fill="auto"/>
          </w:tcPr>
          <w:p w14:paraId="0396719B" w14:textId="77777777" w:rsidR="00E30483" w:rsidRDefault="00E30483" w:rsidP="00646664">
            <w:pPr>
              <w:pStyle w:val="NoSpacing"/>
              <w:jc w:val="center"/>
            </w:pPr>
            <w:r>
              <w:t>W</w:t>
            </w:r>
          </w:p>
        </w:tc>
        <w:tc>
          <w:tcPr>
            <w:tcW w:w="0" w:type="auto"/>
            <w:tcBorders>
              <w:top w:val="nil"/>
              <w:left w:val="nil"/>
              <w:bottom w:val="nil"/>
              <w:right w:val="nil"/>
            </w:tcBorders>
            <w:shd w:val="clear" w:color="auto" w:fill="auto"/>
          </w:tcPr>
          <w:p w14:paraId="3D90F397"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7CDDCF1A"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645F242F"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30FC1623"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51EA083E" w14:textId="77777777" w:rsidR="00E30483" w:rsidRDefault="00E30483" w:rsidP="00646664">
            <w:pPr>
              <w:pStyle w:val="NoSpacing"/>
              <w:jc w:val="center"/>
            </w:pPr>
            <w:r>
              <w:t>Y</w:t>
            </w:r>
          </w:p>
        </w:tc>
      </w:tr>
      <w:tr w:rsidR="00E30483" w14:paraId="46F8ECFD" w14:textId="77777777" w:rsidTr="00A76323">
        <w:tc>
          <w:tcPr>
            <w:tcW w:w="0" w:type="auto"/>
            <w:tcBorders>
              <w:top w:val="nil"/>
              <w:left w:val="nil"/>
              <w:bottom w:val="nil"/>
              <w:right w:val="nil"/>
            </w:tcBorders>
            <w:shd w:val="clear" w:color="auto" w:fill="auto"/>
          </w:tcPr>
          <w:p w14:paraId="4CB01740" w14:textId="77777777" w:rsidR="00E30483" w:rsidRDefault="00E30483" w:rsidP="00646664">
            <w:pPr>
              <w:pStyle w:val="NoSpacing"/>
            </w:pPr>
            <w:r>
              <w:t>Big White Wall</w:t>
            </w:r>
          </w:p>
        </w:tc>
        <w:tc>
          <w:tcPr>
            <w:tcW w:w="0" w:type="auto"/>
            <w:tcBorders>
              <w:top w:val="nil"/>
              <w:left w:val="nil"/>
              <w:bottom w:val="nil"/>
              <w:right w:val="nil"/>
            </w:tcBorders>
            <w:shd w:val="clear" w:color="auto" w:fill="auto"/>
          </w:tcPr>
          <w:p w14:paraId="1A78C5A6" w14:textId="77777777" w:rsidR="00E30483" w:rsidRDefault="00E30483" w:rsidP="00646664">
            <w:pPr>
              <w:pStyle w:val="NoSpacing"/>
              <w:jc w:val="center"/>
            </w:pPr>
            <w:r>
              <w:t>W</w:t>
            </w:r>
          </w:p>
        </w:tc>
        <w:tc>
          <w:tcPr>
            <w:tcW w:w="0" w:type="auto"/>
            <w:tcBorders>
              <w:top w:val="nil"/>
              <w:left w:val="nil"/>
              <w:bottom w:val="nil"/>
              <w:right w:val="nil"/>
            </w:tcBorders>
            <w:shd w:val="clear" w:color="auto" w:fill="auto"/>
          </w:tcPr>
          <w:p w14:paraId="26432B27"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79DB3355"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694D3E9C" w14:textId="77777777" w:rsidR="00E30483" w:rsidRDefault="00E30483" w:rsidP="00646664">
            <w:pPr>
              <w:pStyle w:val="NoSpacing"/>
              <w:jc w:val="center"/>
            </w:pPr>
            <w:proofErr w:type="spellStart"/>
            <w:r>
              <w:t>Y</w:t>
            </w:r>
            <w:r w:rsidRPr="00290413">
              <w:rPr>
                <w:vertAlign w:val="superscript"/>
              </w:rPr>
              <w:t>c</w:t>
            </w:r>
            <w:proofErr w:type="spellEnd"/>
          </w:p>
        </w:tc>
        <w:tc>
          <w:tcPr>
            <w:tcW w:w="0" w:type="auto"/>
            <w:tcBorders>
              <w:top w:val="nil"/>
              <w:left w:val="nil"/>
              <w:bottom w:val="nil"/>
              <w:right w:val="nil"/>
            </w:tcBorders>
            <w:shd w:val="clear" w:color="auto" w:fill="auto"/>
          </w:tcPr>
          <w:p w14:paraId="5367D4E4" w14:textId="77777777" w:rsidR="00E30483" w:rsidRDefault="00E30483" w:rsidP="00646664">
            <w:pPr>
              <w:pStyle w:val="NoSpacing"/>
              <w:jc w:val="center"/>
            </w:pPr>
            <w:proofErr w:type="spellStart"/>
            <w:r w:rsidRPr="00393414">
              <w:t>Y</w:t>
            </w:r>
            <w:r w:rsidRPr="00290413">
              <w:rPr>
                <w:vertAlign w:val="superscript"/>
              </w:rPr>
              <w:t>c</w:t>
            </w:r>
            <w:proofErr w:type="spellEnd"/>
          </w:p>
        </w:tc>
        <w:tc>
          <w:tcPr>
            <w:tcW w:w="0" w:type="auto"/>
            <w:tcBorders>
              <w:top w:val="nil"/>
              <w:left w:val="nil"/>
              <w:bottom w:val="nil"/>
              <w:right w:val="nil"/>
            </w:tcBorders>
            <w:shd w:val="clear" w:color="auto" w:fill="auto"/>
          </w:tcPr>
          <w:p w14:paraId="515F1016" w14:textId="77777777" w:rsidR="00E30483" w:rsidRDefault="00E30483" w:rsidP="00646664">
            <w:pPr>
              <w:pStyle w:val="NoSpacing"/>
              <w:jc w:val="center"/>
            </w:pPr>
            <w:r>
              <w:t>Y</w:t>
            </w:r>
          </w:p>
        </w:tc>
      </w:tr>
      <w:tr w:rsidR="00E30483" w14:paraId="27442B3D" w14:textId="77777777" w:rsidTr="00A76323">
        <w:tc>
          <w:tcPr>
            <w:tcW w:w="0" w:type="auto"/>
            <w:tcBorders>
              <w:top w:val="nil"/>
              <w:left w:val="nil"/>
              <w:bottom w:val="nil"/>
              <w:right w:val="nil"/>
            </w:tcBorders>
            <w:shd w:val="clear" w:color="auto" w:fill="auto"/>
          </w:tcPr>
          <w:p w14:paraId="56A88D4F" w14:textId="77777777" w:rsidR="00E30483" w:rsidRDefault="00E30483" w:rsidP="00646664">
            <w:pPr>
              <w:pStyle w:val="NoSpacing"/>
            </w:pPr>
            <w:r>
              <w:t>Black Rainbow</w:t>
            </w:r>
          </w:p>
        </w:tc>
        <w:tc>
          <w:tcPr>
            <w:tcW w:w="0" w:type="auto"/>
            <w:tcBorders>
              <w:top w:val="nil"/>
              <w:left w:val="nil"/>
              <w:bottom w:val="nil"/>
              <w:right w:val="nil"/>
            </w:tcBorders>
            <w:shd w:val="clear" w:color="auto" w:fill="auto"/>
          </w:tcPr>
          <w:p w14:paraId="1B420304"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4E7A78D5"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B7A6F0D"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3303203D"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19F887D3"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6E7F5DF3" w14:textId="77777777" w:rsidR="00E30483" w:rsidRDefault="00E30483" w:rsidP="00646664">
            <w:pPr>
              <w:pStyle w:val="NoSpacing"/>
              <w:jc w:val="center"/>
            </w:pPr>
            <w:r>
              <w:t>N</w:t>
            </w:r>
          </w:p>
        </w:tc>
      </w:tr>
      <w:tr w:rsidR="00E30483" w14:paraId="2C7766F7" w14:textId="77777777" w:rsidTr="00A76323">
        <w:tc>
          <w:tcPr>
            <w:tcW w:w="0" w:type="auto"/>
            <w:tcBorders>
              <w:top w:val="nil"/>
              <w:left w:val="nil"/>
              <w:bottom w:val="nil"/>
              <w:right w:val="nil"/>
            </w:tcBorders>
            <w:shd w:val="clear" w:color="auto" w:fill="auto"/>
          </w:tcPr>
          <w:p w14:paraId="7D3B95A7" w14:textId="77777777" w:rsidR="00E30483" w:rsidRDefault="00E30483" w:rsidP="00646664">
            <w:pPr>
              <w:pStyle w:val="NoSpacing"/>
            </w:pPr>
            <w:r>
              <w:t>Buddy App</w:t>
            </w:r>
          </w:p>
        </w:tc>
        <w:tc>
          <w:tcPr>
            <w:tcW w:w="0" w:type="auto"/>
            <w:tcBorders>
              <w:top w:val="nil"/>
              <w:left w:val="nil"/>
              <w:bottom w:val="nil"/>
              <w:right w:val="nil"/>
            </w:tcBorders>
            <w:shd w:val="clear" w:color="auto" w:fill="auto"/>
          </w:tcPr>
          <w:p w14:paraId="71E92758" w14:textId="77777777" w:rsidR="00E30483" w:rsidRDefault="00E30483" w:rsidP="00646664">
            <w:pPr>
              <w:pStyle w:val="NoSpacing"/>
              <w:jc w:val="center"/>
            </w:pPr>
            <w:r>
              <w:t>W</w:t>
            </w:r>
          </w:p>
        </w:tc>
        <w:tc>
          <w:tcPr>
            <w:tcW w:w="0" w:type="auto"/>
            <w:tcBorders>
              <w:top w:val="nil"/>
              <w:left w:val="nil"/>
              <w:bottom w:val="nil"/>
              <w:right w:val="nil"/>
            </w:tcBorders>
            <w:shd w:val="clear" w:color="auto" w:fill="auto"/>
          </w:tcPr>
          <w:p w14:paraId="18974897"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7EC898CD"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709AE967"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01F91B38" w14:textId="77777777" w:rsidR="00E30483" w:rsidRDefault="00E30483" w:rsidP="00646664">
            <w:pPr>
              <w:pStyle w:val="NoSpacing"/>
              <w:jc w:val="center"/>
            </w:pPr>
            <w:proofErr w:type="spellStart"/>
            <w:r>
              <w:t>Y</w:t>
            </w:r>
            <w:r w:rsidRPr="00290413">
              <w:rPr>
                <w:vertAlign w:val="superscript"/>
              </w:rPr>
              <w:t>d</w:t>
            </w:r>
            <w:proofErr w:type="spellEnd"/>
          </w:p>
        </w:tc>
        <w:tc>
          <w:tcPr>
            <w:tcW w:w="0" w:type="auto"/>
            <w:tcBorders>
              <w:top w:val="nil"/>
              <w:left w:val="nil"/>
              <w:bottom w:val="nil"/>
              <w:right w:val="nil"/>
            </w:tcBorders>
            <w:shd w:val="clear" w:color="auto" w:fill="auto"/>
          </w:tcPr>
          <w:p w14:paraId="4C95DE21" w14:textId="77777777" w:rsidR="00E30483" w:rsidRDefault="00E30483" w:rsidP="00646664">
            <w:pPr>
              <w:pStyle w:val="NoSpacing"/>
              <w:jc w:val="center"/>
            </w:pPr>
            <w:r>
              <w:t>N</w:t>
            </w:r>
            <w:r w:rsidRPr="00290413">
              <w:rPr>
                <w:vertAlign w:val="superscript"/>
              </w:rPr>
              <w:t>e</w:t>
            </w:r>
          </w:p>
        </w:tc>
      </w:tr>
      <w:tr w:rsidR="00E30483" w14:paraId="6B7CB45D" w14:textId="77777777" w:rsidTr="00A76323">
        <w:tc>
          <w:tcPr>
            <w:tcW w:w="0" w:type="auto"/>
            <w:tcBorders>
              <w:top w:val="nil"/>
              <w:left w:val="nil"/>
              <w:bottom w:val="nil"/>
              <w:right w:val="nil"/>
            </w:tcBorders>
            <w:shd w:val="clear" w:color="auto" w:fill="auto"/>
          </w:tcPr>
          <w:p w14:paraId="7BB5ED70" w14:textId="77777777" w:rsidR="00E30483" w:rsidRDefault="00E30483" w:rsidP="00646664">
            <w:pPr>
              <w:pStyle w:val="NoSpacing"/>
            </w:pPr>
            <w:r>
              <w:t xml:space="preserve">Depression </w:t>
            </w:r>
            <w:proofErr w:type="spellStart"/>
            <w:r>
              <w:t>Calculator</w:t>
            </w:r>
            <w:r w:rsidRPr="003515D7">
              <w:rPr>
                <w:vertAlign w:val="superscript"/>
              </w:rPr>
              <w:t>f</w:t>
            </w:r>
            <w:proofErr w:type="spellEnd"/>
          </w:p>
        </w:tc>
        <w:tc>
          <w:tcPr>
            <w:tcW w:w="0" w:type="auto"/>
            <w:tcBorders>
              <w:top w:val="nil"/>
              <w:left w:val="nil"/>
              <w:bottom w:val="nil"/>
              <w:right w:val="nil"/>
            </w:tcBorders>
            <w:shd w:val="clear" w:color="auto" w:fill="auto"/>
          </w:tcPr>
          <w:p w14:paraId="0D62EE7B"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2763A3DA"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34919A64"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50DCD102"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24B1C08"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567F44BC" w14:textId="77777777" w:rsidR="00E30483" w:rsidRDefault="00E30483" w:rsidP="00646664">
            <w:pPr>
              <w:pStyle w:val="NoSpacing"/>
              <w:jc w:val="center"/>
            </w:pPr>
            <w:r>
              <w:t>N</w:t>
            </w:r>
          </w:p>
        </w:tc>
      </w:tr>
      <w:tr w:rsidR="00E30483" w14:paraId="62244E5C" w14:textId="77777777" w:rsidTr="00A76323">
        <w:tc>
          <w:tcPr>
            <w:tcW w:w="0" w:type="auto"/>
            <w:tcBorders>
              <w:top w:val="nil"/>
              <w:left w:val="nil"/>
              <w:bottom w:val="nil"/>
              <w:right w:val="nil"/>
            </w:tcBorders>
            <w:shd w:val="clear" w:color="auto" w:fill="auto"/>
          </w:tcPr>
          <w:p w14:paraId="2A204C59" w14:textId="77777777" w:rsidR="00E30483" w:rsidRDefault="00E30483" w:rsidP="00646664">
            <w:pPr>
              <w:pStyle w:val="NoSpacing"/>
            </w:pPr>
            <w:proofErr w:type="spellStart"/>
            <w:r>
              <w:t>DigitalMeds</w:t>
            </w:r>
            <w:proofErr w:type="spellEnd"/>
          </w:p>
        </w:tc>
        <w:tc>
          <w:tcPr>
            <w:tcW w:w="0" w:type="auto"/>
            <w:tcBorders>
              <w:top w:val="nil"/>
              <w:left w:val="nil"/>
              <w:bottom w:val="nil"/>
              <w:right w:val="nil"/>
            </w:tcBorders>
            <w:shd w:val="clear" w:color="auto" w:fill="auto"/>
          </w:tcPr>
          <w:p w14:paraId="341DAFD9"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71EFF68A"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1DD1FCC1"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1BDA2BE4" w14:textId="77777777" w:rsidR="00E30483" w:rsidRDefault="00E30483" w:rsidP="00646664">
            <w:pPr>
              <w:pStyle w:val="NoSpacing"/>
              <w:jc w:val="center"/>
            </w:pPr>
            <w:proofErr w:type="spellStart"/>
            <w:r>
              <w:t>Y</w:t>
            </w:r>
            <w:r w:rsidRPr="00290413">
              <w:rPr>
                <w:vertAlign w:val="superscript"/>
              </w:rPr>
              <w:t>a</w:t>
            </w:r>
            <w:proofErr w:type="spellEnd"/>
          </w:p>
        </w:tc>
        <w:tc>
          <w:tcPr>
            <w:tcW w:w="0" w:type="auto"/>
            <w:tcBorders>
              <w:top w:val="nil"/>
              <w:left w:val="nil"/>
              <w:bottom w:val="nil"/>
              <w:right w:val="nil"/>
            </w:tcBorders>
            <w:shd w:val="clear" w:color="auto" w:fill="auto"/>
          </w:tcPr>
          <w:p w14:paraId="1BD29103"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7811E8FE" w14:textId="77777777" w:rsidR="00E30483" w:rsidRDefault="00E30483" w:rsidP="00646664">
            <w:pPr>
              <w:pStyle w:val="NoSpacing"/>
              <w:jc w:val="center"/>
            </w:pPr>
            <w:r>
              <w:t>Y</w:t>
            </w:r>
          </w:p>
        </w:tc>
      </w:tr>
      <w:tr w:rsidR="00E30483" w14:paraId="079B01F7" w14:textId="77777777" w:rsidTr="00A76323">
        <w:tc>
          <w:tcPr>
            <w:tcW w:w="0" w:type="auto"/>
            <w:tcBorders>
              <w:top w:val="nil"/>
              <w:left w:val="nil"/>
              <w:bottom w:val="nil"/>
              <w:right w:val="nil"/>
            </w:tcBorders>
            <w:shd w:val="clear" w:color="auto" w:fill="auto"/>
          </w:tcPr>
          <w:p w14:paraId="25DF0374" w14:textId="77777777" w:rsidR="00E30483" w:rsidRDefault="00E30483" w:rsidP="00646664">
            <w:pPr>
              <w:pStyle w:val="NoSpacing"/>
            </w:pPr>
            <w:r>
              <w:t xml:space="preserve">Don't </w:t>
            </w:r>
            <w:proofErr w:type="spellStart"/>
            <w:r>
              <w:t>Panic!</w:t>
            </w:r>
            <w:r w:rsidRPr="00290413">
              <w:rPr>
                <w:vertAlign w:val="superscript"/>
              </w:rPr>
              <w:t>f</w:t>
            </w:r>
            <w:proofErr w:type="spellEnd"/>
          </w:p>
        </w:tc>
        <w:tc>
          <w:tcPr>
            <w:tcW w:w="0" w:type="auto"/>
            <w:tcBorders>
              <w:top w:val="nil"/>
              <w:left w:val="nil"/>
              <w:bottom w:val="nil"/>
              <w:right w:val="nil"/>
            </w:tcBorders>
            <w:shd w:val="clear" w:color="auto" w:fill="auto"/>
          </w:tcPr>
          <w:p w14:paraId="77943F6C"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0D51FA9D"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1D080D90"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58FD0D73"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7EF9E132"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534134FF" w14:textId="77777777" w:rsidR="00E30483" w:rsidRDefault="00E30483" w:rsidP="00646664">
            <w:pPr>
              <w:pStyle w:val="NoSpacing"/>
              <w:jc w:val="center"/>
            </w:pPr>
            <w:r>
              <w:t>Y</w:t>
            </w:r>
          </w:p>
        </w:tc>
      </w:tr>
      <w:tr w:rsidR="00E30483" w14:paraId="5A8108C2" w14:textId="77777777" w:rsidTr="00A76323">
        <w:tc>
          <w:tcPr>
            <w:tcW w:w="0" w:type="auto"/>
            <w:tcBorders>
              <w:top w:val="nil"/>
              <w:left w:val="nil"/>
              <w:bottom w:val="nil"/>
              <w:right w:val="nil"/>
            </w:tcBorders>
            <w:shd w:val="clear" w:color="auto" w:fill="auto"/>
          </w:tcPr>
          <w:p w14:paraId="60A726B6" w14:textId="77777777" w:rsidR="00E30483" w:rsidRDefault="00E30483" w:rsidP="00646664">
            <w:pPr>
              <w:pStyle w:val="NoSpacing"/>
            </w:pPr>
            <w:r>
              <w:t>Fear Fighter</w:t>
            </w:r>
          </w:p>
        </w:tc>
        <w:tc>
          <w:tcPr>
            <w:tcW w:w="0" w:type="auto"/>
            <w:tcBorders>
              <w:top w:val="nil"/>
              <w:left w:val="nil"/>
              <w:bottom w:val="nil"/>
              <w:right w:val="nil"/>
            </w:tcBorders>
            <w:shd w:val="clear" w:color="auto" w:fill="auto"/>
          </w:tcPr>
          <w:p w14:paraId="078506FC" w14:textId="77777777" w:rsidR="00E30483" w:rsidRDefault="00E30483" w:rsidP="00646664">
            <w:pPr>
              <w:pStyle w:val="NoSpacing"/>
              <w:jc w:val="center"/>
            </w:pPr>
            <w:r>
              <w:t>W</w:t>
            </w:r>
          </w:p>
        </w:tc>
        <w:tc>
          <w:tcPr>
            <w:tcW w:w="0" w:type="auto"/>
            <w:tcBorders>
              <w:top w:val="nil"/>
              <w:left w:val="nil"/>
              <w:bottom w:val="nil"/>
              <w:right w:val="nil"/>
            </w:tcBorders>
            <w:shd w:val="clear" w:color="auto" w:fill="auto"/>
          </w:tcPr>
          <w:p w14:paraId="1569B67C"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138A6AB9"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402CED1C"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169123F7"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591D7792" w14:textId="77777777" w:rsidR="00E30483" w:rsidRDefault="00E30483" w:rsidP="00646664">
            <w:pPr>
              <w:pStyle w:val="NoSpacing"/>
              <w:jc w:val="center"/>
            </w:pPr>
            <w:r>
              <w:t>Y</w:t>
            </w:r>
          </w:p>
        </w:tc>
      </w:tr>
      <w:tr w:rsidR="00E30483" w14:paraId="5E4673FB" w14:textId="77777777" w:rsidTr="00A76323">
        <w:tc>
          <w:tcPr>
            <w:tcW w:w="0" w:type="auto"/>
            <w:tcBorders>
              <w:top w:val="nil"/>
              <w:left w:val="nil"/>
              <w:bottom w:val="nil"/>
              <w:right w:val="nil"/>
            </w:tcBorders>
            <w:shd w:val="clear" w:color="auto" w:fill="auto"/>
          </w:tcPr>
          <w:p w14:paraId="2339E9D2" w14:textId="77777777" w:rsidR="00E30483" w:rsidRDefault="00E30483" w:rsidP="00646664">
            <w:pPr>
              <w:pStyle w:val="NoSpacing"/>
            </w:pPr>
            <w:r>
              <w:t>Five Ways to Wellbeing</w:t>
            </w:r>
          </w:p>
        </w:tc>
        <w:tc>
          <w:tcPr>
            <w:tcW w:w="0" w:type="auto"/>
            <w:tcBorders>
              <w:top w:val="nil"/>
              <w:left w:val="nil"/>
              <w:bottom w:val="nil"/>
              <w:right w:val="nil"/>
            </w:tcBorders>
            <w:shd w:val="clear" w:color="auto" w:fill="auto"/>
          </w:tcPr>
          <w:p w14:paraId="7FCBF3FA"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4E5BC417"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317E9361"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5FE8AEBA"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7C840223" w14:textId="77777777" w:rsidR="00E30483" w:rsidRDefault="00E30483" w:rsidP="00646664">
            <w:pPr>
              <w:pStyle w:val="NoSpacing"/>
              <w:jc w:val="center"/>
            </w:pPr>
            <w:proofErr w:type="spellStart"/>
            <w:r>
              <w:t>Y</w:t>
            </w:r>
            <w:r w:rsidRPr="00290413">
              <w:rPr>
                <w:vertAlign w:val="superscript"/>
              </w:rPr>
              <w:t>g</w:t>
            </w:r>
            <w:proofErr w:type="spellEnd"/>
          </w:p>
        </w:tc>
        <w:tc>
          <w:tcPr>
            <w:tcW w:w="0" w:type="auto"/>
            <w:tcBorders>
              <w:top w:val="nil"/>
              <w:left w:val="nil"/>
              <w:bottom w:val="nil"/>
              <w:right w:val="nil"/>
            </w:tcBorders>
            <w:shd w:val="clear" w:color="auto" w:fill="auto"/>
          </w:tcPr>
          <w:p w14:paraId="6F53007B" w14:textId="77777777" w:rsidR="00E30483" w:rsidRDefault="00E30483" w:rsidP="00646664">
            <w:pPr>
              <w:pStyle w:val="NoSpacing"/>
              <w:jc w:val="center"/>
            </w:pPr>
            <w:r>
              <w:t>Y</w:t>
            </w:r>
          </w:p>
        </w:tc>
      </w:tr>
      <w:tr w:rsidR="00E30483" w14:paraId="738DC05C" w14:textId="77777777" w:rsidTr="00A76323">
        <w:tc>
          <w:tcPr>
            <w:tcW w:w="0" w:type="auto"/>
            <w:tcBorders>
              <w:top w:val="nil"/>
              <w:left w:val="nil"/>
              <w:bottom w:val="nil"/>
              <w:right w:val="nil"/>
            </w:tcBorders>
            <w:shd w:val="clear" w:color="auto" w:fill="auto"/>
          </w:tcPr>
          <w:p w14:paraId="4FDC436B" w14:textId="77777777" w:rsidR="00E30483" w:rsidRDefault="00E30483" w:rsidP="00646664">
            <w:pPr>
              <w:pStyle w:val="NoSpacing"/>
            </w:pPr>
            <w:r>
              <w:t>Ginsberg App</w:t>
            </w:r>
          </w:p>
        </w:tc>
        <w:tc>
          <w:tcPr>
            <w:tcW w:w="0" w:type="auto"/>
            <w:tcBorders>
              <w:top w:val="nil"/>
              <w:left w:val="nil"/>
              <w:bottom w:val="nil"/>
              <w:right w:val="nil"/>
            </w:tcBorders>
            <w:shd w:val="clear" w:color="auto" w:fill="auto"/>
          </w:tcPr>
          <w:p w14:paraId="5013348A"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0BD375B7"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4A57B051"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2113EE2B"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14A499D3"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09AE01F5" w14:textId="77777777" w:rsidR="00E30483" w:rsidRDefault="00E30483" w:rsidP="00646664">
            <w:pPr>
              <w:pStyle w:val="NoSpacing"/>
              <w:jc w:val="center"/>
            </w:pPr>
            <w:r>
              <w:t>Y</w:t>
            </w:r>
          </w:p>
        </w:tc>
      </w:tr>
      <w:tr w:rsidR="00E30483" w14:paraId="69E65A02" w14:textId="77777777" w:rsidTr="00A76323">
        <w:tc>
          <w:tcPr>
            <w:tcW w:w="0" w:type="auto"/>
            <w:tcBorders>
              <w:top w:val="nil"/>
              <w:left w:val="nil"/>
              <w:bottom w:val="nil"/>
              <w:right w:val="nil"/>
            </w:tcBorders>
            <w:shd w:val="clear" w:color="auto" w:fill="auto"/>
          </w:tcPr>
          <w:p w14:paraId="201977A5" w14:textId="77777777" w:rsidR="00E30483" w:rsidRDefault="00E30483" w:rsidP="00646664">
            <w:pPr>
              <w:pStyle w:val="NoSpacing"/>
            </w:pPr>
            <w:r>
              <w:t>Happy Healthy App</w:t>
            </w:r>
          </w:p>
        </w:tc>
        <w:tc>
          <w:tcPr>
            <w:tcW w:w="0" w:type="auto"/>
            <w:tcBorders>
              <w:top w:val="nil"/>
              <w:left w:val="nil"/>
              <w:bottom w:val="nil"/>
              <w:right w:val="nil"/>
            </w:tcBorders>
            <w:shd w:val="clear" w:color="auto" w:fill="auto"/>
          </w:tcPr>
          <w:p w14:paraId="0C0FAFEA"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50DC559C"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2FCD24F4"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6C0F71F7"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2793FBF4"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733596C8" w14:textId="77777777" w:rsidR="00E30483" w:rsidRDefault="00E30483" w:rsidP="00646664">
            <w:pPr>
              <w:pStyle w:val="NoSpacing"/>
              <w:jc w:val="center"/>
            </w:pPr>
            <w:r>
              <w:t>N</w:t>
            </w:r>
          </w:p>
        </w:tc>
      </w:tr>
      <w:tr w:rsidR="00E30483" w14:paraId="6530A635" w14:textId="77777777" w:rsidTr="00A76323">
        <w:tc>
          <w:tcPr>
            <w:tcW w:w="0" w:type="auto"/>
            <w:tcBorders>
              <w:top w:val="nil"/>
              <w:left w:val="nil"/>
              <w:bottom w:val="nil"/>
              <w:right w:val="nil"/>
            </w:tcBorders>
            <w:shd w:val="clear" w:color="auto" w:fill="auto"/>
          </w:tcPr>
          <w:p w14:paraId="4517F989" w14:textId="77777777" w:rsidR="00E30483" w:rsidRDefault="00E30483" w:rsidP="00646664">
            <w:pPr>
              <w:pStyle w:val="NoSpacing"/>
            </w:pPr>
            <w:r>
              <w:t>Headspace</w:t>
            </w:r>
          </w:p>
        </w:tc>
        <w:tc>
          <w:tcPr>
            <w:tcW w:w="0" w:type="auto"/>
            <w:tcBorders>
              <w:top w:val="nil"/>
              <w:left w:val="nil"/>
              <w:bottom w:val="nil"/>
              <w:right w:val="nil"/>
            </w:tcBorders>
            <w:shd w:val="clear" w:color="auto" w:fill="auto"/>
          </w:tcPr>
          <w:p w14:paraId="43CCCB72"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22A5A39E"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78297A6"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78009E6F"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4ACAEE14"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661C4284" w14:textId="77777777" w:rsidR="00E30483" w:rsidRDefault="00E30483" w:rsidP="00646664">
            <w:pPr>
              <w:pStyle w:val="NoSpacing"/>
              <w:jc w:val="center"/>
            </w:pPr>
            <w:r>
              <w:t>Y</w:t>
            </w:r>
          </w:p>
        </w:tc>
      </w:tr>
      <w:tr w:rsidR="00E30483" w14:paraId="762BF621" w14:textId="77777777" w:rsidTr="00A76323">
        <w:tc>
          <w:tcPr>
            <w:tcW w:w="0" w:type="auto"/>
            <w:tcBorders>
              <w:top w:val="nil"/>
              <w:left w:val="nil"/>
              <w:bottom w:val="nil"/>
              <w:right w:val="nil"/>
            </w:tcBorders>
            <w:shd w:val="clear" w:color="auto" w:fill="auto"/>
          </w:tcPr>
          <w:p w14:paraId="16651A72" w14:textId="77777777" w:rsidR="00E30483" w:rsidRDefault="00E30483" w:rsidP="00646664">
            <w:pPr>
              <w:pStyle w:val="NoSpacing"/>
            </w:pPr>
            <w:proofErr w:type="spellStart"/>
            <w:r>
              <w:t>Healthstored</w:t>
            </w:r>
            <w:proofErr w:type="spellEnd"/>
          </w:p>
        </w:tc>
        <w:tc>
          <w:tcPr>
            <w:tcW w:w="0" w:type="auto"/>
            <w:tcBorders>
              <w:top w:val="nil"/>
              <w:left w:val="nil"/>
              <w:bottom w:val="nil"/>
              <w:right w:val="nil"/>
            </w:tcBorders>
            <w:shd w:val="clear" w:color="auto" w:fill="auto"/>
          </w:tcPr>
          <w:p w14:paraId="3FB43D10"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00976AC1"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BE71CB8"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7C4597EE"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14E29002"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52BB4AA8" w14:textId="77777777" w:rsidR="00E30483" w:rsidRDefault="00E30483" w:rsidP="00646664">
            <w:pPr>
              <w:pStyle w:val="NoSpacing"/>
              <w:jc w:val="center"/>
            </w:pPr>
            <w:r>
              <w:t>N</w:t>
            </w:r>
          </w:p>
        </w:tc>
      </w:tr>
      <w:tr w:rsidR="00E30483" w14:paraId="15FDE2EA" w14:textId="77777777" w:rsidTr="00A76323">
        <w:tc>
          <w:tcPr>
            <w:tcW w:w="0" w:type="auto"/>
            <w:tcBorders>
              <w:top w:val="nil"/>
              <w:left w:val="nil"/>
              <w:bottom w:val="nil"/>
              <w:right w:val="nil"/>
            </w:tcBorders>
            <w:shd w:val="clear" w:color="auto" w:fill="auto"/>
          </w:tcPr>
          <w:p w14:paraId="0F8E4DCC" w14:textId="77777777" w:rsidR="00E30483" w:rsidRDefault="00E30483" w:rsidP="00646664">
            <w:pPr>
              <w:pStyle w:val="NoSpacing"/>
            </w:pPr>
            <w:r>
              <w:t xml:space="preserve">Healthy </w:t>
            </w:r>
            <w:r w:rsidRPr="00DE4004">
              <w:rPr>
                <w:noProof/>
              </w:rPr>
              <w:t>Living</w:t>
            </w:r>
            <w:r w:rsidRPr="00DE4004">
              <w:rPr>
                <w:noProof/>
                <w:vertAlign w:val="superscript"/>
              </w:rPr>
              <w:t>f</w:t>
            </w:r>
          </w:p>
        </w:tc>
        <w:tc>
          <w:tcPr>
            <w:tcW w:w="0" w:type="auto"/>
            <w:tcBorders>
              <w:top w:val="nil"/>
              <w:left w:val="nil"/>
              <w:bottom w:val="nil"/>
              <w:right w:val="nil"/>
            </w:tcBorders>
            <w:shd w:val="clear" w:color="auto" w:fill="auto"/>
          </w:tcPr>
          <w:p w14:paraId="614B3DAF"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1E8A53B8"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3BBA77F6"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7B98E218"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3326A8BB"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6D23EB11" w14:textId="77777777" w:rsidR="00E30483" w:rsidRDefault="00E30483" w:rsidP="00646664">
            <w:pPr>
              <w:pStyle w:val="NoSpacing"/>
              <w:jc w:val="center"/>
            </w:pPr>
            <w:r>
              <w:t>N</w:t>
            </w:r>
          </w:p>
        </w:tc>
      </w:tr>
      <w:tr w:rsidR="00E30483" w14:paraId="6A2C8F31" w14:textId="77777777" w:rsidTr="00A76323">
        <w:tc>
          <w:tcPr>
            <w:tcW w:w="0" w:type="auto"/>
            <w:tcBorders>
              <w:top w:val="nil"/>
              <w:left w:val="nil"/>
              <w:bottom w:val="nil"/>
              <w:right w:val="nil"/>
            </w:tcBorders>
            <w:shd w:val="clear" w:color="auto" w:fill="auto"/>
          </w:tcPr>
          <w:p w14:paraId="47F6E8AC" w14:textId="77777777" w:rsidR="00E30483" w:rsidRPr="00D45D48" w:rsidRDefault="00E30483" w:rsidP="00646664">
            <w:pPr>
              <w:pStyle w:val="NoSpacing"/>
              <w:rPr>
                <w:lang w:val="en-GB"/>
              </w:rPr>
            </w:pPr>
            <w:r>
              <w:t>Hello Brain Health</w:t>
            </w:r>
          </w:p>
        </w:tc>
        <w:tc>
          <w:tcPr>
            <w:tcW w:w="0" w:type="auto"/>
            <w:tcBorders>
              <w:top w:val="nil"/>
              <w:left w:val="nil"/>
              <w:bottom w:val="nil"/>
              <w:right w:val="nil"/>
            </w:tcBorders>
            <w:shd w:val="clear" w:color="auto" w:fill="auto"/>
          </w:tcPr>
          <w:p w14:paraId="6648FB21"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18D7095E"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0C8F0F9A"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6756401D" w14:textId="77777777" w:rsidR="00E30483" w:rsidRDefault="00E30483" w:rsidP="00646664">
            <w:pPr>
              <w:pStyle w:val="NoSpacing"/>
              <w:jc w:val="center"/>
            </w:pPr>
            <w:proofErr w:type="spellStart"/>
            <w:r>
              <w:t>Y</w:t>
            </w:r>
            <w:r w:rsidRPr="00290413">
              <w:rPr>
                <w:vertAlign w:val="superscript"/>
              </w:rPr>
              <w:t>h</w:t>
            </w:r>
            <w:proofErr w:type="spellEnd"/>
          </w:p>
        </w:tc>
        <w:tc>
          <w:tcPr>
            <w:tcW w:w="0" w:type="auto"/>
            <w:tcBorders>
              <w:top w:val="nil"/>
              <w:left w:val="nil"/>
              <w:bottom w:val="nil"/>
              <w:right w:val="nil"/>
            </w:tcBorders>
            <w:shd w:val="clear" w:color="auto" w:fill="auto"/>
          </w:tcPr>
          <w:p w14:paraId="72E68913"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1125975D" w14:textId="77777777" w:rsidR="00E30483" w:rsidRDefault="00E30483" w:rsidP="00646664">
            <w:pPr>
              <w:pStyle w:val="NoSpacing"/>
              <w:jc w:val="center"/>
            </w:pPr>
            <w:r>
              <w:t>Y</w:t>
            </w:r>
          </w:p>
        </w:tc>
      </w:tr>
      <w:tr w:rsidR="00E30483" w14:paraId="42DC92DF" w14:textId="77777777" w:rsidTr="00A76323">
        <w:tc>
          <w:tcPr>
            <w:tcW w:w="0" w:type="auto"/>
            <w:tcBorders>
              <w:top w:val="nil"/>
              <w:left w:val="nil"/>
              <w:bottom w:val="nil"/>
              <w:right w:val="nil"/>
            </w:tcBorders>
            <w:shd w:val="clear" w:color="auto" w:fill="auto"/>
          </w:tcPr>
          <w:p w14:paraId="4A7E44C9" w14:textId="77777777" w:rsidR="00E30483" w:rsidRDefault="00E30483" w:rsidP="00646664">
            <w:pPr>
              <w:pStyle w:val="NoSpacing"/>
            </w:pPr>
            <w:r>
              <w:t>How Are You App</w:t>
            </w:r>
          </w:p>
        </w:tc>
        <w:tc>
          <w:tcPr>
            <w:tcW w:w="0" w:type="auto"/>
            <w:tcBorders>
              <w:top w:val="nil"/>
              <w:left w:val="nil"/>
              <w:bottom w:val="nil"/>
              <w:right w:val="nil"/>
            </w:tcBorders>
            <w:shd w:val="clear" w:color="auto" w:fill="auto"/>
          </w:tcPr>
          <w:p w14:paraId="6921A1C4"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4A47D8BC"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15279CA" w14:textId="77777777" w:rsidR="00E30483" w:rsidRDefault="00E30483" w:rsidP="00646664">
            <w:pPr>
              <w:pStyle w:val="NoSpacing"/>
              <w:jc w:val="center"/>
            </w:pPr>
            <w:r>
              <w:t>Y</w:t>
            </w:r>
            <w:r w:rsidRPr="00290413">
              <w:rPr>
                <w:vertAlign w:val="superscript"/>
              </w:rPr>
              <w:t>i</w:t>
            </w:r>
          </w:p>
        </w:tc>
        <w:tc>
          <w:tcPr>
            <w:tcW w:w="0" w:type="auto"/>
            <w:tcBorders>
              <w:top w:val="nil"/>
              <w:left w:val="nil"/>
              <w:bottom w:val="nil"/>
              <w:right w:val="nil"/>
            </w:tcBorders>
            <w:shd w:val="clear" w:color="auto" w:fill="auto"/>
          </w:tcPr>
          <w:p w14:paraId="14171DE4"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55E26FB2"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6AE3DE85" w14:textId="77777777" w:rsidR="00E30483" w:rsidRDefault="00E30483" w:rsidP="00646664">
            <w:pPr>
              <w:pStyle w:val="NoSpacing"/>
              <w:jc w:val="center"/>
            </w:pPr>
            <w:r>
              <w:t>Y</w:t>
            </w:r>
          </w:p>
        </w:tc>
      </w:tr>
      <w:tr w:rsidR="00E30483" w14:paraId="08655172" w14:textId="77777777" w:rsidTr="00A76323">
        <w:tc>
          <w:tcPr>
            <w:tcW w:w="0" w:type="auto"/>
            <w:tcBorders>
              <w:top w:val="nil"/>
              <w:left w:val="nil"/>
              <w:bottom w:val="nil"/>
              <w:right w:val="nil"/>
            </w:tcBorders>
            <w:shd w:val="clear" w:color="auto" w:fill="auto"/>
          </w:tcPr>
          <w:p w14:paraId="22FB46E9" w14:textId="77777777" w:rsidR="00E30483" w:rsidRDefault="00E30483" w:rsidP="00646664">
            <w:pPr>
              <w:pStyle w:val="NoSpacing"/>
            </w:pPr>
            <w:proofErr w:type="spellStart"/>
            <w:r>
              <w:t>iCBT</w:t>
            </w:r>
            <w:r w:rsidRPr="00290413">
              <w:rPr>
                <w:vertAlign w:val="superscript"/>
              </w:rPr>
              <w:t>f</w:t>
            </w:r>
            <w:proofErr w:type="spellEnd"/>
          </w:p>
        </w:tc>
        <w:tc>
          <w:tcPr>
            <w:tcW w:w="0" w:type="auto"/>
            <w:tcBorders>
              <w:top w:val="nil"/>
              <w:left w:val="nil"/>
              <w:bottom w:val="nil"/>
              <w:right w:val="nil"/>
            </w:tcBorders>
            <w:shd w:val="clear" w:color="auto" w:fill="auto"/>
          </w:tcPr>
          <w:p w14:paraId="1CDC2094"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43DA8FA1"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32C4E05E"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5E03790"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5C058BE"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7F194B29" w14:textId="77777777" w:rsidR="00E30483" w:rsidRDefault="00E30483" w:rsidP="00646664">
            <w:pPr>
              <w:pStyle w:val="NoSpacing"/>
              <w:jc w:val="center"/>
            </w:pPr>
            <w:r>
              <w:t>Y</w:t>
            </w:r>
          </w:p>
        </w:tc>
      </w:tr>
      <w:tr w:rsidR="00E30483" w14:paraId="79B8A655" w14:textId="77777777" w:rsidTr="00A76323">
        <w:tc>
          <w:tcPr>
            <w:tcW w:w="0" w:type="auto"/>
            <w:tcBorders>
              <w:top w:val="nil"/>
              <w:left w:val="nil"/>
              <w:bottom w:val="nil"/>
              <w:right w:val="nil"/>
            </w:tcBorders>
            <w:shd w:val="clear" w:color="auto" w:fill="auto"/>
          </w:tcPr>
          <w:p w14:paraId="31F2251B" w14:textId="77777777" w:rsidR="00E30483" w:rsidRDefault="00E30483" w:rsidP="00646664">
            <w:pPr>
              <w:pStyle w:val="NoSpacing"/>
            </w:pPr>
            <w:proofErr w:type="spellStart"/>
            <w:r>
              <w:t>Ieso</w:t>
            </w:r>
            <w:proofErr w:type="spellEnd"/>
            <w:r>
              <w:t xml:space="preserve"> Digital Health Ltd</w:t>
            </w:r>
          </w:p>
        </w:tc>
        <w:tc>
          <w:tcPr>
            <w:tcW w:w="0" w:type="auto"/>
            <w:tcBorders>
              <w:top w:val="nil"/>
              <w:left w:val="nil"/>
              <w:bottom w:val="nil"/>
              <w:right w:val="nil"/>
            </w:tcBorders>
            <w:shd w:val="clear" w:color="auto" w:fill="auto"/>
          </w:tcPr>
          <w:p w14:paraId="31865A78" w14:textId="77777777" w:rsidR="00E30483" w:rsidRDefault="00E30483" w:rsidP="00646664">
            <w:pPr>
              <w:pStyle w:val="NoSpacing"/>
              <w:jc w:val="center"/>
            </w:pPr>
            <w:r>
              <w:t>W</w:t>
            </w:r>
          </w:p>
        </w:tc>
        <w:tc>
          <w:tcPr>
            <w:tcW w:w="0" w:type="auto"/>
            <w:tcBorders>
              <w:top w:val="nil"/>
              <w:left w:val="nil"/>
              <w:bottom w:val="nil"/>
              <w:right w:val="nil"/>
            </w:tcBorders>
            <w:shd w:val="clear" w:color="auto" w:fill="auto"/>
          </w:tcPr>
          <w:p w14:paraId="0A498962"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42283BA2"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1C849730"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25A8BE0B"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558F68E9" w14:textId="77777777" w:rsidR="00E30483" w:rsidRDefault="00E30483" w:rsidP="00646664">
            <w:pPr>
              <w:pStyle w:val="NoSpacing"/>
              <w:jc w:val="center"/>
            </w:pPr>
            <w:r>
              <w:t>Y</w:t>
            </w:r>
          </w:p>
        </w:tc>
      </w:tr>
      <w:tr w:rsidR="00E30483" w14:paraId="5C3ABE3E" w14:textId="77777777" w:rsidTr="00A76323">
        <w:tc>
          <w:tcPr>
            <w:tcW w:w="0" w:type="auto"/>
            <w:tcBorders>
              <w:top w:val="nil"/>
              <w:left w:val="nil"/>
              <w:bottom w:val="nil"/>
              <w:right w:val="nil"/>
            </w:tcBorders>
            <w:shd w:val="clear" w:color="auto" w:fill="auto"/>
          </w:tcPr>
          <w:p w14:paraId="3BD1F61A" w14:textId="77777777" w:rsidR="00E30483" w:rsidRDefault="00E30483" w:rsidP="00646664">
            <w:pPr>
              <w:pStyle w:val="NoSpacing"/>
            </w:pPr>
            <w:proofErr w:type="spellStart"/>
            <w:r>
              <w:t>Kooth</w:t>
            </w:r>
            <w:proofErr w:type="spellEnd"/>
          </w:p>
        </w:tc>
        <w:tc>
          <w:tcPr>
            <w:tcW w:w="0" w:type="auto"/>
            <w:tcBorders>
              <w:top w:val="nil"/>
              <w:left w:val="nil"/>
              <w:bottom w:val="nil"/>
              <w:right w:val="nil"/>
            </w:tcBorders>
            <w:shd w:val="clear" w:color="auto" w:fill="auto"/>
          </w:tcPr>
          <w:p w14:paraId="00DB1A97" w14:textId="77777777" w:rsidR="00E30483" w:rsidRDefault="00E30483" w:rsidP="00646664">
            <w:pPr>
              <w:pStyle w:val="NoSpacing"/>
              <w:jc w:val="center"/>
            </w:pPr>
            <w:r>
              <w:t>W</w:t>
            </w:r>
          </w:p>
        </w:tc>
        <w:tc>
          <w:tcPr>
            <w:tcW w:w="0" w:type="auto"/>
            <w:tcBorders>
              <w:top w:val="nil"/>
              <w:left w:val="nil"/>
              <w:bottom w:val="nil"/>
              <w:right w:val="nil"/>
            </w:tcBorders>
            <w:shd w:val="clear" w:color="auto" w:fill="auto"/>
          </w:tcPr>
          <w:p w14:paraId="7097CFD8"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0B0D8C22"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21C59A58" w14:textId="77777777" w:rsidR="00E30483" w:rsidRDefault="00E30483" w:rsidP="00646664">
            <w:pPr>
              <w:pStyle w:val="NoSpacing"/>
              <w:jc w:val="center"/>
            </w:pPr>
            <w:proofErr w:type="spellStart"/>
            <w:r>
              <w:t>Y</w:t>
            </w:r>
            <w:r w:rsidRPr="00290413">
              <w:rPr>
                <w:vertAlign w:val="superscript"/>
              </w:rPr>
              <w:t>a</w:t>
            </w:r>
            <w:proofErr w:type="spellEnd"/>
          </w:p>
        </w:tc>
        <w:tc>
          <w:tcPr>
            <w:tcW w:w="0" w:type="auto"/>
            <w:tcBorders>
              <w:top w:val="nil"/>
              <w:left w:val="nil"/>
              <w:bottom w:val="nil"/>
              <w:right w:val="nil"/>
            </w:tcBorders>
            <w:shd w:val="clear" w:color="auto" w:fill="auto"/>
          </w:tcPr>
          <w:p w14:paraId="34BED8F8"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18966203" w14:textId="77777777" w:rsidR="00E30483" w:rsidRDefault="00E30483" w:rsidP="00646664">
            <w:pPr>
              <w:pStyle w:val="NoSpacing"/>
              <w:jc w:val="center"/>
            </w:pPr>
            <w:proofErr w:type="spellStart"/>
            <w:r>
              <w:t>Nj</w:t>
            </w:r>
            <w:proofErr w:type="spellEnd"/>
          </w:p>
        </w:tc>
      </w:tr>
      <w:tr w:rsidR="00E30483" w14:paraId="0FA163E3" w14:textId="77777777" w:rsidTr="00A76323">
        <w:tc>
          <w:tcPr>
            <w:tcW w:w="0" w:type="auto"/>
            <w:tcBorders>
              <w:top w:val="nil"/>
              <w:left w:val="nil"/>
              <w:bottom w:val="nil"/>
              <w:right w:val="nil"/>
            </w:tcBorders>
            <w:shd w:val="clear" w:color="auto" w:fill="auto"/>
          </w:tcPr>
          <w:p w14:paraId="54A1305B" w14:textId="77777777" w:rsidR="00E30483" w:rsidRDefault="00E30483" w:rsidP="00646664">
            <w:pPr>
              <w:pStyle w:val="NoSpacing"/>
            </w:pPr>
            <w:r>
              <w:t>Living Life to the Full</w:t>
            </w:r>
          </w:p>
        </w:tc>
        <w:tc>
          <w:tcPr>
            <w:tcW w:w="0" w:type="auto"/>
            <w:tcBorders>
              <w:top w:val="nil"/>
              <w:left w:val="nil"/>
              <w:bottom w:val="nil"/>
              <w:right w:val="nil"/>
            </w:tcBorders>
            <w:shd w:val="clear" w:color="auto" w:fill="auto"/>
          </w:tcPr>
          <w:p w14:paraId="46C8F91C" w14:textId="77777777" w:rsidR="00E30483" w:rsidRDefault="00E30483" w:rsidP="00646664">
            <w:pPr>
              <w:pStyle w:val="NoSpacing"/>
              <w:jc w:val="center"/>
            </w:pPr>
            <w:r>
              <w:t>W</w:t>
            </w:r>
          </w:p>
        </w:tc>
        <w:tc>
          <w:tcPr>
            <w:tcW w:w="0" w:type="auto"/>
            <w:tcBorders>
              <w:top w:val="nil"/>
              <w:left w:val="nil"/>
              <w:bottom w:val="nil"/>
              <w:right w:val="nil"/>
            </w:tcBorders>
            <w:shd w:val="clear" w:color="auto" w:fill="auto"/>
          </w:tcPr>
          <w:p w14:paraId="27099026"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34EBC7A4"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54569D24"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19D7619F"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76C8C7AE" w14:textId="77777777" w:rsidR="00E30483" w:rsidRDefault="00E30483" w:rsidP="00646664">
            <w:pPr>
              <w:pStyle w:val="NoSpacing"/>
              <w:jc w:val="center"/>
            </w:pPr>
            <w:r>
              <w:t>Y</w:t>
            </w:r>
          </w:p>
        </w:tc>
      </w:tr>
      <w:tr w:rsidR="00E30483" w14:paraId="05881C69" w14:textId="77777777" w:rsidTr="00A76323">
        <w:tc>
          <w:tcPr>
            <w:tcW w:w="0" w:type="auto"/>
            <w:tcBorders>
              <w:top w:val="nil"/>
              <w:left w:val="nil"/>
              <w:bottom w:val="nil"/>
              <w:right w:val="nil"/>
            </w:tcBorders>
            <w:shd w:val="clear" w:color="auto" w:fill="auto"/>
          </w:tcPr>
          <w:p w14:paraId="3D81B0BD" w14:textId="77777777" w:rsidR="00E30483" w:rsidRDefault="00E30483" w:rsidP="00646664">
            <w:pPr>
              <w:pStyle w:val="NoSpacing"/>
            </w:pPr>
            <w:r w:rsidRPr="00795473">
              <w:rPr>
                <w:noProof/>
              </w:rPr>
              <w:t>Mind Ed</w:t>
            </w:r>
          </w:p>
        </w:tc>
        <w:tc>
          <w:tcPr>
            <w:tcW w:w="0" w:type="auto"/>
            <w:tcBorders>
              <w:top w:val="nil"/>
              <w:left w:val="nil"/>
              <w:bottom w:val="nil"/>
              <w:right w:val="nil"/>
            </w:tcBorders>
            <w:shd w:val="clear" w:color="auto" w:fill="auto"/>
          </w:tcPr>
          <w:p w14:paraId="3366221F" w14:textId="77777777" w:rsidR="00E30483" w:rsidRDefault="00E30483" w:rsidP="00646664">
            <w:pPr>
              <w:pStyle w:val="NoSpacing"/>
              <w:jc w:val="center"/>
            </w:pPr>
            <w:r>
              <w:t>W</w:t>
            </w:r>
          </w:p>
        </w:tc>
        <w:tc>
          <w:tcPr>
            <w:tcW w:w="0" w:type="auto"/>
            <w:tcBorders>
              <w:top w:val="nil"/>
              <w:left w:val="nil"/>
              <w:bottom w:val="nil"/>
              <w:right w:val="nil"/>
            </w:tcBorders>
            <w:shd w:val="clear" w:color="auto" w:fill="auto"/>
          </w:tcPr>
          <w:p w14:paraId="7037C278"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262C732D"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124B4950" w14:textId="77777777" w:rsidR="00E30483" w:rsidRDefault="00E30483" w:rsidP="00646664">
            <w:pPr>
              <w:pStyle w:val="NoSpacing"/>
              <w:jc w:val="center"/>
            </w:pPr>
            <w:proofErr w:type="spellStart"/>
            <w:r>
              <w:t>Y</w:t>
            </w:r>
            <w:r w:rsidRPr="00290413">
              <w:rPr>
                <w:vertAlign w:val="superscript"/>
              </w:rPr>
              <w:t>k</w:t>
            </w:r>
            <w:proofErr w:type="spellEnd"/>
          </w:p>
        </w:tc>
        <w:tc>
          <w:tcPr>
            <w:tcW w:w="0" w:type="auto"/>
            <w:tcBorders>
              <w:top w:val="nil"/>
              <w:left w:val="nil"/>
              <w:bottom w:val="nil"/>
              <w:right w:val="nil"/>
            </w:tcBorders>
            <w:shd w:val="clear" w:color="auto" w:fill="auto"/>
          </w:tcPr>
          <w:p w14:paraId="6D482BDF"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04C7F17E" w14:textId="77777777" w:rsidR="00E30483" w:rsidRDefault="00E30483" w:rsidP="00646664">
            <w:pPr>
              <w:pStyle w:val="NoSpacing"/>
              <w:jc w:val="center"/>
            </w:pPr>
            <w:r>
              <w:t>N</w:t>
            </w:r>
          </w:p>
        </w:tc>
      </w:tr>
      <w:tr w:rsidR="00E30483" w14:paraId="01832A52" w14:textId="77777777" w:rsidTr="00A76323">
        <w:tc>
          <w:tcPr>
            <w:tcW w:w="0" w:type="auto"/>
            <w:tcBorders>
              <w:top w:val="nil"/>
              <w:left w:val="nil"/>
              <w:bottom w:val="nil"/>
              <w:right w:val="nil"/>
            </w:tcBorders>
            <w:shd w:val="clear" w:color="auto" w:fill="auto"/>
          </w:tcPr>
          <w:p w14:paraId="51B68D02" w14:textId="77777777" w:rsidR="00E30483" w:rsidRDefault="00E30483" w:rsidP="00646664">
            <w:pPr>
              <w:pStyle w:val="NoSpacing"/>
            </w:pPr>
            <w:r>
              <w:t xml:space="preserve">Mindfulness </w:t>
            </w:r>
            <w:r w:rsidRPr="00795473">
              <w:rPr>
                <w:noProof/>
              </w:rPr>
              <w:t>Bell</w:t>
            </w:r>
            <w:r w:rsidRPr="00795473">
              <w:rPr>
                <w:noProof/>
                <w:vertAlign w:val="superscript"/>
              </w:rPr>
              <w:t>f</w:t>
            </w:r>
          </w:p>
        </w:tc>
        <w:tc>
          <w:tcPr>
            <w:tcW w:w="0" w:type="auto"/>
            <w:tcBorders>
              <w:top w:val="nil"/>
              <w:left w:val="nil"/>
              <w:bottom w:val="nil"/>
              <w:right w:val="nil"/>
            </w:tcBorders>
            <w:shd w:val="clear" w:color="auto" w:fill="auto"/>
          </w:tcPr>
          <w:p w14:paraId="634C6DA6"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0617770A"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D3E662A"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6DE2478D"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1CDFD473"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51E60CBA" w14:textId="77777777" w:rsidR="00E30483" w:rsidRDefault="00E30483" w:rsidP="00646664">
            <w:pPr>
              <w:pStyle w:val="NoSpacing"/>
              <w:jc w:val="center"/>
            </w:pPr>
            <w:r>
              <w:t>N</w:t>
            </w:r>
          </w:p>
        </w:tc>
      </w:tr>
      <w:tr w:rsidR="00E30483" w14:paraId="582ACA98" w14:textId="77777777" w:rsidTr="00A76323">
        <w:tc>
          <w:tcPr>
            <w:tcW w:w="0" w:type="auto"/>
            <w:tcBorders>
              <w:top w:val="nil"/>
              <w:left w:val="nil"/>
              <w:bottom w:val="nil"/>
              <w:right w:val="nil"/>
            </w:tcBorders>
            <w:shd w:val="clear" w:color="auto" w:fill="auto"/>
          </w:tcPr>
          <w:p w14:paraId="1FFB2ABD" w14:textId="77777777" w:rsidR="00E30483" w:rsidRDefault="00E30483" w:rsidP="00646664">
            <w:pPr>
              <w:pStyle w:val="NoSpacing"/>
            </w:pPr>
            <w:r>
              <w:lastRenderedPageBreak/>
              <w:t xml:space="preserve">Mindfulness by </w:t>
            </w:r>
            <w:proofErr w:type="spellStart"/>
            <w:r>
              <w:t>Digipill</w:t>
            </w:r>
            <w:r w:rsidRPr="00290413">
              <w:rPr>
                <w:vertAlign w:val="superscript"/>
              </w:rPr>
              <w:t>f</w:t>
            </w:r>
            <w:proofErr w:type="spellEnd"/>
          </w:p>
        </w:tc>
        <w:tc>
          <w:tcPr>
            <w:tcW w:w="0" w:type="auto"/>
            <w:tcBorders>
              <w:top w:val="nil"/>
              <w:left w:val="nil"/>
              <w:bottom w:val="nil"/>
              <w:right w:val="nil"/>
            </w:tcBorders>
            <w:shd w:val="clear" w:color="auto" w:fill="auto"/>
          </w:tcPr>
          <w:p w14:paraId="01A348D1"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702D22B9"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0E99FC86"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47957E7"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7E2E0DBC"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7D1D6D0" w14:textId="77777777" w:rsidR="00E30483" w:rsidRDefault="00E30483" w:rsidP="00646664">
            <w:pPr>
              <w:pStyle w:val="NoSpacing"/>
              <w:jc w:val="center"/>
            </w:pPr>
            <w:r>
              <w:t>Y</w:t>
            </w:r>
          </w:p>
        </w:tc>
      </w:tr>
      <w:tr w:rsidR="00E30483" w14:paraId="48DFBF71" w14:textId="77777777" w:rsidTr="00A76323">
        <w:tc>
          <w:tcPr>
            <w:tcW w:w="0" w:type="auto"/>
            <w:tcBorders>
              <w:top w:val="nil"/>
              <w:left w:val="nil"/>
              <w:bottom w:val="nil"/>
              <w:right w:val="nil"/>
            </w:tcBorders>
            <w:shd w:val="clear" w:color="auto" w:fill="auto"/>
          </w:tcPr>
          <w:p w14:paraId="7CAB0BAC" w14:textId="77777777" w:rsidR="00E30483" w:rsidRDefault="00E30483" w:rsidP="00646664">
            <w:pPr>
              <w:pStyle w:val="NoSpacing"/>
            </w:pPr>
            <w:proofErr w:type="spellStart"/>
            <w:r>
              <w:t>Mindlogr</w:t>
            </w:r>
            <w:proofErr w:type="spellEnd"/>
          </w:p>
        </w:tc>
        <w:tc>
          <w:tcPr>
            <w:tcW w:w="0" w:type="auto"/>
            <w:tcBorders>
              <w:top w:val="nil"/>
              <w:left w:val="nil"/>
              <w:bottom w:val="nil"/>
              <w:right w:val="nil"/>
            </w:tcBorders>
            <w:shd w:val="clear" w:color="auto" w:fill="auto"/>
          </w:tcPr>
          <w:p w14:paraId="48EBB940"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162E9828"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148FEA16"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70140044"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A5B2C56"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26C0ADFE" w14:textId="77777777" w:rsidR="00E30483" w:rsidRDefault="00E30483" w:rsidP="00646664">
            <w:pPr>
              <w:pStyle w:val="NoSpacing"/>
              <w:jc w:val="center"/>
            </w:pPr>
            <w:r>
              <w:t>Y</w:t>
            </w:r>
          </w:p>
        </w:tc>
      </w:tr>
      <w:tr w:rsidR="00E30483" w14:paraId="3DB1F592" w14:textId="77777777" w:rsidTr="00A76323">
        <w:tc>
          <w:tcPr>
            <w:tcW w:w="0" w:type="auto"/>
            <w:tcBorders>
              <w:top w:val="nil"/>
              <w:left w:val="nil"/>
              <w:bottom w:val="nil"/>
              <w:right w:val="nil"/>
            </w:tcBorders>
            <w:shd w:val="clear" w:color="auto" w:fill="auto"/>
          </w:tcPr>
          <w:p w14:paraId="4AC0278B" w14:textId="77777777" w:rsidR="00E30483" w:rsidRDefault="00E30483" w:rsidP="00646664">
            <w:pPr>
              <w:pStyle w:val="NoSpacing"/>
            </w:pPr>
            <w:proofErr w:type="spellStart"/>
            <w:r>
              <w:t>Mindshift</w:t>
            </w:r>
            <w:proofErr w:type="spellEnd"/>
          </w:p>
        </w:tc>
        <w:tc>
          <w:tcPr>
            <w:tcW w:w="0" w:type="auto"/>
            <w:tcBorders>
              <w:top w:val="nil"/>
              <w:left w:val="nil"/>
              <w:bottom w:val="nil"/>
              <w:right w:val="nil"/>
            </w:tcBorders>
            <w:shd w:val="clear" w:color="auto" w:fill="auto"/>
          </w:tcPr>
          <w:p w14:paraId="48B9E300"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1E46593C"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0BDA0B4C"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6F01470"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034CDE83"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3701088E" w14:textId="77777777" w:rsidR="00E30483" w:rsidRDefault="00E30483" w:rsidP="00646664">
            <w:pPr>
              <w:pStyle w:val="NoSpacing"/>
              <w:jc w:val="center"/>
            </w:pPr>
            <w:r>
              <w:t>Y</w:t>
            </w:r>
          </w:p>
        </w:tc>
      </w:tr>
      <w:tr w:rsidR="00E30483" w14:paraId="00E46BDB" w14:textId="77777777" w:rsidTr="00A76323">
        <w:tc>
          <w:tcPr>
            <w:tcW w:w="0" w:type="auto"/>
            <w:tcBorders>
              <w:top w:val="nil"/>
              <w:left w:val="nil"/>
              <w:bottom w:val="nil"/>
              <w:right w:val="nil"/>
            </w:tcBorders>
            <w:shd w:val="clear" w:color="auto" w:fill="auto"/>
          </w:tcPr>
          <w:p w14:paraId="6F26C58B" w14:textId="77777777" w:rsidR="00E30483" w:rsidRDefault="00E30483" w:rsidP="00646664">
            <w:pPr>
              <w:pStyle w:val="NoSpacing"/>
            </w:pPr>
            <w:proofErr w:type="spellStart"/>
            <w:r>
              <w:t>Moodbug</w:t>
            </w:r>
            <w:proofErr w:type="spellEnd"/>
          </w:p>
        </w:tc>
        <w:tc>
          <w:tcPr>
            <w:tcW w:w="0" w:type="auto"/>
            <w:tcBorders>
              <w:top w:val="nil"/>
              <w:left w:val="nil"/>
              <w:bottom w:val="nil"/>
              <w:right w:val="nil"/>
            </w:tcBorders>
            <w:shd w:val="clear" w:color="auto" w:fill="auto"/>
          </w:tcPr>
          <w:p w14:paraId="3D7547BA"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574D8981"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54A0F905"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3E7E28E1"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08F32771"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733CDC82" w14:textId="77777777" w:rsidR="00E30483" w:rsidRDefault="00E30483" w:rsidP="00646664">
            <w:pPr>
              <w:pStyle w:val="NoSpacing"/>
              <w:jc w:val="center"/>
            </w:pPr>
            <w:r>
              <w:t>Y</w:t>
            </w:r>
          </w:p>
        </w:tc>
      </w:tr>
      <w:tr w:rsidR="00E30483" w14:paraId="74D8ED34" w14:textId="77777777" w:rsidTr="00A76323">
        <w:tc>
          <w:tcPr>
            <w:tcW w:w="0" w:type="auto"/>
            <w:tcBorders>
              <w:top w:val="nil"/>
              <w:left w:val="nil"/>
              <w:bottom w:val="nil"/>
              <w:right w:val="nil"/>
            </w:tcBorders>
            <w:shd w:val="clear" w:color="auto" w:fill="auto"/>
          </w:tcPr>
          <w:p w14:paraId="560A5127" w14:textId="77777777" w:rsidR="00E30483" w:rsidRDefault="00E30483" w:rsidP="00646664">
            <w:pPr>
              <w:pStyle w:val="NoSpacing"/>
            </w:pPr>
            <w:proofErr w:type="spellStart"/>
            <w:r>
              <w:t>MoodGym</w:t>
            </w:r>
            <w:proofErr w:type="spellEnd"/>
          </w:p>
        </w:tc>
        <w:tc>
          <w:tcPr>
            <w:tcW w:w="0" w:type="auto"/>
            <w:tcBorders>
              <w:top w:val="nil"/>
              <w:left w:val="nil"/>
              <w:bottom w:val="nil"/>
              <w:right w:val="nil"/>
            </w:tcBorders>
            <w:shd w:val="clear" w:color="auto" w:fill="auto"/>
          </w:tcPr>
          <w:p w14:paraId="64D81F88" w14:textId="77777777" w:rsidR="00E30483" w:rsidRDefault="00E30483" w:rsidP="00646664">
            <w:pPr>
              <w:pStyle w:val="NoSpacing"/>
              <w:jc w:val="center"/>
            </w:pPr>
            <w:r>
              <w:t>W</w:t>
            </w:r>
          </w:p>
        </w:tc>
        <w:tc>
          <w:tcPr>
            <w:tcW w:w="0" w:type="auto"/>
            <w:tcBorders>
              <w:top w:val="nil"/>
              <w:left w:val="nil"/>
              <w:bottom w:val="nil"/>
              <w:right w:val="nil"/>
            </w:tcBorders>
            <w:shd w:val="clear" w:color="auto" w:fill="auto"/>
          </w:tcPr>
          <w:p w14:paraId="523E8BF5"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448C10E4"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4C70E154"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21813FF0"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767EADA8" w14:textId="77777777" w:rsidR="00E30483" w:rsidRDefault="00E30483" w:rsidP="00646664">
            <w:pPr>
              <w:pStyle w:val="NoSpacing"/>
              <w:jc w:val="center"/>
            </w:pPr>
            <w:r>
              <w:t>Y</w:t>
            </w:r>
          </w:p>
        </w:tc>
      </w:tr>
      <w:tr w:rsidR="00E30483" w14:paraId="7399CCA1" w14:textId="77777777" w:rsidTr="00A76323">
        <w:tc>
          <w:tcPr>
            <w:tcW w:w="0" w:type="auto"/>
            <w:tcBorders>
              <w:top w:val="nil"/>
              <w:left w:val="nil"/>
              <w:bottom w:val="nil"/>
              <w:right w:val="nil"/>
            </w:tcBorders>
            <w:shd w:val="clear" w:color="auto" w:fill="auto"/>
          </w:tcPr>
          <w:p w14:paraId="4110E8BD" w14:textId="77777777" w:rsidR="00E30483" w:rsidRDefault="00E30483" w:rsidP="00646664">
            <w:pPr>
              <w:pStyle w:val="NoSpacing"/>
            </w:pPr>
            <w:proofErr w:type="spellStart"/>
            <w:r>
              <w:t>Moodkit</w:t>
            </w:r>
            <w:proofErr w:type="spellEnd"/>
            <w:r>
              <w:t xml:space="preserve"> – Mood Improvement Tools</w:t>
            </w:r>
          </w:p>
        </w:tc>
        <w:tc>
          <w:tcPr>
            <w:tcW w:w="0" w:type="auto"/>
            <w:tcBorders>
              <w:top w:val="nil"/>
              <w:left w:val="nil"/>
              <w:bottom w:val="nil"/>
              <w:right w:val="nil"/>
            </w:tcBorders>
            <w:shd w:val="clear" w:color="auto" w:fill="auto"/>
          </w:tcPr>
          <w:p w14:paraId="40BD7673"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3F75E0CF"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283E4688"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7824A75E" w14:textId="77777777" w:rsidR="00E30483" w:rsidRDefault="00E30483" w:rsidP="00646664">
            <w:pPr>
              <w:pStyle w:val="NoSpacing"/>
              <w:jc w:val="center"/>
            </w:pPr>
            <w:proofErr w:type="spellStart"/>
            <w:r>
              <w:t>Y</w:t>
            </w:r>
            <w:r w:rsidRPr="00290413">
              <w:rPr>
                <w:vertAlign w:val="superscript"/>
              </w:rPr>
              <w:t>l</w:t>
            </w:r>
            <w:proofErr w:type="spellEnd"/>
          </w:p>
        </w:tc>
        <w:tc>
          <w:tcPr>
            <w:tcW w:w="0" w:type="auto"/>
            <w:tcBorders>
              <w:top w:val="nil"/>
              <w:left w:val="nil"/>
              <w:bottom w:val="nil"/>
              <w:right w:val="nil"/>
            </w:tcBorders>
            <w:shd w:val="clear" w:color="auto" w:fill="auto"/>
          </w:tcPr>
          <w:p w14:paraId="3135CACB" w14:textId="77777777" w:rsidR="00E30483" w:rsidRDefault="00E30483" w:rsidP="00646664">
            <w:pPr>
              <w:pStyle w:val="NoSpacing"/>
              <w:jc w:val="center"/>
            </w:pPr>
            <w:proofErr w:type="spellStart"/>
            <w:r>
              <w:t>Y</w:t>
            </w:r>
            <w:r w:rsidRPr="00290413">
              <w:rPr>
                <w:vertAlign w:val="superscript"/>
              </w:rPr>
              <w:t>l</w:t>
            </w:r>
            <w:proofErr w:type="spellEnd"/>
          </w:p>
        </w:tc>
        <w:tc>
          <w:tcPr>
            <w:tcW w:w="0" w:type="auto"/>
            <w:tcBorders>
              <w:top w:val="nil"/>
              <w:left w:val="nil"/>
              <w:bottom w:val="nil"/>
              <w:right w:val="nil"/>
            </w:tcBorders>
            <w:shd w:val="clear" w:color="auto" w:fill="auto"/>
          </w:tcPr>
          <w:p w14:paraId="77B19B25" w14:textId="77777777" w:rsidR="00E30483" w:rsidRDefault="00E30483" w:rsidP="00646664">
            <w:pPr>
              <w:pStyle w:val="NoSpacing"/>
              <w:jc w:val="center"/>
            </w:pPr>
            <w:r>
              <w:t>Y</w:t>
            </w:r>
          </w:p>
        </w:tc>
      </w:tr>
      <w:tr w:rsidR="00E30483" w14:paraId="6EE85C4C" w14:textId="77777777" w:rsidTr="00A76323">
        <w:tc>
          <w:tcPr>
            <w:tcW w:w="0" w:type="auto"/>
            <w:tcBorders>
              <w:top w:val="nil"/>
              <w:left w:val="nil"/>
              <w:bottom w:val="nil"/>
              <w:right w:val="nil"/>
            </w:tcBorders>
            <w:shd w:val="clear" w:color="auto" w:fill="auto"/>
          </w:tcPr>
          <w:p w14:paraId="6E4C35CB" w14:textId="77777777" w:rsidR="00E30483" w:rsidRDefault="00E30483" w:rsidP="00646664">
            <w:pPr>
              <w:pStyle w:val="NoSpacing"/>
            </w:pPr>
            <w:proofErr w:type="spellStart"/>
            <w:r>
              <w:t>Moodometer</w:t>
            </w:r>
            <w:proofErr w:type="spellEnd"/>
          </w:p>
        </w:tc>
        <w:tc>
          <w:tcPr>
            <w:tcW w:w="0" w:type="auto"/>
            <w:tcBorders>
              <w:top w:val="nil"/>
              <w:left w:val="nil"/>
              <w:bottom w:val="nil"/>
              <w:right w:val="nil"/>
            </w:tcBorders>
            <w:shd w:val="clear" w:color="auto" w:fill="auto"/>
          </w:tcPr>
          <w:p w14:paraId="7CB8AFF1"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5442B2DA"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1DD42A3E"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6F654637"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1B43A6F1"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0D6821E1" w14:textId="77777777" w:rsidR="00E30483" w:rsidRDefault="00E30483" w:rsidP="00646664">
            <w:pPr>
              <w:pStyle w:val="NoSpacing"/>
              <w:jc w:val="center"/>
            </w:pPr>
            <w:r>
              <w:t>Y</w:t>
            </w:r>
          </w:p>
        </w:tc>
      </w:tr>
      <w:tr w:rsidR="00E30483" w14:paraId="06F00D85" w14:textId="77777777" w:rsidTr="00A76323">
        <w:tc>
          <w:tcPr>
            <w:tcW w:w="0" w:type="auto"/>
            <w:tcBorders>
              <w:top w:val="nil"/>
              <w:left w:val="nil"/>
              <w:bottom w:val="nil"/>
              <w:right w:val="nil"/>
            </w:tcBorders>
            <w:shd w:val="clear" w:color="auto" w:fill="auto"/>
          </w:tcPr>
          <w:p w14:paraId="6329CC37" w14:textId="77777777" w:rsidR="00E30483" w:rsidRDefault="00E30483" w:rsidP="00646664">
            <w:pPr>
              <w:pStyle w:val="NoSpacing"/>
            </w:pPr>
            <w:proofErr w:type="spellStart"/>
            <w:r>
              <w:t>Moodscope</w:t>
            </w:r>
            <w:proofErr w:type="spellEnd"/>
          </w:p>
        </w:tc>
        <w:tc>
          <w:tcPr>
            <w:tcW w:w="0" w:type="auto"/>
            <w:tcBorders>
              <w:top w:val="nil"/>
              <w:left w:val="nil"/>
              <w:bottom w:val="nil"/>
              <w:right w:val="nil"/>
            </w:tcBorders>
            <w:shd w:val="clear" w:color="auto" w:fill="auto"/>
          </w:tcPr>
          <w:p w14:paraId="558C3684" w14:textId="77777777" w:rsidR="00E30483" w:rsidRDefault="00E30483" w:rsidP="00646664">
            <w:pPr>
              <w:pStyle w:val="NoSpacing"/>
              <w:jc w:val="center"/>
            </w:pPr>
            <w:r>
              <w:t>W</w:t>
            </w:r>
          </w:p>
        </w:tc>
        <w:tc>
          <w:tcPr>
            <w:tcW w:w="0" w:type="auto"/>
            <w:tcBorders>
              <w:top w:val="nil"/>
              <w:left w:val="nil"/>
              <w:bottom w:val="nil"/>
              <w:right w:val="nil"/>
            </w:tcBorders>
            <w:shd w:val="clear" w:color="auto" w:fill="auto"/>
          </w:tcPr>
          <w:p w14:paraId="7F144C4D" w14:textId="77777777" w:rsidR="00E30483" w:rsidRDefault="00E30483" w:rsidP="00646664">
            <w:pPr>
              <w:pStyle w:val="NoSpacing"/>
              <w:jc w:val="center"/>
            </w:pPr>
            <w:proofErr w:type="spellStart"/>
            <w:r>
              <w:t>Y</w:t>
            </w:r>
            <w:r w:rsidRPr="00290413">
              <w:rPr>
                <w:vertAlign w:val="superscript"/>
              </w:rPr>
              <w:t>m</w:t>
            </w:r>
            <w:proofErr w:type="spellEnd"/>
          </w:p>
        </w:tc>
        <w:tc>
          <w:tcPr>
            <w:tcW w:w="0" w:type="auto"/>
            <w:tcBorders>
              <w:top w:val="nil"/>
              <w:left w:val="nil"/>
              <w:bottom w:val="nil"/>
              <w:right w:val="nil"/>
            </w:tcBorders>
            <w:shd w:val="clear" w:color="auto" w:fill="auto"/>
          </w:tcPr>
          <w:p w14:paraId="48C02AD2"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0F379614"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6285444C"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2D99F8F1" w14:textId="77777777" w:rsidR="00E30483" w:rsidRDefault="00E30483" w:rsidP="00646664">
            <w:pPr>
              <w:pStyle w:val="NoSpacing"/>
              <w:jc w:val="center"/>
            </w:pPr>
            <w:r>
              <w:t>Y</w:t>
            </w:r>
          </w:p>
        </w:tc>
      </w:tr>
      <w:tr w:rsidR="00E30483" w14:paraId="6CB2615E" w14:textId="77777777" w:rsidTr="00A76323">
        <w:tc>
          <w:tcPr>
            <w:tcW w:w="0" w:type="auto"/>
            <w:tcBorders>
              <w:top w:val="nil"/>
              <w:left w:val="nil"/>
              <w:bottom w:val="nil"/>
              <w:right w:val="nil"/>
            </w:tcBorders>
            <w:shd w:val="clear" w:color="auto" w:fill="auto"/>
          </w:tcPr>
          <w:p w14:paraId="4243643C" w14:textId="77777777" w:rsidR="00E30483" w:rsidRDefault="00E30483" w:rsidP="00646664">
            <w:pPr>
              <w:pStyle w:val="NoSpacing"/>
            </w:pPr>
            <w:proofErr w:type="spellStart"/>
            <w:r>
              <w:t>MyMoodTracker</w:t>
            </w:r>
            <w:proofErr w:type="spellEnd"/>
          </w:p>
        </w:tc>
        <w:tc>
          <w:tcPr>
            <w:tcW w:w="0" w:type="auto"/>
            <w:tcBorders>
              <w:top w:val="nil"/>
              <w:left w:val="nil"/>
              <w:bottom w:val="nil"/>
              <w:right w:val="nil"/>
            </w:tcBorders>
            <w:shd w:val="clear" w:color="auto" w:fill="auto"/>
          </w:tcPr>
          <w:p w14:paraId="2E691F20"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11DBD37D"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394D131D"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5CE31BEC"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0FB30527"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61D96988" w14:textId="77777777" w:rsidR="00E30483" w:rsidRDefault="00E30483" w:rsidP="00646664">
            <w:pPr>
              <w:pStyle w:val="NoSpacing"/>
              <w:jc w:val="center"/>
            </w:pPr>
            <w:r>
              <w:t>N</w:t>
            </w:r>
          </w:p>
        </w:tc>
      </w:tr>
      <w:tr w:rsidR="00E30483" w14:paraId="4ADBAB2B" w14:textId="77777777" w:rsidTr="00A76323">
        <w:tc>
          <w:tcPr>
            <w:tcW w:w="0" w:type="auto"/>
            <w:tcBorders>
              <w:top w:val="nil"/>
              <w:left w:val="nil"/>
              <w:bottom w:val="nil"/>
              <w:right w:val="nil"/>
            </w:tcBorders>
            <w:shd w:val="clear" w:color="auto" w:fill="auto"/>
          </w:tcPr>
          <w:p w14:paraId="124E409F" w14:textId="77777777" w:rsidR="00E30483" w:rsidRDefault="00E30483" w:rsidP="00646664">
            <w:pPr>
              <w:pStyle w:val="NoSpacing"/>
            </w:pPr>
            <w:r>
              <w:t xml:space="preserve">Panic Attack </w:t>
            </w:r>
            <w:r w:rsidRPr="00795473">
              <w:rPr>
                <w:noProof/>
              </w:rPr>
              <w:t>Aid</w:t>
            </w:r>
            <w:r w:rsidRPr="00795473">
              <w:rPr>
                <w:noProof/>
                <w:vertAlign w:val="superscript"/>
              </w:rPr>
              <w:t>f</w:t>
            </w:r>
          </w:p>
        </w:tc>
        <w:tc>
          <w:tcPr>
            <w:tcW w:w="0" w:type="auto"/>
            <w:tcBorders>
              <w:top w:val="nil"/>
              <w:left w:val="nil"/>
              <w:bottom w:val="nil"/>
              <w:right w:val="nil"/>
            </w:tcBorders>
            <w:shd w:val="clear" w:color="auto" w:fill="auto"/>
          </w:tcPr>
          <w:p w14:paraId="5F11D5C6"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4A42E7BE"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03C14390"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28498F21"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2904B816"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3516E854" w14:textId="77777777" w:rsidR="00E30483" w:rsidRDefault="00E30483" w:rsidP="00646664">
            <w:pPr>
              <w:pStyle w:val="NoSpacing"/>
              <w:jc w:val="center"/>
            </w:pPr>
            <w:r>
              <w:t>N</w:t>
            </w:r>
          </w:p>
        </w:tc>
      </w:tr>
      <w:tr w:rsidR="00E30483" w14:paraId="428B813D" w14:textId="77777777" w:rsidTr="00A76323">
        <w:tc>
          <w:tcPr>
            <w:tcW w:w="0" w:type="auto"/>
            <w:tcBorders>
              <w:top w:val="nil"/>
              <w:left w:val="nil"/>
              <w:bottom w:val="nil"/>
              <w:right w:val="nil"/>
            </w:tcBorders>
            <w:shd w:val="clear" w:color="auto" w:fill="auto"/>
          </w:tcPr>
          <w:p w14:paraId="6842637D" w14:textId="77777777" w:rsidR="00E30483" w:rsidRDefault="00E30483" w:rsidP="00646664">
            <w:pPr>
              <w:pStyle w:val="NoSpacing"/>
            </w:pPr>
            <w:r>
              <w:t>Phobia Free</w:t>
            </w:r>
          </w:p>
        </w:tc>
        <w:tc>
          <w:tcPr>
            <w:tcW w:w="0" w:type="auto"/>
            <w:tcBorders>
              <w:top w:val="nil"/>
              <w:left w:val="nil"/>
              <w:bottom w:val="nil"/>
              <w:right w:val="nil"/>
            </w:tcBorders>
            <w:shd w:val="clear" w:color="auto" w:fill="auto"/>
          </w:tcPr>
          <w:p w14:paraId="55EFAE91"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6708C9B0"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572E5D0C"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28B475B8" w14:textId="77777777" w:rsidR="00E30483" w:rsidRDefault="00E30483" w:rsidP="00646664">
            <w:pPr>
              <w:pStyle w:val="NoSpacing"/>
              <w:jc w:val="center"/>
            </w:pPr>
            <w:proofErr w:type="spellStart"/>
            <w:r>
              <w:t>Y</w:t>
            </w:r>
            <w:r w:rsidRPr="00290413">
              <w:rPr>
                <w:vertAlign w:val="superscript"/>
              </w:rPr>
              <w:t>n</w:t>
            </w:r>
            <w:proofErr w:type="spellEnd"/>
          </w:p>
        </w:tc>
        <w:tc>
          <w:tcPr>
            <w:tcW w:w="0" w:type="auto"/>
            <w:tcBorders>
              <w:top w:val="nil"/>
              <w:left w:val="nil"/>
              <w:bottom w:val="nil"/>
              <w:right w:val="nil"/>
            </w:tcBorders>
            <w:shd w:val="clear" w:color="auto" w:fill="auto"/>
          </w:tcPr>
          <w:p w14:paraId="2E14DDF3" w14:textId="77777777" w:rsidR="00E30483" w:rsidRDefault="00E30483" w:rsidP="00646664">
            <w:pPr>
              <w:pStyle w:val="NoSpacing"/>
              <w:jc w:val="center"/>
            </w:pPr>
            <w:proofErr w:type="spellStart"/>
            <w:r>
              <w:t>Y</w:t>
            </w:r>
            <w:r w:rsidRPr="00290413">
              <w:rPr>
                <w:vertAlign w:val="superscript"/>
              </w:rPr>
              <w:t>o</w:t>
            </w:r>
            <w:proofErr w:type="spellEnd"/>
          </w:p>
        </w:tc>
        <w:tc>
          <w:tcPr>
            <w:tcW w:w="0" w:type="auto"/>
            <w:tcBorders>
              <w:top w:val="nil"/>
              <w:left w:val="nil"/>
              <w:bottom w:val="nil"/>
              <w:right w:val="nil"/>
            </w:tcBorders>
            <w:shd w:val="clear" w:color="auto" w:fill="auto"/>
          </w:tcPr>
          <w:p w14:paraId="71937F67" w14:textId="77777777" w:rsidR="00E30483" w:rsidRDefault="00E30483" w:rsidP="00646664">
            <w:pPr>
              <w:pStyle w:val="NoSpacing"/>
              <w:jc w:val="center"/>
            </w:pPr>
            <w:r>
              <w:t>Y</w:t>
            </w:r>
          </w:p>
        </w:tc>
      </w:tr>
      <w:tr w:rsidR="00E30483" w14:paraId="1413B478" w14:textId="77777777" w:rsidTr="00A76323">
        <w:tc>
          <w:tcPr>
            <w:tcW w:w="0" w:type="auto"/>
            <w:tcBorders>
              <w:top w:val="nil"/>
              <w:left w:val="nil"/>
              <w:bottom w:val="nil"/>
              <w:right w:val="nil"/>
            </w:tcBorders>
            <w:shd w:val="clear" w:color="auto" w:fill="auto"/>
          </w:tcPr>
          <w:p w14:paraId="7CE9CD82" w14:textId="77777777" w:rsidR="00E30483" w:rsidRDefault="00E30483" w:rsidP="00646664">
            <w:pPr>
              <w:pStyle w:val="NoSpacing"/>
            </w:pPr>
            <w:proofErr w:type="spellStart"/>
            <w:r>
              <w:t>Puffellf</w:t>
            </w:r>
            <w:proofErr w:type="spellEnd"/>
          </w:p>
        </w:tc>
        <w:tc>
          <w:tcPr>
            <w:tcW w:w="0" w:type="auto"/>
            <w:tcBorders>
              <w:top w:val="nil"/>
              <w:left w:val="nil"/>
              <w:bottom w:val="nil"/>
              <w:right w:val="nil"/>
            </w:tcBorders>
            <w:shd w:val="clear" w:color="auto" w:fill="auto"/>
          </w:tcPr>
          <w:p w14:paraId="307DF7F4" w14:textId="77777777" w:rsidR="00E30483" w:rsidRDefault="00E30483" w:rsidP="00646664">
            <w:pPr>
              <w:pStyle w:val="NoSpacing"/>
              <w:jc w:val="center"/>
            </w:pPr>
            <w:r>
              <w:t>W</w:t>
            </w:r>
          </w:p>
        </w:tc>
        <w:tc>
          <w:tcPr>
            <w:tcW w:w="0" w:type="auto"/>
            <w:tcBorders>
              <w:top w:val="nil"/>
              <w:left w:val="nil"/>
              <w:bottom w:val="nil"/>
              <w:right w:val="nil"/>
            </w:tcBorders>
            <w:shd w:val="clear" w:color="auto" w:fill="auto"/>
          </w:tcPr>
          <w:p w14:paraId="6B9E0BB4"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2933DDD8"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5D27F36"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376708FE"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06D0D1F7" w14:textId="77777777" w:rsidR="00E30483" w:rsidRDefault="00E30483" w:rsidP="00646664">
            <w:pPr>
              <w:pStyle w:val="NoSpacing"/>
              <w:jc w:val="center"/>
            </w:pPr>
            <w:r>
              <w:t>N</w:t>
            </w:r>
          </w:p>
        </w:tc>
      </w:tr>
      <w:tr w:rsidR="00E30483" w14:paraId="491D8BF6" w14:textId="77777777" w:rsidTr="00A76323">
        <w:tc>
          <w:tcPr>
            <w:tcW w:w="0" w:type="auto"/>
            <w:tcBorders>
              <w:top w:val="nil"/>
              <w:left w:val="nil"/>
              <w:bottom w:val="nil"/>
              <w:right w:val="nil"/>
            </w:tcBorders>
            <w:shd w:val="clear" w:color="auto" w:fill="auto"/>
          </w:tcPr>
          <w:p w14:paraId="52FF1ADC" w14:textId="77777777" w:rsidR="00E30483" w:rsidRDefault="00E30483" w:rsidP="00646664">
            <w:pPr>
              <w:pStyle w:val="NoSpacing"/>
            </w:pPr>
            <w:r>
              <w:t>SAM: Self-help for Anxiety</w:t>
            </w:r>
          </w:p>
        </w:tc>
        <w:tc>
          <w:tcPr>
            <w:tcW w:w="0" w:type="auto"/>
            <w:tcBorders>
              <w:top w:val="nil"/>
              <w:left w:val="nil"/>
              <w:bottom w:val="nil"/>
              <w:right w:val="nil"/>
            </w:tcBorders>
            <w:shd w:val="clear" w:color="auto" w:fill="auto"/>
          </w:tcPr>
          <w:p w14:paraId="1FB65DC3"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3237D4A3"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22E5400B"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4FD69CC5"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774902EF"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7029511" w14:textId="77777777" w:rsidR="00E30483" w:rsidRDefault="00E30483" w:rsidP="00646664">
            <w:pPr>
              <w:pStyle w:val="NoSpacing"/>
              <w:jc w:val="center"/>
            </w:pPr>
            <w:r>
              <w:t>N</w:t>
            </w:r>
          </w:p>
        </w:tc>
      </w:tr>
      <w:tr w:rsidR="00E30483" w14:paraId="07DF4C9A" w14:textId="77777777" w:rsidTr="00A76323">
        <w:tc>
          <w:tcPr>
            <w:tcW w:w="0" w:type="auto"/>
            <w:tcBorders>
              <w:top w:val="nil"/>
              <w:left w:val="nil"/>
              <w:bottom w:val="nil"/>
              <w:right w:val="nil"/>
            </w:tcBorders>
            <w:shd w:val="clear" w:color="auto" w:fill="auto"/>
          </w:tcPr>
          <w:p w14:paraId="0D8F2D98" w14:textId="77777777" w:rsidR="00E30483" w:rsidRDefault="00E30483" w:rsidP="00646664">
            <w:pPr>
              <w:pStyle w:val="NoSpacing"/>
            </w:pPr>
            <w:proofErr w:type="spellStart"/>
            <w:r>
              <w:t>SilverCloud</w:t>
            </w:r>
            <w:proofErr w:type="spellEnd"/>
            <w:r>
              <w:t xml:space="preserve"> Health</w:t>
            </w:r>
          </w:p>
        </w:tc>
        <w:tc>
          <w:tcPr>
            <w:tcW w:w="0" w:type="auto"/>
            <w:tcBorders>
              <w:top w:val="nil"/>
              <w:left w:val="nil"/>
              <w:bottom w:val="nil"/>
              <w:right w:val="nil"/>
            </w:tcBorders>
            <w:shd w:val="clear" w:color="auto" w:fill="auto"/>
          </w:tcPr>
          <w:p w14:paraId="48D4CFCC" w14:textId="77777777" w:rsidR="00E30483" w:rsidRDefault="00E30483" w:rsidP="00646664">
            <w:pPr>
              <w:pStyle w:val="NoSpacing"/>
              <w:jc w:val="center"/>
            </w:pPr>
            <w:r>
              <w:t>W</w:t>
            </w:r>
          </w:p>
        </w:tc>
        <w:tc>
          <w:tcPr>
            <w:tcW w:w="0" w:type="auto"/>
            <w:tcBorders>
              <w:top w:val="nil"/>
              <w:left w:val="nil"/>
              <w:bottom w:val="nil"/>
              <w:right w:val="nil"/>
            </w:tcBorders>
            <w:shd w:val="clear" w:color="auto" w:fill="auto"/>
          </w:tcPr>
          <w:p w14:paraId="2734AC10"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2AB9AB52"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2FEE2389"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5DD601D4"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761111A8" w14:textId="77777777" w:rsidR="00E30483" w:rsidRDefault="00E30483" w:rsidP="00646664">
            <w:pPr>
              <w:pStyle w:val="NoSpacing"/>
              <w:jc w:val="center"/>
            </w:pPr>
            <w:r>
              <w:t>Y</w:t>
            </w:r>
          </w:p>
        </w:tc>
      </w:tr>
      <w:tr w:rsidR="00E30483" w14:paraId="6609A020" w14:textId="77777777" w:rsidTr="00A76323">
        <w:tc>
          <w:tcPr>
            <w:tcW w:w="0" w:type="auto"/>
            <w:tcBorders>
              <w:top w:val="nil"/>
              <w:left w:val="nil"/>
              <w:bottom w:val="nil"/>
              <w:right w:val="nil"/>
            </w:tcBorders>
            <w:shd w:val="clear" w:color="auto" w:fill="auto"/>
          </w:tcPr>
          <w:p w14:paraId="1C8A5915" w14:textId="77777777" w:rsidR="00E30483" w:rsidRDefault="00E30483" w:rsidP="00646664">
            <w:pPr>
              <w:pStyle w:val="NoSpacing"/>
            </w:pPr>
            <w:r>
              <w:t>Stay Alive</w:t>
            </w:r>
          </w:p>
        </w:tc>
        <w:tc>
          <w:tcPr>
            <w:tcW w:w="0" w:type="auto"/>
            <w:tcBorders>
              <w:top w:val="nil"/>
              <w:left w:val="nil"/>
              <w:bottom w:val="nil"/>
              <w:right w:val="nil"/>
            </w:tcBorders>
            <w:shd w:val="clear" w:color="auto" w:fill="auto"/>
          </w:tcPr>
          <w:p w14:paraId="028849C2"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418243C2"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3D6E50BB"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C1BEBF3"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6637B732"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027BE4EA" w14:textId="77777777" w:rsidR="00E30483" w:rsidRDefault="00E30483" w:rsidP="00646664">
            <w:pPr>
              <w:pStyle w:val="NoSpacing"/>
              <w:jc w:val="center"/>
            </w:pPr>
            <w:r>
              <w:t>N</w:t>
            </w:r>
          </w:p>
        </w:tc>
      </w:tr>
      <w:tr w:rsidR="00E30483" w14:paraId="08BE4949" w14:textId="77777777" w:rsidTr="00A76323">
        <w:tc>
          <w:tcPr>
            <w:tcW w:w="0" w:type="auto"/>
            <w:tcBorders>
              <w:top w:val="nil"/>
              <w:left w:val="nil"/>
              <w:bottom w:val="nil"/>
              <w:right w:val="nil"/>
            </w:tcBorders>
            <w:shd w:val="clear" w:color="auto" w:fill="auto"/>
          </w:tcPr>
          <w:p w14:paraId="1A50D188" w14:textId="77777777" w:rsidR="00E30483" w:rsidRDefault="00E30483" w:rsidP="00646664">
            <w:pPr>
              <w:pStyle w:val="NoSpacing"/>
            </w:pPr>
            <w:r>
              <w:t>Stress &amp; Anxiety Companion</w:t>
            </w:r>
          </w:p>
        </w:tc>
        <w:tc>
          <w:tcPr>
            <w:tcW w:w="0" w:type="auto"/>
            <w:tcBorders>
              <w:top w:val="nil"/>
              <w:left w:val="nil"/>
              <w:bottom w:val="nil"/>
              <w:right w:val="nil"/>
            </w:tcBorders>
            <w:shd w:val="clear" w:color="auto" w:fill="auto"/>
          </w:tcPr>
          <w:p w14:paraId="29831A16"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258C8301"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1A8A7C02"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DC40682"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743A8263"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03A91604" w14:textId="77777777" w:rsidR="00E30483" w:rsidRDefault="00E30483" w:rsidP="00646664">
            <w:pPr>
              <w:pStyle w:val="NoSpacing"/>
              <w:jc w:val="center"/>
            </w:pPr>
            <w:r>
              <w:t>Y</w:t>
            </w:r>
          </w:p>
        </w:tc>
      </w:tr>
      <w:tr w:rsidR="00E30483" w14:paraId="43B2F48D" w14:textId="77777777" w:rsidTr="00A76323">
        <w:tc>
          <w:tcPr>
            <w:tcW w:w="0" w:type="auto"/>
            <w:tcBorders>
              <w:top w:val="nil"/>
              <w:left w:val="nil"/>
              <w:bottom w:val="nil"/>
              <w:right w:val="nil"/>
            </w:tcBorders>
            <w:shd w:val="clear" w:color="auto" w:fill="auto"/>
          </w:tcPr>
          <w:p w14:paraId="070E20FB" w14:textId="77777777" w:rsidR="00E30483" w:rsidRDefault="00E30483" w:rsidP="00646664">
            <w:pPr>
              <w:pStyle w:val="NoSpacing"/>
            </w:pPr>
            <w:r>
              <w:t>Stress Management App</w:t>
            </w:r>
          </w:p>
        </w:tc>
        <w:tc>
          <w:tcPr>
            <w:tcW w:w="0" w:type="auto"/>
            <w:tcBorders>
              <w:top w:val="nil"/>
              <w:left w:val="nil"/>
              <w:bottom w:val="nil"/>
              <w:right w:val="nil"/>
            </w:tcBorders>
            <w:shd w:val="clear" w:color="auto" w:fill="auto"/>
          </w:tcPr>
          <w:p w14:paraId="4413FE26"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4E09BDCA"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66C2BAE2"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57885B66"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25273617" w14:textId="77777777" w:rsidR="00E30483" w:rsidRDefault="00E30483" w:rsidP="00646664">
            <w:pPr>
              <w:pStyle w:val="NoSpacing"/>
              <w:jc w:val="center"/>
            </w:pPr>
            <w:proofErr w:type="spellStart"/>
            <w:r>
              <w:t>Y</w:t>
            </w:r>
            <w:r w:rsidRPr="00290413">
              <w:rPr>
                <w:vertAlign w:val="superscript"/>
              </w:rPr>
              <w:t>p</w:t>
            </w:r>
            <w:proofErr w:type="spellEnd"/>
          </w:p>
        </w:tc>
        <w:tc>
          <w:tcPr>
            <w:tcW w:w="0" w:type="auto"/>
            <w:tcBorders>
              <w:top w:val="nil"/>
              <w:left w:val="nil"/>
              <w:bottom w:val="nil"/>
              <w:right w:val="nil"/>
            </w:tcBorders>
            <w:shd w:val="clear" w:color="auto" w:fill="auto"/>
          </w:tcPr>
          <w:p w14:paraId="6C52E89E" w14:textId="77777777" w:rsidR="00E30483" w:rsidRDefault="00E30483" w:rsidP="00646664">
            <w:pPr>
              <w:pStyle w:val="NoSpacing"/>
              <w:jc w:val="center"/>
            </w:pPr>
            <w:r>
              <w:t>Y</w:t>
            </w:r>
          </w:p>
        </w:tc>
      </w:tr>
      <w:tr w:rsidR="00E30483" w14:paraId="6D9CAFEB" w14:textId="77777777" w:rsidTr="00A76323">
        <w:tc>
          <w:tcPr>
            <w:tcW w:w="0" w:type="auto"/>
            <w:tcBorders>
              <w:top w:val="nil"/>
              <w:left w:val="nil"/>
              <w:bottom w:val="nil"/>
              <w:right w:val="nil"/>
            </w:tcBorders>
            <w:shd w:val="clear" w:color="auto" w:fill="auto"/>
          </w:tcPr>
          <w:p w14:paraId="435CA881" w14:textId="77777777" w:rsidR="00E30483" w:rsidRDefault="00E30483" w:rsidP="00646664">
            <w:pPr>
              <w:pStyle w:val="NoSpacing"/>
            </w:pPr>
            <w:r>
              <w:t>Take a break!</w:t>
            </w:r>
          </w:p>
        </w:tc>
        <w:tc>
          <w:tcPr>
            <w:tcW w:w="0" w:type="auto"/>
            <w:tcBorders>
              <w:top w:val="nil"/>
              <w:left w:val="nil"/>
              <w:bottom w:val="nil"/>
              <w:right w:val="nil"/>
            </w:tcBorders>
            <w:shd w:val="clear" w:color="auto" w:fill="auto"/>
          </w:tcPr>
          <w:p w14:paraId="54B92A30"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5E945EA9"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7D005075"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101B9B42"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0E1FE51B"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78A50423" w14:textId="77777777" w:rsidR="00E30483" w:rsidRDefault="00E30483" w:rsidP="00646664">
            <w:pPr>
              <w:pStyle w:val="NoSpacing"/>
              <w:jc w:val="center"/>
            </w:pPr>
            <w:r>
              <w:t>N</w:t>
            </w:r>
          </w:p>
        </w:tc>
      </w:tr>
      <w:tr w:rsidR="00E30483" w14:paraId="1EB279C6" w14:textId="77777777" w:rsidTr="00A76323">
        <w:tc>
          <w:tcPr>
            <w:tcW w:w="0" w:type="auto"/>
            <w:tcBorders>
              <w:top w:val="nil"/>
              <w:left w:val="nil"/>
              <w:bottom w:val="nil"/>
              <w:right w:val="nil"/>
            </w:tcBorders>
            <w:shd w:val="clear" w:color="auto" w:fill="auto"/>
          </w:tcPr>
          <w:p w14:paraId="2F15B84B" w14:textId="77777777" w:rsidR="00E30483" w:rsidRDefault="00E30483" w:rsidP="00646664">
            <w:pPr>
              <w:pStyle w:val="NoSpacing"/>
            </w:pPr>
            <w:r>
              <w:t xml:space="preserve">Thought </w:t>
            </w:r>
            <w:r w:rsidRPr="00795473">
              <w:rPr>
                <w:noProof/>
              </w:rPr>
              <w:t>Diary</w:t>
            </w:r>
            <w:r w:rsidRPr="00795473">
              <w:rPr>
                <w:noProof/>
                <w:vertAlign w:val="superscript"/>
              </w:rPr>
              <w:t>f</w:t>
            </w:r>
          </w:p>
        </w:tc>
        <w:tc>
          <w:tcPr>
            <w:tcW w:w="0" w:type="auto"/>
            <w:tcBorders>
              <w:top w:val="nil"/>
              <w:left w:val="nil"/>
              <w:bottom w:val="nil"/>
              <w:right w:val="nil"/>
            </w:tcBorders>
            <w:shd w:val="clear" w:color="auto" w:fill="auto"/>
          </w:tcPr>
          <w:p w14:paraId="6F4BDAB4"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4C1213D7"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6C900109"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6B849F9E"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59EC5939"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5B27BE0A" w14:textId="77777777" w:rsidR="00E30483" w:rsidRDefault="00E30483" w:rsidP="00646664">
            <w:pPr>
              <w:pStyle w:val="NoSpacing"/>
              <w:jc w:val="center"/>
            </w:pPr>
            <w:r>
              <w:t>N</w:t>
            </w:r>
          </w:p>
        </w:tc>
      </w:tr>
      <w:tr w:rsidR="00E30483" w14:paraId="02D7D1EF" w14:textId="77777777" w:rsidTr="00A76323">
        <w:tc>
          <w:tcPr>
            <w:tcW w:w="0" w:type="auto"/>
            <w:tcBorders>
              <w:top w:val="nil"/>
              <w:left w:val="nil"/>
              <w:bottom w:val="nil"/>
              <w:right w:val="nil"/>
            </w:tcBorders>
            <w:shd w:val="clear" w:color="auto" w:fill="auto"/>
          </w:tcPr>
          <w:p w14:paraId="3FF6693C" w14:textId="77777777" w:rsidR="00E30483" w:rsidRDefault="00E30483" w:rsidP="00646664">
            <w:pPr>
              <w:pStyle w:val="NoSpacing"/>
            </w:pPr>
            <w:r>
              <w:t>Thought Diary Pro</w:t>
            </w:r>
            <w:r w:rsidRPr="00290413">
              <w:rPr>
                <w:vertAlign w:val="superscript"/>
              </w:rPr>
              <w:t>f</w:t>
            </w:r>
          </w:p>
        </w:tc>
        <w:tc>
          <w:tcPr>
            <w:tcW w:w="0" w:type="auto"/>
            <w:tcBorders>
              <w:top w:val="nil"/>
              <w:left w:val="nil"/>
              <w:bottom w:val="nil"/>
              <w:right w:val="nil"/>
            </w:tcBorders>
            <w:shd w:val="clear" w:color="auto" w:fill="auto"/>
          </w:tcPr>
          <w:p w14:paraId="6B300780"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2C9C9823"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0E853A14"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2811D00F"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4E678B2B"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7552C18A" w14:textId="77777777" w:rsidR="00E30483" w:rsidRDefault="00E30483" w:rsidP="00646664">
            <w:pPr>
              <w:pStyle w:val="NoSpacing"/>
              <w:jc w:val="center"/>
            </w:pPr>
            <w:r>
              <w:t>N</w:t>
            </w:r>
          </w:p>
        </w:tc>
      </w:tr>
      <w:tr w:rsidR="00E30483" w14:paraId="63D91CEB" w14:textId="77777777" w:rsidTr="00A76323">
        <w:tc>
          <w:tcPr>
            <w:tcW w:w="0" w:type="auto"/>
            <w:tcBorders>
              <w:top w:val="nil"/>
              <w:left w:val="nil"/>
              <w:bottom w:val="nil"/>
              <w:right w:val="nil"/>
            </w:tcBorders>
            <w:shd w:val="clear" w:color="auto" w:fill="auto"/>
          </w:tcPr>
          <w:p w14:paraId="2C9D689C" w14:textId="77777777" w:rsidR="00E30483" w:rsidRDefault="00E30483" w:rsidP="00646664">
            <w:pPr>
              <w:pStyle w:val="NoSpacing"/>
            </w:pPr>
            <w:r>
              <w:t>Virtual Hope Box</w:t>
            </w:r>
          </w:p>
        </w:tc>
        <w:tc>
          <w:tcPr>
            <w:tcW w:w="0" w:type="auto"/>
            <w:tcBorders>
              <w:top w:val="nil"/>
              <w:left w:val="nil"/>
              <w:bottom w:val="nil"/>
              <w:right w:val="nil"/>
            </w:tcBorders>
            <w:shd w:val="clear" w:color="auto" w:fill="auto"/>
          </w:tcPr>
          <w:p w14:paraId="2DC2F7A6"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2BA37705"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3919BAE1"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2B232F31"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7FD64263"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59BDDD21" w14:textId="77777777" w:rsidR="00E30483" w:rsidRDefault="00E30483" w:rsidP="00646664">
            <w:pPr>
              <w:pStyle w:val="NoSpacing"/>
              <w:jc w:val="center"/>
            </w:pPr>
            <w:r>
              <w:t>Y</w:t>
            </w:r>
          </w:p>
        </w:tc>
      </w:tr>
      <w:tr w:rsidR="00E30483" w14:paraId="1408AFEC" w14:textId="77777777" w:rsidTr="00A76323">
        <w:tc>
          <w:tcPr>
            <w:tcW w:w="0" w:type="auto"/>
            <w:tcBorders>
              <w:top w:val="nil"/>
              <w:left w:val="nil"/>
              <w:bottom w:val="nil"/>
              <w:right w:val="nil"/>
            </w:tcBorders>
            <w:shd w:val="clear" w:color="auto" w:fill="auto"/>
          </w:tcPr>
          <w:p w14:paraId="1B374CB9" w14:textId="77777777" w:rsidR="00E30483" w:rsidRDefault="00E30483" w:rsidP="00646664">
            <w:pPr>
              <w:pStyle w:val="NoSpacing"/>
            </w:pPr>
            <w:proofErr w:type="spellStart"/>
            <w:r>
              <w:t>WellMind</w:t>
            </w:r>
            <w:proofErr w:type="spellEnd"/>
          </w:p>
        </w:tc>
        <w:tc>
          <w:tcPr>
            <w:tcW w:w="0" w:type="auto"/>
            <w:tcBorders>
              <w:top w:val="nil"/>
              <w:left w:val="nil"/>
              <w:bottom w:val="nil"/>
              <w:right w:val="nil"/>
            </w:tcBorders>
            <w:shd w:val="clear" w:color="auto" w:fill="auto"/>
          </w:tcPr>
          <w:p w14:paraId="33871785" w14:textId="77777777" w:rsidR="00E30483" w:rsidRDefault="00E30483" w:rsidP="00646664">
            <w:pPr>
              <w:pStyle w:val="NoSpacing"/>
              <w:jc w:val="center"/>
            </w:pPr>
            <w:r>
              <w:t>P</w:t>
            </w:r>
          </w:p>
        </w:tc>
        <w:tc>
          <w:tcPr>
            <w:tcW w:w="0" w:type="auto"/>
            <w:tcBorders>
              <w:top w:val="nil"/>
              <w:left w:val="nil"/>
              <w:bottom w:val="nil"/>
              <w:right w:val="nil"/>
            </w:tcBorders>
            <w:shd w:val="clear" w:color="auto" w:fill="auto"/>
          </w:tcPr>
          <w:p w14:paraId="609E19A3"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2C4A77A1"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3FDC272B"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7BD761A0" w14:textId="77777777" w:rsidR="00E30483" w:rsidRDefault="00E30483" w:rsidP="00646664">
            <w:pPr>
              <w:pStyle w:val="NoSpacing"/>
              <w:jc w:val="center"/>
            </w:pPr>
            <w:r>
              <w:t>N</w:t>
            </w:r>
          </w:p>
        </w:tc>
        <w:tc>
          <w:tcPr>
            <w:tcW w:w="0" w:type="auto"/>
            <w:tcBorders>
              <w:top w:val="nil"/>
              <w:left w:val="nil"/>
              <w:bottom w:val="nil"/>
              <w:right w:val="nil"/>
            </w:tcBorders>
            <w:shd w:val="clear" w:color="auto" w:fill="auto"/>
          </w:tcPr>
          <w:p w14:paraId="10C9427F" w14:textId="77777777" w:rsidR="00E30483" w:rsidRDefault="00E30483" w:rsidP="00646664">
            <w:pPr>
              <w:pStyle w:val="NoSpacing"/>
              <w:jc w:val="center"/>
            </w:pPr>
            <w:r>
              <w:t>N</w:t>
            </w:r>
          </w:p>
        </w:tc>
      </w:tr>
      <w:tr w:rsidR="00E30483" w14:paraId="4BC23B87" w14:textId="77777777" w:rsidTr="00A76323">
        <w:trPr>
          <w:trHeight w:val="40"/>
        </w:trPr>
        <w:tc>
          <w:tcPr>
            <w:tcW w:w="0" w:type="auto"/>
            <w:tcBorders>
              <w:top w:val="nil"/>
              <w:left w:val="nil"/>
              <w:bottom w:val="nil"/>
              <w:right w:val="nil"/>
            </w:tcBorders>
            <w:shd w:val="clear" w:color="auto" w:fill="auto"/>
          </w:tcPr>
          <w:p w14:paraId="2C51A38A" w14:textId="77777777" w:rsidR="00E30483" w:rsidRDefault="00E30483" w:rsidP="00646664">
            <w:pPr>
              <w:pStyle w:val="NoSpacing"/>
            </w:pPr>
            <w:r w:rsidRPr="00795473">
              <w:rPr>
                <w:noProof/>
              </w:rPr>
              <w:t>WorkGuru</w:t>
            </w:r>
          </w:p>
        </w:tc>
        <w:tc>
          <w:tcPr>
            <w:tcW w:w="0" w:type="auto"/>
            <w:tcBorders>
              <w:top w:val="nil"/>
              <w:left w:val="nil"/>
              <w:bottom w:val="nil"/>
              <w:right w:val="nil"/>
            </w:tcBorders>
            <w:shd w:val="clear" w:color="auto" w:fill="auto"/>
          </w:tcPr>
          <w:p w14:paraId="52FB9E74" w14:textId="77777777" w:rsidR="00E30483" w:rsidRDefault="00E30483" w:rsidP="00646664">
            <w:pPr>
              <w:pStyle w:val="NoSpacing"/>
              <w:jc w:val="center"/>
            </w:pPr>
            <w:r>
              <w:t>W</w:t>
            </w:r>
          </w:p>
        </w:tc>
        <w:tc>
          <w:tcPr>
            <w:tcW w:w="0" w:type="auto"/>
            <w:tcBorders>
              <w:top w:val="nil"/>
              <w:left w:val="nil"/>
              <w:bottom w:val="nil"/>
              <w:right w:val="nil"/>
            </w:tcBorders>
            <w:shd w:val="clear" w:color="auto" w:fill="auto"/>
          </w:tcPr>
          <w:p w14:paraId="19FAA042"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3EE2CED5" w14:textId="77777777" w:rsidR="00E30483" w:rsidRDefault="00E30483" w:rsidP="00646664">
            <w:pPr>
              <w:pStyle w:val="NoSpacing"/>
              <w:jc w:val="center"/>
            </w:pPr>
            <w:r>
              <w:t>Y</w:t>
            </w:r>
          </w:p>
        </w:tc>
        <w:tc>
          <w:tcPr>
            <w:tcW w:w="0" w:type="auto"/>
            <w:tcBorders>
              <w:top w:val="nil"/>
              <w:left w:val="nil"/>
              <w:bottom w:val="nil"/>
              <w:right w:val="nil"/>
            </w:tcBorders>
            <w:shd w:val="clear" w:color="auto" w:fill="auto"/>
          </w:tcPr>
          <w:p w14:paraId="1E258677" w14:textId="77777777" w:rsidR="00E30483" w:rsidRDefault="00E30483" w:rsidP="00646664">
            <w:pPr>
              <w:pStyle w:val="NoSpacing"/>
              <w:jc w:val="center"/>
            </w:pPr>
            <w:proofErr w:type="spellStart"/>
            <w:r>
              <w:t>Y</w:t>
            </w:r>
            <w:r w:rsidRPr="00290413">
              <w:rPr>
                <w:vertAlign w:val="superscript"/>
              </w:rPr>
              <w:t>q</w:t>
            </w:r>
            <w:proofErr w:type="spellEnd"/>
          </w:p>
        </w:tc>
        <w:tc>
          <w:tcPr>
            <w:tcW w:w="0" w:type="auto"/>
            <w:tcBorders>
              <w:top w:val="nil"/>
              <w:left w:val="nil"/>
              <w:bottom w:val="nil"/>
              <w:right w:val="nil"/>
            </w:tcBorders>
            <w:shd w:val="clear" w:color="auto" w:fill="auto"/>
          </w:tcPr>
          <w:p w14:paraId="20A448D7" w14:textId="77777777" w:rsidR="00E30483" w:rsidRDefault="00E30483" w:rsidP="00646664">
            <w:pPr>
              <w:pStyle w:val="NoSpacing"/>
              <w:jc w:val="center"/>
            </w:pPr>
            <w:proofErr w:type="spellStart"/>
            <w:r>
              <w:t>Y</w:t>
            </w:r>
            <w:r w:rsidRPr="00290413">
              <w:rPr>
                <w:vertAlign w:val="superscript"/>
              </w:rPr>
              <w:t>r</w:t>
            </w:r>
            <w:proofErr w:type="spellEnd"/>
          </w:p>
        </w:tc>
        <w:tc>
          <w:tcPr>
            <w:tcW w:w="0" w:type="auto"/>
            <w:tcBorders>
              <w:top w:val="nil"/>
              <w:left w:val="nil"/>
              <w:bottom w:val="nil"/>
              <w:right w:val="nil"/>
            </w:tcBorders>
            <w:shd w:val="clear" w:color="auto" w:fill="auto"/>
          </w:tcPr>
          <w:p w14:paraId="598B3021" w14:textId="77777777" w:rsidR="00E30483" w:rsidRDefault="00E30483" w:rsidP="00646664">
            <w:pPr>
              <w:pStyle w:val="NoSpacing"/>
              <w:jc w:val="center"/>
            </w:pPr>
            <w:r>
              <w:t>Y</w:t>
            </w:r>
          </w:p>
        </w:tc>
      </w:tr>
      <w:tr w:rsidR="00E30483" w14:paraId="5559B048" w14:textId="77777777" w:rsidTr="00A76323">
        <w:trPr>
          <w:trHeight w:val="60"/>
        </w:trPr>
        <w:tc>
          <w:tcPr>
            <w:tcW w:w="0" w:type="auto"/>
            <w:tcBorders>
              <w:top w:val="nil"/>
              <w:left w:val="nil"/>
              <w:bottom w:val="single" w:sz="4" w:space="0" w:color="000000"/>
              <w:right w:val="nil"/>
            </w:tcBorders>
            <w:shd w:val="clear" w:color="auto" w:fill="auto"/>
          </w:tcPr>
          <w:p w14:paraId="75728634" w14:textId="77777777" w:rsidR="00E30483" w:rsidRDefault="00E30483" w:rsidP="00646664">
            <w:pPr>
              <w:pStyle w:val="NoSpacing"/>
            </w:pPr>
            <w:r>
              <w:t xml:space="preserve">Worry </w:t>
            </w:r>
            <w:r w:rsidRPr="00795473">
              <w:rPr>
                <w:noProof/>
              </w:rPr>
              <w:t>Watch</w:t>
            </w:r>
            <w:r w:rsidRPr="00DE4004">
              <w:rPr>
                <w:noProof/>
                <w:vertAlign w:val="superscript"/>
              </w:rPr>
              <w:t>f</w:t>
            </w:r>
          </w:p>
        </w:tc>
        <w:tc>
          <w:tcPr>
            <w:tcW w:w="0" w:type="auto"/>
            <w:tcBorders>
              <w:top w:val="nil"/>
              <w:left w:val="nil"/>
              <w:bottom w:val="single" w:sz="4" w:space="0" w:color="000000"/>
              <w:right w:val="nil"/>
            </w:tcBorders>
            <w:shd w:val="clear" w:color="auto" w:fill="auto"/>
          </w:tcPr>
          <w:p w14:paraId="459362C4" w14:textId="77777777" w:rsidR="00E30483" w:rsidRDefault="00E30483" w:rsidP="00646664">
            <w:pPr>
              <w:pStyle w:val="NoSpacing"/>
              <w:jc w:val="center"/>
            </w:pPr>
            <w:r>
              <w:t>P</w:t>
            </w:r>
          </w:p>
        </w:tc>
        <w:tc>
          <w:tcPr>
            <w:tcW w:w="0" w:type="auto"/>
            <w:tcBorders>
              <w:top w:val="nil"/>
              <w:left w:val="nil"/>
              <w:bottom w:val="single" w:sz="4" w:space="0" w:color="000000"/>
              <w:right w:val="nil"/>
            </w:tcBorders>
            <w:shd w:val="clear" w:color="auto" w:fill="auto"/>
          </w:tcPr>
          <w:p w14:paraId="4240C601" w14:textId="77777777" w:rsidR="00E30483" w:rsidRDefault="00E30483" w:rsidP="00646664">
            <w:pPr>
              <w:pStyle w:val="NoSpacing"/>
              <w:jc w:val="center"/>
            </w:pPr>
            <w:r>
              <w:t>N</w:t>
            </w:r>
          </w:p>
        </w:tc>
        <w:tc>
          <w:tcPr>
            <w:tcW w:w="0" w:type="auto"/>
            <w:tcBorders>
              <w:top w:val="nil"/>
              <w:left w:val="nil"/>
              <w:bottom w:val="single" w:sz="4" w:space="0" w:color="000000"/>
              <w:right w:val="nil"/>
            </w:tcBorders>
            <w:shd w:val="clear" w:color="auto" w:fill="auto"/>
          </w:tcPr>
          <w:p w14:paraId="49F8F52C" w14:textId="77777777" w:rsidR="00E30483" w:rsidRDefault="00E30483" w:rsidP="00646664">
            <w:pPr>
              <w:pStyle w:val="NoSpacing"/>
              <w:jc w:val="center"/>
            </w:pPr>
            <w:r>
              <w:t>N</w:t>
            </w:r>
          </w:p>
        </w:tc>
        <w:tc>
          <w:tcPr>
            <w:tcW w:w="0" w:type="auto"/>
            <w:tcBorders>
              <w:top w:val="nil"/>
              <w:left w:val="nil"/>
              <w:bottom w:val="single" w:sz="4" w:space="0" w:color="000000"/>
              <w:right w:val="nil"/>
            </w:tcBorders>
            <w:shd w:val="clear" w:color="auto" w:fill="auto"/>
          </w:tcPr>
          <w:p w14:paraId="6EE26688" w14:textId="77777777" w:rsidR="00E30483" w:rsidRDefault="00E30483" w:rsidP="00646664">
            <w:pPr>
              <w:pStyle w:val="NoSpacing"/>
              <w:jc w:val="center"/>
            </w:pPr>
            <w:r>
              <w:t>N</w:t>
            </w:r>
          </w:p>
        </w:tc>
        <w:tc>
          <w:tcPr>
            <w:tcW w:w="0" w:type="auto"/>
            <w:tcBorders>
              <w:top w:val="nil"/>
              <w:left w:val="nil"/>
              <w:bottom w:val="single" w:sz="4" w:space="0" w:color="000000"/>
              <w:right w:val="nil"/>
            </w:tcBorders>
            <w:shd w:val="clear" w:color="auto" w:fill="auto"/>
          </w:tcPr>
          <w:p w14:paraId="7E846F88" w14:textId="77777777" w:rsidR="00E30483" w:rsidRDefault="00E30483" w:rsidP="00646664">
            <w:pPr>
              <w:pStyle w:val="NoSpacing"/>
              <w:jc w:val="center"/>
            </w:pPr>
            <w:r>
              <w:t>N</w:t>
            </w:r>
          </w:p>
        </w:tc>
        <w:tc>
          <w:tcPr>
            <w:tcW w:w="0" w:type="auto"/>
            <w:tcBorders>
              <w:top w:val="nil"/>
              <w:left w:val="nil"/>
              <w:bottom w:val="single" w:sz="4" w:space="0" w:color="000000"/>
              <w:right w:val="nil"/>
            </w:tcBorders>
            <w:shd w:val="clear" w:color="auto" w:fill="auto"/>
          </w:tcPr>
          <w:p w14:paraId="39B7A5A0" w14:textId="77777777" w:rsidR="00E30483" w:rsidRDefault="00E30483" w:rsidP="00646664">
            <w:pPr>
              <w:pStyle w:val="NoSpacing"/>
              <w:jc w:val="center"/>
            </w:pPr>
            <w:r>
              <w:t>N</w:t>
            </w:r>
          </w:p>
        </w:tc>
      </w:tr>
    </w:tbl>
    <w:p w14:paraId="6CCCAD18" w14:textId="22219C49" w:rsidR="00E30483" w:rsidRDefault="00E30483" w:rsidP="00E30483">
      <w:proofErr w:type="gramStart"/>
      <w:r>
        <w:rPr>
          <w:vertAlign w:val="superscript"/>
        </w:rPr>
        <w:lastRenderedPageBreak/>
        <w:t>a</w:t>
      </w:r>
      <w:proofErr w:type="gramEnd"/>
      <w:r>
        <w:t xml:space="preserve"> Reference</w:t>
      </w:r>
      <w:r w:rsidR="008D0FD5">
        <w:t>s</w:t>
      </w:r>
      <w:r>
        <w:t xml:space="preserve"> studies relate</w:t>
      </w:r>
      <w:r w:rsidR="008D0FD5">
        <w:t>d</w:t>
      </w:r>
      <w:r>
        <w:t xml:space="preserve"> to the therapy on which the app was based, rather than the app itself.</w:t>
      </w:r>
      <w:r>
        <w:br/>
      </w:r>
      <w:proofErr w:type="gramStart"/>
      <w:r>
        <w:rPr>
          <w:vertAlign w:val="superscript"/>
        </w:rPr>
        <w:t>b</w:t>
      </w:r>
      <w:proofErr w:type="gramEnd"/>
      <w:r>
        <w:rPr>
          <w:vertAlign w:val="superscript"/>
        </w:rPr>
        <w:t xml:space="preserve"> </w:t>
      </w:r>
      <w:r>
        <w:t>The developer assessed CBT apps in a non</w:t>
      </w:r>
      <w:r w:rsidR="007331B0">
        <w:noBreakHyphen/>
      </w:r>
      <w:r>
        <w:t xml:space="preserve">scientific way. </w:t>
      </w:r>
      <w:r>
        <w:br/>
      </w:r>
      <w:proofErr w:type="gramStart"/>
      <w:r>
        <w:rPr>
          <w:vertAlign w:val="superscript"/>
        </w:rPr>
        <w:t>c</w:t>
      </w:r>
      <w:proofErr w:type="gramEnd"/>
      <w:r>
        <w:rPr>
          <w:vertAlign w:val="superscript"/>
        </w:rPr>
        <w:t xml:space="preserve"> </w:t>
      </w:r>
      <w:r>
        <w:t>Studies were not published at the time of the survey but were in preparation.</w:t>
      </w:r>
      <w:r>
        <w:br/>
      </w:r>
      <w:proofErr w:type="gramStart"/>
      <w:r>
        <w:rPr>
          <w:vertAlign w:val="superscript"/>
        </w:rPr>
        <w:t>d</w:t>
      </w:r>
      <w:proofErr w:type="gramEnd"/>
      <w:r>
        <w:rPr>
          <w:vertAlign w:val="superscript"/>
        </w:rPr>
        <w:t xml:space="preserve"> </w:t>
      </w:r>
      <w:r>
        <w:t>Piloted within 12 NHS Trusts across a range of services and teams.</w:t>
      </w:r>
      <w:r>
        <w:br/>
      </w:r>
      <w:proofErr w:type="gramStart"/>
      <w:r>
        <w:rPr>
          <w:vertAlign w:val="superscript"/>
        </w:rPr>
        <w:t>e</w:t>
      </w:r>
      <w:proofErr w:type="gramEnd"/>
      <w:r>
        <w:rPr>
          <w:vertAlign w:val="superscript"/>
        </w:rPr>
        <w:t xml:space="preserve"> </w:t>
      </w:r>
      <w:r>
        <w:t xml:space="preserve">Designed to work with a </w:t>
      </w:r>
      <w:r>
        <w:rPr>
          <w:rStyle w:val="normaltextrun"/>
          <w:color w:val="000000"/>
          <w:shd w:val="clear" w:color="auto" w:fill="FFFFFF"/>
        </w:rPr>
        <w:t>behavioural activation framework</w:t>
      </w:r>
      <w:r>
        <w:rPr>
          <w:rStyle w:val="eop"/>
          <w:color w:val="000000"/>
          <w:shd w:val="clear" w:color="auto" w:fill="FFFFFF"/>
        </w:rPr>
        <w:t> </w:t>
      </w:r>
      <w:r>
        <w:br/>
      </w:r>
      <w:r>
        <w:rPr>
          <w:vertAlign w:val="superscript"/>
        </w:rPr>
        <w:t xml:space="preserve">f </w:t>
      </w:r>
      <w:r>
        <w:t xml:space="preserve">Failed to respond to </w:t>
      </w:r>
      <w:r w:rsidRPr="00DE4004">
        <w:rPr>
          <w:noProof/>
        </w:rPr>
        <w:t>survey</w:t>
      </w:r>
      <w:r>
        <w:t xml:space="preserve">. </w:t>
      </w:r>
      <w:r w:rsidR="00554CB4">
        <w:t xml:space="preserve"> </w:t>
      </w:r>
      <w:proofErr w:type="gramStart"/>
      <w:r>
        <w:t xml:space="preserve">Answered by the researcher based on </w:t>
      </w:r>
      <w:r w:rsidRPr="00DE4004">
        <w:rPr>
          <w:noProof/>
        </w:rPr>
        <w:t>publicly</w:t>
      </w:r>
      <w:r>
        <w:t xml:space="preserve"> available information.</w:t>
      </w:r>
      <w:proofErr w:type="gramEnd"/>
      <w:r>
        <w:br/>
      </w:r>
      <w:proofErr w:type="gramStart"/>
      <w:r>
        <w:rPr>
          <w:vertAlign w:val="superscript"/>
        </w:rPr>
        <w:t>g</w:t>
      </w:r>
      <w:proofErr w:type="gramEnd"/>
      <w:r>
        <w:t xml:space="preserve"> Had a testing/pilot phase mainly to see if the elements worked and what people thought about the app.</w:t>
      </w:r>
      <w:r>
        <w:br/>
      </w:r>
      <w:r>
        <w:rPr>
          <w:vertAlign w:val="superscript"/>
        </w:rPr>
        <w:t xml:space="preserve">h </w:t>
      </w:r>
      <w:r>
        <w:t>No publications but at very early stages of two projects that will produce independent research evidence.</w:t>
      </w:r>
      <w:r>
        <w:br/>
      </w:r>
      <w:proofErr w:type="gramStart"/>
      <w:r w:rsidRPr="00DE4004">
        <w:rPr>
          <w:noProof/>
          <w:vertAlign w:val="superscript"/>
        </w:rPr>
        <w:t>i</w:t>
      </w:r>
      <w:r>
        <w:rPr>
          <w:vertAlign w:val="superscript"/>
        </w:rPr>
        <w:t xml:space="preserve"> </w:t>
      </w:r>
      <w:r>
        <w:t>PhD student rather than experienced research academic.</w:t>
      </w:r>
      <w:proofErr w:type="gramEnd"/>
      <w:r>
        <w:br/>
      </w:r>
      <w:proofErr w:type="gramStart"/>
      <w:r>
        <w:rPr>
          <w:vertAlign w:val="superscript"/>
        </w:rPr>
        <w:t>j</w:t>
      </w:r>
      <w:proofErr w:type="gramEnd"/>
      <w:r>
        <w:rPr>
          <w:vertAlign w:val="superscript"/>
        </w:rPr>
        <w:t xml:space="preserve"> </w:t>
      </w:r>
      <w:r>
        <w:t xml:space="preserve">Declared no approach, </w:t>
      </w:r>
      <w:r w:rsidRPr="00DE4004">
        <w:rPr>
          <w:noProof/>
        </w:rPr>
        <w:t>but</w:t>
      </w:r>
      <w:r>
        <w:t xml:space="preserve"> on inspection of the </w:t>
      </w:r>
      <w:r w:rsidRPr="00DE4004">
        <w:rPr>
          <w:noProof/>
        </w:rPr>
        <w:t>developer</w:t>
      </w:r>
      <w:r>
        <w:rPr>
          <w:noProof/>
        </w:rPr>
        <w:t>'</w:t>
      </w:r>
      <w:r w:rsidRPr="00DE4004">
        <w:rPr>
          <w:noProof/>
        </w:rPr>
        <w:t>s</w:t>
      </w:r>
      <w:r>
        <w:t xml:space="preserve"> </w:t>
      </w:r>
      <w:r w:rsidRPr="00DE4004">
        <w:rPr>
          <w:noProof/>
        </w:rPr>
        <w:t>website</w:t>
      </w:r>
      <w:r>
        <w:rPr>
          <w:noProof/>
        </w:rPr>
        <w:t>,</w:t>
      </w:r>
      <w:r>
        <w:t xml:space="preserve"> it was found that the service offers one-to-one CBT over a messenger.</w:t>
      </w:r>
      <w:r>
        <w:br/>
      </w:r>
      <w:proofErr w:type="gramStart"/>
      <w:r>
        <w:rPr>
          <w:vertAlign w:val="superscript"/>
        </w:rPr>
        <w:t>k</w:t>
      </w:r>
      <w:proofErr w:type="gramEnd"/>
      <w:r>
        <w:rPr>
          <w:vertAlign w:val="superscript"/>
        </w:rPr>
        <w:t xml:space="preserve"> </w:t>
      </w:r>
      <w:r>
        <w:t>Comprehensive systematic review of e-therapies.</w:t>
      </w:r>
      <w:r w:rsidRPr="0055410C">
        <w:br/>
      </w:r>
      <w:proofErr w:type="gramStart"/>
      <w:r>
        <w:rPr>
          <w:vertAlign w:val="superscript"/>
        </w:rPr>
        <w:t>l</w:t>
      </w:r>
      <w:proofErr w:type="gramEnd"/>
      <w:r>
        <w:rPr>
          <w:vertAlign w:val="superscript"/>
        </w:rPr>
        <w:t xml:space="preserve"> </w:t>
      </w:r>
      <w:r>
        <w:t>Currently being evaluated in a large controlled efficacy trial.</w:t>
      </w:r>
      <w:r>
        <w:br/>
      </w:r>
      <w:proofErr w:type="gramStart"/>
      <w:r>
        <w:rPr>
          <w:vertAlign w:val="superscript"/>
        </w:rPr>
        <w:t>m</w:t>
      </w:r>
      <w:proofErr w:type="gramEnd"/>
      <w:r>
        <w:rPr>
          <w:vertAlign w:val="superscript"/>
        </w:rPr>
        <w:t xml:space="preserve"> </w:t>
      </w:r>
      <w:r>
        <w:t>Adaption of the PANAS test.</w:t>
      </w:r>
      <w:r>
        <w:br/>
      </w:r>
      <w:proofErr w:type="gramStart"/>
      <w:r>
        <w:rPr>
          <w:vertAlign w:val="superscript"/>
        </w:rPr>
        <w:t>n</w:t>
      </w:r>
      <w:proofErr w:type="gramEnd"/>
      <w:r>
        <w:rPr>
          <w:vertAlign w:val="superscript"/>
        </w:rPr>
        <w:t xml:space="preserve"> </w:t>
      </w:r>
      <w:r>
        <w:t xml:space="preserve">Research carried out independently by Roehampton </w:t>
      </w:r>
      <w:r w:rsidRPr="00DE4004">
        <w:rPr>
          <w:noProof/>
        </w:rPr>
        <w:t>University</w:t>
      </w:r>
      <w:r>
        <w:t xml:space="preserve"> and being prepared for submission.</w:t>
      </w:r>
      <w:r w:rsidRPr="0055410C">
        <w:br/>
      </w:r>
      <w:proofErr w:type="gramStart"/>
      <w:r>
        <w:rPr>
          <w:vertAlign w:val="superscript"/>
        </w:rPr>
        <w:t>o</w:t>
      </w:r>
      <w:proofErr w:type="gramEnd"/>
      <w:r>
        <w:rPr>
          <w:vertAlign w:val="superscript"/>
        </w:rPr>
        <w:t xml:space="preserve"> </w:t>
      </w:r>
      <w:r>
        <w:t>Feasibility study to test acceptability, presented at Royal College Psychiatry 2013 International Congress.</w:t>
      </w:r>
      <w:r>
        <w:rPr>
          <w:vertAlign w:val="superscript"/>
        </w:rPr>
        <w:br/>
      </w:r>
      <w:proofErr w:type="gramStart"/>
      <w:r>
        <w:rPr>
          <w:vertAlign w:val="superscript"/>
        </w:rPr>
        <w:t>p</w:t>
      </w:r>
      <w:proofErr w:type="gramEnd"/>
      <w:r>
        <w:rPr>
          <w:vertAlign w:val="superscript"/>
        </w:rPr>
        <w:t xml:space="preserve"> </w:t>
      </w:r>
      <w:r>
        <w:t xml:space="preserve">Piloted to ensure the UX was appealing / useful etc. </w:t>
      </w:r>
      <w:r w:rsidRPr="00DE4004">
        <w:rPr>
          <w:noProof/>
        </w:rPr>
        <w:t>but no formal studies</w:t>
      </w:r>
      <w:r>
        <w:t>.</w:t>
      </w:r>
      <w:r>
        <w:br/>
      </w:r>
      <w:r>
        <w:rPr>
          <w:vertAlign w:val="superscript"/>
        </w:rPr>
        <w:t xml:space="preserve">q </w:t>
      </w:r>
      <w:r>
        <w:t>PhD researcher is planning research looking at how to increase engagement with online workplace therapies.</w:t>
      </w:r>
      <w:r w:rsidRPr="0055410C">
        <w:br/>
      </w:r>
      <w:r w:rsidRPr="007039D3">
        <w:rPr>
          <w:noProof/>
          <w:vertAlign w:val="superscript"/>
        </w:rPr>
        <w:t>r</w:t>
      </w:r>
      <w:r>
        <w:rPr>
          <w:vertAlign w:val="superscript"/>
        </w:rPr>
        <w:t xml:space="preserve"> </w:t>
      </w:r>
      <w:r>
        <w:t>2 Non-academic studies without a control group</w:t>
      </w:r>
      <w:r w:rsidR="00554CB4">
        <w:t xml:space="preserve">.  </w:t>
      </w:r>
      <w:r w:rsidRPr="00DE4004">
        <w:rPr>
          <w:noProof/>
        </w:rPr>
        <w:t xml:space="preserve">The developer is </w:t>
      </w:r>
      <w:r>
        <w:rPr>
          <w:noProof/>
        </w:rPr>
        <w:t>c</w:t>
      </w:r>
      <w:r w:rsidRPr="00DE4004">
        <w:rPr>
          <w:noProof/>
        </w:rPr>
        <w:t>urrently planning an RCT.</w:t>
      </w:r>
    </w:p>
    <w:p w14:paraId="09D82B62" w14:textId="3DE1AF1D" w:rsidR="00E30483" w:rsidRPr="00AA5F68" w:rsidRDefault="00E30483" w:rsidP="00AA5F68">
      <w:pPr>
        <w:sectPr w:rsidR="00E30483" w:rsidRPr="00AA5F68" w:rsidSect="00452C07">
          <w:pgSz w:w="16838" w:h="11906" w:orient="landscape"/>
          <w:pgMar w:top="851" w:right="851" w:bottom="851" w:left="1134" w:header="708" w:footer="708" w:gutter="0"/>
          <w:cols w:space="720"/>
          <w:docGrid w:linePitch="299"/>
        </w:sectPr>
      </w:pPr>
      <w:r>
        <w:t>UX, User Experience; CBT, Cognitive Behaviour Therapy;</w:t>
      </w:r>
      <w:bookmarkStart w:id="174" w:name="_2et92p0" w:colFirst="0" w:colLast="0"/>
      <w:bookmarkEnd w:id="174"/>
    </w:p>
    <w:p w14:paraId="45051062" w14:textId="1D0CB0B4" w:rsidR="00E30483" w:rsidRPr="0008529A" w:rsidRDefault="00870516" w:rsidP="00870516">
      <w:pPr>
        <w:pStyle w:val="Caption"/>
        <w:rPr>
          <w:i w:val="0"/>
          <w:color w:val="44546A"/>
          <w:vertAlign w:val="superscript"/>
        </w:rPr>
      </w:pPr>
      <w:bookmarkStart w:id="175" w:name="_Ref530162432"/>
      <w:bookmarkStart w:id="176" w:name="_Toc530759485"/>
      <w:proofErr w:type="gramStart"/>
      <w:r>
        <w:lastRenderedPageBreak/>
        <w:t xml:space="preserve">Table </w:t>
      </w:r>
      <w:r w:rsidR="007E7BB7">
        <w:fldChar w:fldCharType="begin"/>
      </w:r>
      <w:r w:rsidR="007E7BB7">
        <w:instrText xml:space="preserve"> STYLEREF 1 \s </w:instrText>
      </w:r>
      <w:r w:rsidR="007E7BB7">
        <w:fldChar w:fldCharType="separate"/>
      </w:r>
      <w:r w:rsidR="00574650">
        <w:rPr>
          <w:noProof/>
        </w:rPr>
        <w:t>3</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r w:rsidR="00574650">
        <w:rPr>
          <w:noProof/>
        </w:rPr>
        <w:t>3</w:t>
      </w:r>
      <w:r w:rsidR="007E7BB7">
        <w:fldChar w:fldCharType="end"/>
      </w:r>
      <w:bookmarkEnd w:id="175"/>
      <w:r>
        <w:t xml:space="preserve"> </w:t>
      </w:r>
      <w:r w:rsidRPr="009F20F4">
        <w:t>Summary of key findings by number (N) and percentage (%) where yes was the response given</w:t>
      </w:r>
      <w:bookmarkEnd w:id="176"/>
    </w:p>
    <w:tbl>
      <w:tblPr>
        <w:tblW w:w="9027" w:type="dxa"/>
        <w:tblBorders>
          <w:top w:val="nil"/>
          <w:left w:val="nil"/>
          <w:bottom w:val="nil"/>
          <w:right w:val="nil"/>
          <w:insideH w:val="nil"/>
          <w:insideV w:val="nil"/>
        </w:tblBorders>
        <w:tblLayout w:type="fixed"/>
        <w:tblCellMar>
          <w:top w:w="57" w:type="dxa"/>
          <w:bottom w:w="57" w:type="dxa"/>
        </w:tblCellMar>
        <w:tblLook w:val="0400" w:firstRow="0" w:lastRow="0" w:firstColumn="0" w:lastColumn="0" w:noHBand="0" w:noVBand="1"/>
      </w:tblPr>
      <w:tblGrid>
        <w:gridCol w:w="3550"/>
        <w:gridCol w:w="1826"/>
        <w:gridCol w:w="1826"/>
        <w:gridCol w:w="1825"/>
      </w:tblGrid>
      <w:tr w:rsidR="00E30483" w14:paraId="52BB538A" w14:textId="77777777" w:rsidTr="00AA5F68">
        <w:tc>
          <w:tcPr>
            <w:tcW w:w="3550" w:type="dxa"/>
            <w:tcBorders>
              <w:bottom w:val="single" w:sz="4" w:space="0" w:color="000000"/>
            </w:tcBorders>
          </w:tcPr>
          <w:p w14:paraId="6E525B9F" w14:textId="77777777" w:rsidR="00E30483" w:rsidRDefault="00E30483" w:rsidP="00646664">
            <w:pPr>
              <w:pStyle w:val="NoSpacing"/>
            </w:pPr>
          </w:p>
        </w:tc>
        <w:tc>
          <w:tcPr>
            <w:tcW w:w="1826" w:type="dxa"/>
            <w:tcBorders>
              <w:top w:val="single" w:sz="4" w:space="0" w:color="000000"/>
              <w:bottom w:val="single" w:sz="4" w:space="0" w:color="000000"/>
            </w:tcBorders>
          </w:tcPr>
          <w:p w14:paraId="6891CDFB" w14:textId="77777777" w:rsidR="00E30483" w:rsidRDefault="00E30483" w:rsidP="00646664">
            <w:pPr>
              <w:pStyle w:val="NoSpacing"/>
              <w:jc w:val="center"/>
              <w:rPr>
                <w:b/>
              </w:rPr>
            </w:pPr>
            <w:r>
              <w:rPr>
                <w:b/>
              </w:rPr>
              <w:t>Web</w:t>
            </w:r>
          </w:p>
        </w:tc>
        <w:tc>
          <w:tcPr>
            <w:tcW w:w="1826" w:type="dxa"/>
            <w:tcBorders>
              <w:top w:val="single" w:sz="4" w:space="0" w:color="000000"/>
              <w:bottom w:val="single" w:sz="4" w:space="0" w:color="000000"/>
            </w:tcBorders>
          </w:tcPr>
          <w:p w14:paraId="3C9813B0" w14:textId="77777777" w:rsidR="00E30483" w:rsidRDefault="00E30483" w:rsidP="00646664">
            <w:pPr>
              <w:pStyle w:val="NoSpacing"/>
              <w:jc w:val="center"/>
              <w:rPr>
                <w:b/>
              </w:rPr>
            </w:pPr>
            <w:r>
              <w:rPr>
                <w:b/>
              </w:rPr>
              <w:t>Smartphone</w:t>
            </w:r>
          </w:p>
        </w:tc>
        <w:tc>
          <w:tcPr>
            <w:tcW w:w="1825" w:type="dxa"/>
            <w:tcBorders>
              <w:top w:val="single" w:sz="4" w:space="0" w:color="000000"/>
              <w:bottom w:val="single" w:sz="4" w:space="0" w:color="000000"/>
            </w:tcBorders>
          </w:tcPr>
          <w:p w14:paraId="31382A4B" w14:textId="77777777" w:rsidR="00E30483" w:rsidRDefault="00E30483" w:rsidP="00646664">
            <w:pPr>
              <w:pStyle w:val="NoSpacing"/>
              <w:jc w:val="center"/>
              <w:rPr>
                <w:b/>
              </w:rPr>
            </w:pPr>
            <w:r>
              <w:rPr>
                <w:b/>
              </w:rPr>
              <w:t>Overall</w:t>
            </w:r>
          </w:p>
        </w:tc>
      </w:tr>
      <w:tr w:rsidR="00E30483" w14:paraId="2DE4A930" w14:textId="77777777" w:rsidTr="00AA5F68">
        <w:tc>
          <w:tcPr>
            <w:tcW w:w="3550" w:type="dxa"/>
            <w:tcBorders>
              <w:top w:val="single" w:sz="4" w:space="0" w:color="000000"/>
              <w:bottom w:val="single" w:sz="4" w:space="0" w:color="000000"/>
            </w:tcBorders>
          </w:tcPr>
          <w:p w14:paraId="7780BC3B" w14:textId="77777777" w:rsidR="00E30483" w:rsidRDefault="00E30483" w:rsidP="00646664">
            <w:pPr>
              <w:pStyle w:val="NoSpacing"/>
            </w:pPr>
            <w:r>
              <w:t>Clinical involvement</w:t>
            </w:r>
          </w:p>
        </w:tc>
        <w:tc>
          <w:tcPr>
            <w:tcW w:w="1826" w:type="dxa"/>
            <w:tcBorders>
              <w:top w:val="single" w:sz="4" w:space="0" w:color="000000"/>
              <w:bottom w:val="single" w:sz="4" w:space="0" w:color="000000"/>
            </w:tcBorders>
          </w:tcPr>
          <w:p w14:paraId="20C2213E" w14:textId="77777777" w:rsidR="00E30483" w:rsidRDefault="00E30483" w:rsidP="00646664">
            <w:pPr>
              <w:pStyle w:val="NoSpacing"/>
              <w:jc w:val="center"/>
            </w:pPr>
            <w:r>
              <w:t>12 (92%)</w:t>
            </w:r>
          </w:p>
        </w:tc>
        <w:tc>
          <w:tcPr>
            <w:tcW w:w="1826" w:type="dxa"/>
            <w:tcBorders>
              <w:top w:val="single" w:sz="4" w:space="0" w:color="000000"/>
              <w:bottom w:val="single" w:sz="4" w:space="0" w:color="000000"/>
            </w:tcBorders>
          </w:tcPr>
          <w:p w14:paraId="5281FA19" w14:textId="77777777" w:rsidR="00E30483" w:rsidRDefault="00E30483" w:rsidP="00646664">
            <w:pPr>
              <w:pStyle w:val="NoSpacing"/>
              <w:jc w:val="center"/>
            </w:pPr>
            <w:r>
              <w:t>20 (59%)</w:t>
            </w:r>
          </w:p>
        </w:tc>
        <w:tc>
          <w:tcPr>
            <w:tcW w:w="1825" w:type="dxa"/>
            <w:tcBorders>
              <w:top w:val="single" w:sz="4" w:space="0" w:color="000000"/>
              <w:bottom w:val="single" w:sz="4" w:space="0" w:color="000000"/>
            </w:tcBorders>
          </w:tcPr>
          <w:p w14:paraId="5F648239" w14:textId="77777777" w:rsidR="00E30483" w:rsidRDefault="00E30483" w:rsidP="00646664">
            <w:pPr>
              <w:pStyle w:val="NoSpacing"/>
              <w:jc w:val="center"/>
            </w:pPr>
            <w:r>
              <w:t>32 (68%)</w:t>
            </w:r>
          </w:p>
        </w:tc>
      </w:tr>
      <w:tr w:rsidR="00E30483" w14:paraId="3652A954" w14:textId="77777777" w:rsidTr="00AA5F68">
        <w:tc>
          <w:tcPr>
            <w:tcW w:w="3550" w:type="dxa"/>
            <w:tcBorders>
              <w:top w:val="single" w:sz="4" w:space="0" w:color="000000"/>
              <w:bottom w:val="single" w:sz="4" w:space="0" w:color="000000"/>
            </w:tcBorders>
          </w:tcPr>
          <w:p w14:paraId="383B602B" w14:textId="77777777" w:rsidR="00E30483" w:rsidRDefault="00E30483" w:rsidP="00646664">
            <w:pPr>
              <w:pStyle w:val="NoSpacing"/>
            </w:pPr>
            <w:r>
              <w:t>Academic involvement</w:t>
            </w:r>
          </w:p>
        </w:tc>
        <w:tc>
          <w:tcPr>
            <w:tcW w:w="1826" w:type="dxa"/>
            <w:tcBorders>
              <w:top w:val="single" w:sz="4" w:space="0" w:color="000000"/>
              <w:bottom w:val="single" w:sz="4" w:space="0" w:color="000000"/>
            </w:tcBorders>
          </w:tcPr>
          <w:p w14:paraId="58E52145" w14:textId="77777777" w:rsidR="00E30483" w:rsidRDefault="00E30483" w:rsidP="00646664">
            <w:pPr>
              <w:pStyle w:val="NoSpacing"/>
              <w:jc w:val="center"/>
            </w:pPr>
            <w:r>
              <w:t>9 (69%)</w:t>
            </w:r>
          </w:p>
        </w:tc>
        <w:tc>
          <w:tcPr>
            <w:tcW w:w="1826" w:type="dxa"/>
            <w:tcBorders>
              <w:top w:val="single" w:sz="4" w:space="0" w:color="000000"/>
              <w:bottom w:val="single" w:sz="4" w:space="0" w:color="000000"/>
            </w:tcBorders>
          </w:tcPr>
          <w:p w14:paraId="693A3120" w14:textId="77777777" w:rsidR="00E30483" w:rsidRDefault="00E30483" w:rsidP="00646664">
            <w:pPr>
              <w:pStyle w:val="NoSpacing"/>
              <w:jc w:val="center"/>
            </w:pPr>
            <w:r>
              <w:t>9 (27%)</w:t>
            </w:r>
          </w:p>
        </w:tc>
        <w:tc>
          <w:tcPr>
            <w:tcW w:w="1825" w:type="dxa"/>
            <w:tcBorders>
              <w:top w:val="single" w:sz="4" w:space="0" w:color="000000"/>
              <w:bottom w:val="single" w:sz="4" w:space="0" w:color="000000"/>
            </w:tcBorders>
          </w:tcPr>
          <w:p w14:paraId="787B8964" w14:textId="77777777" w:rsidR="00E30483" w:rsidRDefault="00E30483" w:rsidP="00646664">
            <w:pPr>
              <w:pStyle w:val="NoSpacing"/>
              <w:jc w:val="center"/>
            </w:pPr>
            <w:r>
              <w:t>18 (38%)</w:t>
            </w:r>
          </w:p>
        </w:tc>
      </w:tr>
      <w:tr w:rsidR="00E30483" w14:paraId="27857501" w14:textId="77777777" w:rsidTr="00AA5F68">
        <w:tc>
          <w:tcPr>
            <w:tcW w:w="3550" w:type="dxa"/>
            <w:tcBorders>
              <w:top w:val="single" w:sz="4" w:space="0" w:color="000000"/>
              <w:bottom w:val="single" w:sz="4" w:space="0" w:color="000000"/>
            </w:tcBorders>
          </w:tcPr>
          <w:p w14:paraId="1C36D9DA" w14:textId="77777777" w:rsidR="00E30483" w:rsidRDefault="00E30483" w:rsidP="00646664">
            <w:pPr>
              <w:pStyle w:val="NoSpacing"/>
            </w:pPr>
            <w:r>
              <w:t>Research evidence</w:t>
            </w:r>
          </w:p>
        </w:tc>
        <w:tc>
          <w:tcPr>
            <w:tcW w:w="1826" w:type="dxa"/>
            <w:tcBorders>
              <w:top w:val="single" w:sz="4" w:space="0" w:color="000000"/>
              <w:bottom w:val="single" w:sz="4" w:space="0" w:color="000000"/>
            </w:tcBorders>
          </w:tcPr>
          <w:p w14:paraId="7F504DF8" w14:textId="77777777" w:rsidR="00E30483" w:rsidRDefault="00E30483" w:rsidP="00646664">
            <w:pPr>
              <w:pStyle w:val="NoSpacing"/>
              <w:jc w:val="center"/>
            </w:pPr>
            <w:r>
              <w:t>12 (92%)</w:t>
            </w:r>
          </w:p>
        </w:tc>
        <w:tc>
          <w:tcPr>
            <w:tcW w:w="1826" w:type="dxa"/>
            <w:tcBorders>
              <w:top w:val="single" w:sz="4" w:space="0" w:color="000000"/>
              <w:bottom w:val="single" w:sz="4" w:space="0" w:color="000000"/>
            </w:tcBorders>
          </w:tcPr>
          <w:p w14:paraId="46CC11C3" w14:textId="77777777" w:rsidR="00E30483" w:rsidRDefault="00E30483" w:rsidP="00646664">
            <w:pPr>
              <w:pStyle w:val="NoSpacing"/>
              <w:jc w:val="center"/>
            </w:pPr>
            <w:r>
              <w:t>9 (27%)</w:t>
            </w:r>
          </w:p>
        </w:tc>
        <w:tc>
          <w:tcPr>
            <w:tcW w:w="1825" w:type="dxa"/>
            <w:tcBorders>
              <w:top w:val="single" w:sz="4" w:space="0" w:color="000000"/>
              <w:bottom w:val="single" w:sz="4" w:space="0" w:color="000000"/>
            </w:tcBorders>
          </w:tcPr>
          <w:p w14:paraId="1DD24A9F" w14:textId="77777777" w:rsidR="00E30483" w:rsidRDefault="00E30483" w:rsidP="00646664">
            <w:pPr>
              <w:pStyle w:val="NoSpacing"/>
              <w:jc w:val="center"/>
            </w:pPr>
            <w:r>
              <w:t>21 (45%)</w:t>
            </w:r>
          </w:p>
        </w:tc>
      </w:tr>
      <w:tr w:rsidR="00E30483" w14:paraId="585436CA" w14:textId="77777777" w:rsidTr="00AA5F68">
        <w:tc>
          <w:tcPr>
            <w:tcW w:w="3550" w:type="dxa"/>
            <w:tcBorders>
              <w:top w:val="single" w:sz="4" w:space="0" w:color="000000"/>
              <w:bottom w:val="single" w:sz="4" w:space="0" w:color="000000"/>
            </w:tcBorders>
          </w:tcPr>
          <w:p w14:paraId="45E66687" w14:textId="77777777" w:rsidR="00E30483" w:rsidRDefault="00E30483" w:rsidP="00646664">
            <w:pPr>
              <w:pStyle w:val="NoSpacing"/>
            </w:pPr>
            <w:r>
              <w:t>Other evidence</w:t>
            </w:r>
          </w:p>
        </w:tc>
        <w:tc>
          <w:tcPr>
            <w:tcW w:w="1826" w:type="dxa"/>
            <w:tcBorders>
              <w:top w:val="single" w:sz="4" w:space="0" w:color="000000"/>
              <w:bottom w:val="single" w:sz="4" w:space="0" w:color="000000"/>
            </w:tcBorders>
          </w:tcPr>
          <w:p w14:paraId="32F8279B" w14:textId="77777777" w:rsidR="00E30483" w:rsidRDefault="00E30483" w:rsidP="00646664">
            <w:pPr>
              <w:pStyle w:val="NoSpacing"/>
              <w:jc w:val="center"/>
            </w:pPr>
            <w:r>
              <w:t>10 (77%)</w:t>
            </w:r>
          </w:p>
        </w:tc>
        <w:tc>
          <w:tcPr>
            <w:tcW w:w="1826" w:type="dxa"/>
            <w:tcBorders>
              <w:top w:val="single" w:sz="4" w:space="0" w:color="000000"/>
              <w:bottom w:val="single" w:sz="4" w:space="0" w:color="000000"/>
            </w:tcBorders>
          </w:tcPr>
          <w:p w14:paraId="7514219F" w14:textId="77777777" w:rsidR="00E30483" w:rsidRDefault="00E30483" w:rsidP="00646664">
            <w:pPr>
              <w:pStyle w:val="NoSpacing"/>
              <w:jc w:val="center"/>
            </w:pPr>
            <w:r>
              <w:t>10 (29%)</w:t>
            </w:r>
          </w:p>
        </w:tc>
        <w:tc>
          <w:tcPr>
            <w:tcW w:w="1825" w:type="dxa"/>
            <w:tcBorders>
              <w:top w:val="single" w:sz="4" w:space="0" w:color="000000"/>
              <w:bottom w:val="single" w:sz="4" w:space="0" w:color="000000"/>
            </w:tcBorders>
          </w:tcPr>
          <w:p w14:paraId="205AD96F" w14:textId="77777777" w:rsidR="00E30483" w:rsidRDefault="00E30483" w:rsidP="00646664">
            <w:pPr>
              <w:pStyle w:val="NoSpacing"/>
              <w:jc w:val="center"/>
            </w:pPr>
            <w:r>
              <w:t>20 (43%)</w:t>
            </w:r>
          </w:p>
        </w:tc>
      </w:tr>
      <w:tr w:rsidR="00E30483" w14:paraId="56F5F1D2" w14:textId="77777777" w:rsidTr="00AA5F68">
        <w:tc>
          <w:tcPr>
            <w:tcW w:w="3550" w:type="dxa"/>
            <w:tcBorders>
              <w:top w:val="single" w:sz="4" w:space="0" w:color="000000"/>
              <w:bottom w:val="single" w:sz="4" w:space="0" w:color="000000"/>
            </w:tcBorders>
            <w:shd w:val="clear" w:color="auto" w:fill="auto"/>
          </w:tcPr>
          <w:p w14:paraId="31C6B774" w14:textId="77777777" w:rsidR="00E30483" w:rsidRDefault="00E30483" w:rsidP="00646664">
            <w:pPr>
              <w:pStyle w:val="NoSpacing"/>
            </w:pPr>
            <w:r>
              <w:t>Psychological approach or theory</w:t>
            </w:r>
          </w:p>
        </w:tc>
        <w:tc>
          <w:tcPr>
            <w:tcW w:w="1826" w:type="dxa"/>
            <w:tcBorders>
              <w:top w:val="single" w:sz="4" w:space="0" w:color="000000"/>
              <w:bottom w:val="single" w:sz="4" w:space="0" w:color="000000"/>
            </w:tcBorders>
            <w:shd w:val="clear" w:color="auto" w:fill="auto"/>
          </w:tcPr>
          <w:p w14:paraId="2F78AF57" w14:textId="77777777" w:rsidR="00E30483" w:rsidRDefault="00E30483" w:rsidP="00646664">
            <w:pPr>
              <w:pStyle w:val="NoSpacing"/>
              <w:jc w:val="center"/>
            </w:pPr>
            <w:r>
              <w:t>9 (69%)</w:t>
            </w:r>
          </w:p>
        </w:tc>
        <w:tc>
          <w:tcPr>
            <w:tcW w:w="1826" w:type="dxa"/>
            <w:tcBorders>
              <w:top w:val="single" w:sz="4" w:space="0" w:color="000000"/>
              <w:bottom w:val="single" w:sz="4" w:space="0" w:color="000000"/>
            </w:tcBorders>
            <w:shd w:val="clear" w:color="auto" w:fill="auto"/>
          </w:tcPr>
          <w:p w14:paraId="43EB5A0C" w14:textId="77777777" w:rsidR="00E30483" w:rsidRDefault="00E30483" w:rsidP="00646664">
            <w:pPr>
              <w:pStyle w:val="NoSpacing"/>
              <w:jc w:val="center"/>
            </w:pPr>
            <w:r>
              <w:t>19 (56%)</w:t>
            </w:r>
          </w:p>
        </w:tc>
        <w:tc>
          <w:tcPr>
            <w:tcW w:w="1825" w:type="dxa"/>
            <w:tcBorders>
              <w:top w:val="single" w:sz="4" w:space="0" w:color="000000"/>
              <w:bottom w:val="single" w:sz="4" w:space="0" w:color="000000"/>
            </w:tcBorders>
            <w:shd w:val="clear" w:color="auto" w:fill="auto"/>
          </w:tcPr>
          <w:p w14:paraId="36EA561A" w14:textId="77777777" w:rsidR="00E30483" w:rsidRDefault="00E30483" w:rsidP="00646664">
            <w:pPr>
              <w:pStyle w:val="NoSpacing"/>
              <w:jc w:val="center"/>
            </w:pPr>
            <w:r>
              <w:t>28 (60%)</w:t>
            </w:r>
          </w:p>
        </w:tc>
      </w:tr>
    </w:tbl>
    <w:p w14:paraId="344ADEFB" w14:textId="77777777" w:rsidR="00E30483" w:rsidRDefault="00E30483" w:rsidP="00E30483">
      <w:pPr>
        <w:pStyle w:val="NoSpacing"/>
      </w:pPr>
    </w:p>
    <w:p w14:paraId="375906EB" w14:textId="3D1E8D3E" w:rsidR="00E30483" w:rsidRDefault="00E30483" w:rsidP="00E30483">
      <w:pPr>
        <w:pStyle w:val="Heading3"/>
      </w:pPr>
      <w:bookmarkStart w:id="177" w:name="_Toc530598132"/>
      <w:bookmarkStart w:id="178" w:name="_Toc530660485"/>
      <w:bookmarkStart w:id="179" w:name="_Toc3538086"/>
      <w:r>
        <w:t xml:space="preserve">Clinical </w:t>
      </w:r>
      <w:r w:rsidR="0045775A">
        <w:t>I</w:t>
      </w:r>
      <w:r>
        <w:t>nvolvement</w:t>
      </w:r>
      <w:bookmarkEnd w:id="177"/>
      <w:bookmarkEnd w:id="178"/>
      <w:bookmarkEnd w:id="179"/>
    </w:p>
    <w:p w14:paraId="6D6B4700" w14:textId="682A7D68" w:rsidR="00E30483" w:rsidRDefault="00E30483" w:rsidP="00E30483">
      <w:r>
        <w:t xml:space="preserve">According to a Fisher’s Exact test, there was a statistically significant association between app type and clinical involvement, </w:t>
      </w:r>
      <w:r w:rsidRPr="0008529A">
        <w:rPr>
          <w:i/>
        </w:rPr>
        <w:t>p</w:t>
      </w:r>
      <w:r>
        <w:t xml:space="preserve"> = .037.  The result suggests that web apps may have more clinical involvement than phone apps (see </w:t>
      </w:r>
      <w:r w:rsidR="00F2329A">
        <w:fldChar w:fldCharType="begin"/>
      </w:r>
      <w:r w:rsidR="00F2329A">
        <w:instrText xml:space="preserve"> REF _Ref530162627 \h </w:instrText>
      </w:r>
      <w:r w:rsidR="00F2329A">
        <w:fldChar w:fldCharType="separate"/>
      </w:r>
      <w:r w:rsidR="00574650">
        <w:t xml:space="preserve">Figure </w:t>
      </w:r>
      <w:r w:rsidR="00574650">
        <w:rPr>
          <w:noProof/>
        </w:rPr>
        <w:t>3</w:t>
      </w:r>
      <w:r w:rsidR="00574650">
        <w:t>.</w:t>
      </w:r>
      <w:r w:rsidR="00574650">
        <w:rPr>
          <w:noProof/>
        </w:rPr>
        <w:t>1</w:t>
      </w:r>
      <w:r w:rsidR="00F2329A">
        <w:fldChar w:fldCharType="end"/>
      </w:r>
      <w:r>
        <w:t>).</w:t>
      </w:r>
    </w:p>
    <w:p w14:paraId="478FBED7" w14:textId="2264A5BF" w:rsidR="00E30483" w:rsidRDefault="00F2329A" w:rsidP="00F2329A">
      <w:pPr>
        <w:pStyle w:val="Caption"/>
        <w:rPr>
          <w:i w:val="0"/>
          <w:color w:val="44546A"/>
        </w:rPr>
      </w:pPr>
      <w:bookmarkStart w:id="180" w:name="_tyjcwt" w:colFirst="0" w:colLast="0"/>
      <w:bookmarkStart w:id="181" w:name="_Ref530162627"/>
      <w:bookmarkStart w:id="182" w:name="_Toc530684647"/>
      <w:bookmarkEnd w:id="180"/>
      <w:proofErr w:type="gramStart"/>
      <w:r>
        <w:t xml:space="preserve">Figure </w:t>
      </w:r>
      <w:r w:rsidR="00371DCC">
        <w:fldChar w:fldCharType="begin"/>
      </w:r>
      <w:r w:rsidR="00371DCC">
        <w:instrText xml:space="preserve"> STYLEREF 1 \s </w:instrText>
      </w:r>
      <w:r w:rsidR="00371DCC">
        <w:fldChar w:fldCharType="separate"/>
      </w:r>
      <w:r w:rsidR="00574650">
        <w:rPr>
          <w:noProof/>
        </w:rPr>
        <w:t>3</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1</w:t>
      </w:r>
      <w:r w:rsidR="00371DCC">
        <w:fldChar w:fldCharType="end"/>
      </w:r>
      <w:bookmarkEnd w:id="181"/>
      <w:r w:rsidRPr="0072722F">
        <w:t xml:space="preserve"> Clustered bar chart of clinical involvement by app type</w:t>
      </w:r>
      <w:bookmarkEnd w:id="182"/>
    </w:p>
    <w:p w14:paraId="7099110C" w14:textId="77777777" w:rsidR="00E30483" w:rsidRDefault="00E30483" w:rsidP="00E30483">
      <w:pPr>
        <w:spacing w:after="0" w:line="240" w:lineRule="auto"/>
        <w:rPr>
          <w:sz w:val="24"/>
          <w:szCs w:val="24"/>
        </w:rPr>
      </w:pPr>
      <w:r w:rsidRPr="00CD5375">
        <w:rPr>
          <w:noProof/>
          <w:sz w:val="24"/>
          <w:szCs w:val="24"/>
          <w:lang w:eastAsia="en-GB"/>
        </w:rPr>
        <w:drawing>
          <wp:inline distT="0" distB="0" distL="0" distR="0" wp14:anchorId="1288AA5B" wp14:editId="1FFC31B6">
            <wp:extent cx="5056938" cy="45352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56938" cy="4535288"/>
                    </a:xfrm>
                    <a:prstGeom prst="rect">
                      <a:avLst/>
                    </a:prstGeom>
                  </pic:spPr>
                </pic:pic>
              </a:graphicData>
            </a:graphic>
          </wp:inline>
        </w:drawing>
      </w:r>
      <w:r w:rsidRPr="00CD5375" w:rsidDel="00CD5375">
        <w:rPr>
          <w:noProof/>
          <w:sz w:val="24"/>
          <w:szCs w:val="24"/>
        </w:rPr>
        <w:t xml:space="preserve"> </w:t>
      </w:r>
    </w:p>
    <w:p w14:paraId="3B2FFC7C" w14:textId="77777777" w:rsidR="00E30483" w:rsidRDefault="00E30483" w:rsidP="00E30483">
      <w:pPr>
        <w:spacing w:after="0" w:line="240" w:lineRule="auto"/>
        <w:rPr>
          <w:sz w:val="24"/>
          <w:szCs w:val="24"/>
        </w:rPr>
      </w:pPr>
    </w:p>
    <w:p w14:paraId="3AF5F617" w14:textId="7AEC7AEF" w:rsidR="00E30483" w:rsidRDefault="00E30483" w:rsidP="00E30483">
      <w:pPr>
        <w:pStyle w:val="Heading3"/>
      </w:pPr>
      <w:bookmarkStart w:id="183" w:name="_Toc530598133"/>
      <w:bookmarkStart w:id="184" w:name="_Toc530660486"/>
      <w:bookmarkStart w:id="185" w:name="_Toc3538087"/>
      <w:r w:rsidRPr="00DC7B4B">
        <w:t>Academic</w:t>
      </w:r>
      <w:r>
        <w:t xml:space="preserve"> </w:t>
      </w:r>
      <w:r w:rsidR="0045775A">
        <w:t>I</w:t>
      </w:r>
      <w:r>
        <w:t>nvolvement</w:t>
      </w:r>
      <w:bookmarkEnd w:id="183"/>
      <w:bookmarkEnd w:id="184"/>
      <w:bookmarkEnd w:id="185"/>
    </w:p>
    <w:p w14:paraId="08EEB06B" w14:textId="67460045" w:rsidR="00E30483" w:rsidRDefault="00E30483" w:rsidP="00E30483">
      <w:r>
        <w:t xml:space="preserve">There was a statistically significant association between app type and academic involvement, </w:t>
      </w:r>
      <w:r>
        <w:br/>
      </w:r>
      <w:proofErr w:type="gramStart"/>
      <w:r>
        <w:t>χ</w:t>
      </w:r>
      <w:r w:rsidRPr="0008529A">
        <w:rPr>
          <w:vertAlign w:val="superscript"/>
        </w:rPr>
        <w:t>2</w:t>
      </w:r>
      <w:r>
        <w:t>(</w:t>
      </w:r>
      <w:proofErr w:type="gramEnd"/>
      <w:r>
        <w:t>1) = 7.277, </w:t>
      </w:r>
      <w:r w:rsidRPr="0008529A">
        <w:rPr>
          <w:i/>
        </w:rPr>
        <w:t>p</w:t>
      </w:r>
      <w:r>
        <w:t xml:space="preserve"> = .007. </w:t>
      </w:r>
      <w:r w:rsidR="004525DB">
        <w:t xml:space="preserve"> </w:t>
      </w:r>
      <w:r>
        <w:t>There was a moderately strong negative association between app type and academic involvement, φ = -.393, </w:t>
      </w:r>
      <w:r w:rsidRPr="0008529A">
        <w:rPr>
          <w:i/>
        </w:rPr>
        <w:t>p</w:t>
      </w:r>
      <w:r>
        <w:t xml:space="preserve"> = .007.  The result suggests that web apps may have more academic involvement than phone apps (see </w:t>
      </w:r>
      <w:r w:rsidR="00B076CE">
        <w:fldChar w:fldCharType="begin"/>
      </w:r>
      <w:r w:rsidR="00B076CE">
        <w:instrText xml:space="preserve"> REF _Ref530162690 \h </w:instrText>
      </w:r>
      <w:r w:rsidR="00B076CE">
        <w:fldChar w:fldCharType="separate"/>
      </w:r>
      <w:r w:rsidR="00574650">
        <w:t xml:space="preserve">Figure </w:t>
      </w:r>
      <w:r w:rsidR="00574650">
        <w:rPr>
          <w:noProof/>
        </w:rPr>
        <w:t>3</w:t>
      </w:r>
      <w:r w:rsidR="00574650">
        <w:t>.</w:t>
      </w:r>
      <w:r w:rsidR="00574650">
        <w:rPr>
          <w:noProof/>
        </w:rPr>
        <w:t>2</w:t>
      </w:r>
      <w:r w:rsidR="00B076CE">
        <w:fldChar w:fldCharType="end"/>
      </w:r>
      <w:r>
        <w:t>).</w:t>
      </w:r>
    </w:p>
    <w:p w14:paraId="47F2A71A" w14:textId="2D87E43A" w:rsidR="00E30483" w:rsidRDefault="00B076CE" w:rsidP="00B076CE">
      <w:pPr>
        <w:pStyle w:val="Caption"/>
        <w:rPr>
          <w:i w:val="0"/>
          <w:color w:val="44546A"/>
        </w:rPr>
      </w:pPr>
      <w:bookmarkStart w:id="186" w:name="_3dy6vkm" w:colFirst="0" w:colLast="0"/>
      <w:bookmarkStart w:id="187" w:name="_Ref530162690"/>
      <w:bookmarkStart w:id="188" w:name="_Toc530684648"/>
      <w:bookmarkEnd w:id="186"/>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3</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2</w:t>
      </w:r>
      <w:r w:rsidR="00371DCC">
        <w:fldChar w:fldCharType="end"/>
      </w:r>
      <w:bookmarkEnd w:id="187"/>
      <w:r w:rsidRPr="00B9276E">
        <w:t xml:space="preserve"> Clustered bar chart of academic involvement by app type</w:t>
      </w:r>
      <w:bookmarkEnd w:id="188"/>
    </w:p>
    <w:p w14:paraId="43016D0F" w14:textId="77777777" w:rsidR="00E30483" w:rsidRDefault="00E30483" w:rsidP="00E30483">
      <w:pPr>
        <w:spacing w:after="0" w:line="240" w:lineRule="auto"/>
        <w:rPr>
          <w:sz w:val="24"/>
          <w:szCs w:val="24"/>
        </w:rPr>
      </w:pPr>
      <w:r w:rsidRPr="00CD5375">
        <w:rPr>
          <w:noProof/>
          <w:lang w:eastAsia="en-GB"/>
        </w:rPr>
        <w:drawing>
          <wp:inline distT="0" distB="0" distL="0" distR="0" wp14:anchorId="290BE5FD" wp14:editId="4882F0B4">
            <wp:extent cx="5056938" cy="453528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56938" cy="4535288"/>
                    </a:xfrm>
                    <a:prstGeom prst="rect">
                      <a:avLst/>
                    </a:prstGeom>
                  </pic:spPr>
                </pic:pic>
              </a:graphicData>
            </a:graphic>
          </wp:inline>
        </w:drawing>
      </w:r>
      <w:r>
        <w:t xml:space="preserve">  </w:t>
      </w:r>
    </w:p>
    <w:p w14:paraId="28C19F68" w14:textId="0B95AE61" w:rsidR="00E30483" w:rsidRDefault="00E30483" w:rsidP="00E30483">
      <w:pPr>
        <w:pStyle w:val="Heading3"/>
      </w:pPr>
      <w:bookmarkStart w:id="189" w:name="_Toc530598134"/>
      <w:bookmarkStart w:id="190" w:name="_Toc530660487"/>
      <w:bookmarkStart w:id="191" w:name="_Toc3538088"/>
      <w:r w:rsidRPr="00DC7B4B">
        <w:t>Publications</w:t>
      </w:r>
      <w:r>
        <w:t xml:space="preserve"> </w:t>
      </w:r>
      <w:r w:rsidR="0045775A">
        <w:t>Pu</w:t>
      </w:r>
      <w:r>
        <w:t xml:space="preserve">blished or </w:t>
      </w:r>
      <w:r w:rsidR="0045775A">
        <w:t>F</w:t>
      </w:r>
      <w:r>
        <w:t>orthcoming</w:t>
      </w:r>
      <w:bookmarkEnd w:id="189"/>
      <w:bookmarkEnd w:id="190"/>
      <w:bookmarkEnd w:id="191"/>
    </w:p>
    <w:p w14:paraId="270D3326" w14:textId="34661FF8" w:rsidR="00E30483" w:rsidRDefault="00E30483" w:rsidP="00E30483">
      <w:r>
        <w:t xml:space="preserve">There was a statistically significant association between app type and whether there were any scientific articles published or forthcoming, </w:t>
      </w:r>
      <w:proofErr w:type="gramStart"/>
      <w:r>
        <w:t>χ</w:t>
      </w:r>
      <w:r w:rsidRPr="0008529A">
        <w:rPr>
          <w:vertAlign w:val="superscript"/>
        </w:rPr>
        <w:t>2</w:t>
      </w:r>
      <w:r>
        <w:t>(</w:t>
      </w:r>
      <w:proofErr w:type="gramEnd"/>
      <w:r>
        <w:t>1) = 16.492, </w:t>
      </w:r>
      <w:r w:rsidRPr="0008529A">
        <w:rPr>
          <w:i/>
        </w:rPr>
        <w:t>p</w:t>
      </w:r>
      <w:r>
        <w:t> </w:t>
      </w:r>
      <w:r w:rsidR="00AC2FB1">
        <w:t>&lt;</w:t>
      </w:r>
      <w:r>
        <w:t xml:space="preserve"> .000.</w:t>
      </w:r>
      <w:r w:rsidR="0055410C">
        <w:t xml:space="preserve"> </w:t>
      </w:r>
      <w:r>
        <w:t xml:space="preserve"> There was a strong negative association between app type and articles published or forthcoming, φ = -.592, </w:t>
      </w:r>
      <w:r w:rsidRPr="0008529A">
        <w:rPr>
          <w:i/>
        </w:rPr>
        <w:t>p</w:t>
      </w:r>
      <w:r>
        <w:t> </w:t>
      </w:r>
      <w:r w:rsidR="00AC2FB1">
        <w:t>&lt;</w:t>
      </w:r>
      <w:r>
        <w:t xml:space="preserve"> .000.  The result suggests that web apps may have more papers published or forthcoming than phone apps (see </w:t>
      </w:r>
      <w:r w:rsidR="00152381">
        <w:fldChar w:fldCharType="begin"/>
      </w:r>
      <w:r w:rsidR="00152381">
        <w:instrText xml:space="preserve"> REF _Ref530162731 \h </w:instrText>
      </w:r>
      <w:r w:rsidR="00152381">
        <w:fldChar w:fldCharType="separate"/>
      </w:r>
      <w:r w:rsidR="00574650">
        <w:t xml:space="preserve">Figure </w:t>
      </w:r>
      <w:r w:rsidR="00574650">
        <w:rPr>
          <w:noProof/>
        </w:rPr>
        <w:t>3</w:t>
      </w:r>
      <w:r w:rsidR="00574650">
        <w:t>.</w:t>
      </w:r>
      <w:r w:rsidR="00574650">
        <w:rPr>
          <w:noProof/>
        </w:rPr>
        <w:t>3</w:t>
      </w:r>
      <w:r w:rsidR="00152381">
        <w:fldChar w:fldCharType="end"/>
      </w:r>
      <w:r>
        <w:t>).</w:t>
      </w:r>
    </w:p>
    <w:p w14:paraId="406FEE87" w14:textId="77777777" w:rsidR="00E30483" w:rsidRDefault="00E30483" w:rsidP="00E30483">
      <w:pPr>
        <w:spacing w:line="259" w:lineRule="auto"/>
      </w:pPr>
      <w:r>
        <w:br w:type="page"/>
      </w:r>
    </w:p>
    <w:p w14:paraId="211E93F3" w14:textId="64B1FFFB" w:rsidR="00E30483" w:rsidRDefault="00152381" w:rsidP="00152381">
      <w:pPr>
        <w:pStyle w:val="Caption"/>
        <w:rPr>
          <w:i w:val="0"/>
          <w:color w:val="44546A"/>
        </w:rPr>
      </w:pPr>
      <w:bookmarkStart w:id="192" w:name="_1t3h5sf" w:colFirst="0" w:colLast="0"/>
      <w:bookmarkStart w:id="193" w:name="_Ref530162731"/>
      <w:bookmarkStart w:id="194" w:name="_Toc530684649"/>
      <w:bookmarkEnd w:id="192"/>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3</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3</w:t>
      </w:r>
      <w:r w:rsidR="00371DCC">
        <w:fldChar w:fldCharType="end"/>
      </w:r>
      <w:bookmarkEnd w:id="193"/>
      <w:r w:rsidRPr="00AA66CE">
        <w:t xml:space="preserve"> Clustered bar chart of research evidence by app type</w:t>
      </w:r>
      <w:bookmarkEnd w:id="194"/>
    </w:p>
    <w:p w14:paraId="2D1EA220" w14:textId="77777777" w:rsidR="00E30483" w:rsidRDefault="00E30483" w:rsidP="00E30483">
      <w:pPr>
        <w:spacing w:after="0"/>
        <w:rPr>
          <w:sz w:val="24"/>
          <w:szCs w:val="24"/>
        </w:rPr>
      </w:pPr>
      <w:r w:rsidRPr="00CD5375">
        <w:rPr>
          <w:noProof/>
          <w:sz w:val="24"/>
          <w:szCs w:val="24"/>
          <w:lang w:eastAsia="en-GB"/>
        </w:rPr>
        <w:drawing>
          <wp:inline distT="0" distB="0" distL="0" distR="0" wp14:anchorId="62590267" wp14:editId="0BBE2188">
            <wp:extent cx="4952608" cy="4535288"/>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52608" cy="4535288"/>
                    </a:xfrm>
                    <a:prstGeom prst="rect">
                      <a:avLst/>
                    </a:prstGeom>
                  </pic:spPr>
                </pic:pic>
              </a:graphicData>
            </a:graphic>
          </wp:inline>
        </w:drawing>
      </w:r>
    </w:p>
    <w:p w14:paraId="0B3E7F18" w14:textId="55022E07" w:rsidR="00E30483" w:rsidRDefault="00E30483" w:rsidP="00E30483">
      <w:pPr>
        <w:pStyle w:val="Heading3"/>
      </w:pPr>
      <w:bookmarkStart w:id="195" w:name="_Toc530598135"/>
      <w:bookmarkStart w:id="196" w:name="_Toc530660488"/>
      <w:bookmarkStart w:id="197" w:name="_Toc3538089"/>
      <w:r>
        <w:t xml:space="preserve">Other </w:t>
      </w:r>
      <w:r w:rsidR="0045775A">
        <w:t>E</w:t>
      </w:r>
      <w:r w:rsidRPr="00DC7B4B">
        <w:t>vidence</w:t>
      </w:r>
      <w:bookmarkEnd w:id="195"/>
      <w:bookmarkEnd w:id="196"/>
      <w:bookmarkEnd w:id="197"/>
    </w:p>
    <w:p w14:paraId="779E6A8C" w14:textId="11B5637F" w:rsidR="00E30483" w:rsidRDefault="00E30483" w:rsidP="00E30483">
      <w:r>
        <w:t xml:space="preserve">There was a statistically significant association between app type and other evidence, </w:t>
      </w:r>
      <w:r>
        <w:br/>
      </w:r>
      <w:proofErr w:type="gramStart"/>
      <w:r>
        <w:t>χ</w:t>
      </w:r>
      <w:r w:rsidRPr="0008529A">
        <w:rPr>
          <w:vertAlign w:val="superscript"/>
        </w:rPr>
        <w:t>2</w:t>
      </w:r>
      <w:r>
        <w:t>(</w:t>
      </w:r>
      <w:proofErr w:type="gramEnd"/>
      <w:r>
        <w:t>1) = 8.684, </w:t>
      </w:r>
      <w:r w:rsidRPr="00925512">
        <w:rPr>
          <w:i/>
        </w:rPr>
        <w:t>p</w:t>
      </w:r>
      <w:r>
        <w:t xml:space="preserve"> = .003. </w:t>
      </w:r>
      <w:r w:rsidR="004525DB">
        <w:t xml:space="preserve"> </w:t>
      </w:r>
      <w:r>
        <w:t>There was a strong negative association between app type and other evidence, φ = -.430, </w:t>
      </w:r>
      <w:r w:rsidRPr="00925512">
        <w:rPr>
          <w:i/>
        </w:rPr>
        <w:t>p</w:t>
      </w:r>
      <w:r>
        <w:t xml:space="preserve"> = .003.  The result suggests that web apps may have more other evidence than mobile apps (see </w:t>
      </w:r>
      <w:r w:rsidR="00C8728F">
        <w:fldChar w:fldCharType="begin"/>
      </w:r>
      <w:r w:rsidR="00C8728F">
        <w:instrText xml:space="preserve"> REF _Ref530162785 \h </w:instrText>
      </w:r>
      <w:r w:rsidR="00C8728F">
        <w:fldChar w:fldCharType="separate"/>
      </w:r>
      <w:r w:rsidR="00574650">
        <w:t xml:space="preserve">Figure </w:t>
      </w:r>
      <w:r w:rsidR="00574650">
        <w:rPr>
          <w:noProof/>
        </w:rPr>
        <w:t>3</w:t>
      </w:r>
      <w:r w:rsidR="00574650">
        <w:t>.</w:t>
      </w:r>
      <w:r w:rsidR="00574650">
        <w:rPr>
          <w:noProof/>
        </w:rPr>
        <w:t>4</w:t>
      </w:r>
      <w:r w:rsidR="00C8728F">
        <w:fldChar w:fldCharType="end"/>
      </w:r>
      <w:r>
        <w:t>).</w:t>
      </w:r>
    </w:p>
    <w:p w14:paraId="12691D42" w14:textId="77777777" w:rsidR="00C8728F" w:rsidRDefault="00C8728F">
      <w:pPr>
        <w:spacing w:line="259" w:lineRule="auto"/>
        <w:rPr>
          <w:i/>
          <w:iCs/>
          <w:color w:val="44546A" w:themeColor="text2"/>
          <w:sz w:val="18"/>
          <w:szCs w:val="18"/>
        </w:rPr>
      </w:pPr>
      <w:bookmarkStart w:id="198" w:name="_4d34og8" w:colFirst="0" w:colLast="0"/>
      <w:bookmarkEnd w:id="198"/>
      <w:r>
        <w:br w:type="page"/>
      </w:r>
    </w:p>
    <w:p w14:paraId="136A6ADB" w14:textId="57D068E8" w:rsidR="00E30483" w:rsidRDefault="00C8728F" w:rsidP="00C8728F">
      <w:pPr>
        <w:pStyle w:val="Caption"/>
        <w:rPr>
          <w:i w:val="0"/>
          <w:color w:val="44546A"/>
        </w:rPr>
      </w:pPr>
      <w:bookmarkStart w:id="199" w:name="_Ref530162785"/>
      <w:bookmarkStart w:id="200" w:name="_Toc530684650"/>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3</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4</w:t>
      </w:r>
      <w:r w:rsidR="00371DCC">
        <w:fldChar w:fldCharType="end"/>
      </w:r>
      <w:bookmarkEnd w:id="199"/>
      <w:r w:rsidRPr="00286DE6">
        <w:t xml:space="preserve"> Clustered bar chart of other evidence by app type</w:t>
      </w:r>
      <w:bookmarkEnd w:id="200"/>
    </w:p>
    <w:p w14:paraId="74921FE8" w14:textId="77777777" w:rsidR="00E30483" w:rsidRDefault="00E30483" w:rsidP="00E30483">
      <w:pPr>
        <w:spacing w:after="0" w:line="240" w:lineRule="auto"/>
        <w:rPr>
          <w:sz w:val="24"/>
          <w:szCs w:val="24"/>
        </w:rPr>
      </w:pPr>
      <w:r w:rsidRPr="00CD5375">
        <w:rPr>
          <w:noProof/>
          <w:sz w:val="24"/>
          <w:szCs w:val="24"/>
          <w:lang w:eastAsia="en-GB"/>
        </w:rPr>
        <w:drawing>
          <wp:inline distT="0" distB="0" distL="0" distR="0" wp14:anchorId="18191867" wp14:editId="15C9F186">
            <wp:extent cx="4921923" cy="453528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21923" cy="4535288"/>
                    </a:xfrm>
                    <a:prstGeom prst="rect">
                      <a:avLst/>
                    </a:prstGeom>
                  </pic:spPr>
                </pic:pic>
              </a:graphicData>
            </a:graphic>
          </wp:inline>
        </w:drawing>
      </w:r>
    </w:p>
    <w:p w14:paraId="24DF0B02" w14:textId="2926BE30" w:rsidR="00E30483" w:rsidRDefault="00E30483" w:rsidP="00E30483">
      <w:pPr>
        <w:pStyle w:val="Heading3"/>
      </w:pPr>
      <w:bookmarkStart w:id="201" w:name="_Toc530598136"/>
      <w:bookmarkStart w:id="202" w:name="_Toc530660489"/>
      <w:bookmarkStart w:id="203" w:name="_Toc3538090"/>
      <w:r>
        <w:rPr>
          <w:highlight w:val="white"/>
        </w:rPr>
        <w:t xml:space="preserve">Psychological </w:t>
      </w:r>
      <w:r w:rsidR="0045775A">
        <w:rPr>
          <w:highlight w:val="white"/>
        </w:rPr>
        <w:t>A</w:t>
      </w:r>
      <w:r>
        <w:rPr>
          <w:highlight w:val="white"/>
        </w:rPr>
        <w:t xml:space="preserve">pproach or </w:t>
      </w:r>
      <w:r w:rsidR="0045775A">
        <w:rPr>
          <w:highlight w:val="white"/>
        </w:rPr>
        <w:t>T</w:t>
      </w:r>
      <w:r>
        <w:rPr>
          <w:highlight w:val="white"/>
        </w:rPr>
        <w:t>heory</w:t>
      </w:r>
      <w:bookmarkEnd w:id="201"/>
      <w:bookmarkEnd w:id="202"/>
      <w:bookmarkEnd w:id="203"/>
      <w:r>
        <w:t xml:space="preserve"> </w:t>
      </w:r>
    </w:p>
    <w:p w14:paraId="1BB60BCB" w14:textId="1A10A4A4" w:rsidR="00E30483" w:rsidRDefault="00E30483" w:rsidP="00E30483">
      <w:r>
        <w:t>There was a non-significant association between app type and psychological approach or theory, χ</w:t>
      </w:r>
      <w:r w:rsidRPr="0008529A">
        <w:rPr>
          <w:vertAlign w:val="superscript"/>
        </w:rPr>
        <w:t>2</w:t>
      </w:r>
      <w:r w:rsidDel="00485C95">
        <w:t xml:space="preserve"> </w:t>
      </w:r>
      <w:r>
        <w:t>(1) = .696, </w:t>
      </w:r>
      <w:r w:rsidRPr="00485C95">
        <w:rPr>
          <w:i/>
        </w:rPr>
        <w:t>p</w:t>
      </w:r>
      <w:r>
        <w:t xml:space="preserve"> = .404.  The result suggests that no difference in the use of psychological approaches or theories between web and phone apps (see </w:t>
      </w:r>
      <w:r w:rsidR="003425ED">
        <w:fldChar w:fldCharType="begin"/>
      </w:r>
      <w:r w:rsidR="003425ED">
        <w:instrText xml:space="preserve"> REF _Ref530162785 \h </w:instrText>
      </w:r>
      <w:r w:rsidR="003425ED">
        <w:fldChar w:fldCharType="separate"/>
      </w:r>
      <w:r w:rsidR="00574650">
        <w:t xml:space="preserve">Figure </w:t>
      </w:r>
      <w:r w:rsidR="00574650">
        <w:rPr>
          <w:noProof/>
        </w:rPr>
        <w:t>3</w:t>
      </w:r>
      <w:r w:rsidR="00574650">
        <w:t>.</w:t>
      </w:r>
      <w:r w:rsidR="00574650">
        <w:rPr>
          <w:noProof/>
        </w:rPr>
        <w:t>4</w:t>
      </w:r>
      <w:r w:rsidR="003425ED">
        <w:fldChar w:fldCharType="end"/>
      </w:r>
      <w:r>
        <w:t>).</w:t>
      </w:r>
    </w:p>
    <w:p w14:paraId="31EF29D6" w14:textId="56B294F4" w:rsidR="00E30483" w:rsidRDefault="00E30483" w:rsidP="00E30483">
      <w:r>
        <w:t xml:space="preserve">The psychological approaches of the 25 apps that declared using them are illustrated in </w:t>
      </w:r>
      <w:r w:rsidR="00295670">
        <w:fldChar w:fldCharType="begin"/>
      </w:r>
      <w:r w:rsidR="00295670">
        <w:instrText xml:space="preserve"> REF _Ref530162856 \h </w:instrText>
      </w:r>
      <w:r w:rsidR="00295670">
        <w:fldChar w:fldCharType="separate"/>
      </w:r>
      <w:r w:rsidR="00574650">
        <w:t xml:space="preserve">Figure </w:t>
      </w:r>
      <w:r w:rsidR="00574650">
        <w:rPr>
          <w:noProof/>
        </w:rPr>
        <w:t>3</w:t>
      </w:r>
      <w:r w:rsidR="00574650">
        <w:t>.</w:t>
      </w:r>
      <w:r w:rsidR="00574650">
        <w:rPr>
          <w:noProof/>
        </w:rPr>
        <w:t>5</w:t>
      </w:r>
      <w:r w:rsidR="00295670">
        <w:fldChar w:fldCharType="end"/>
      </w:r>
      <w:r w:rsidR="00295670">
        <w:t xml:space="preserve"> </w:t>
      </w:r>
      <w:r>
        <w:t>below.</w:t>
      </w:r>
    </w:p>
    <w:p w14:paraId="228400FB" w14:textId="77777777" w:rsidR="00295670" w:rsidRDefault="00295670">
      <w:pPr>
        <w:spacing w:line="259" w:lineRule="auto"/>
        <w:rPr>
          <w:i/>
          <w:iCs/>
          <w:color w:val="44546A" w:themeColor="text2"/>
          <w:sz w:val="18"/>
          <w:szCs w:val="18"/>
        </w:rPr>
      </w:pPr>
      <w:r>
        <w:br w:type="page"/>
      </w:r>
    </w:p>
    <w:p w14:paraId="3F24CE55" w14:textId="6D6065BC" w:rsidR="00E30483" w:rsidRDefault="00295670" w:rsidP="00295670">
      <w:pPr>
        <w:pStyle w:val="Caption"/>
      </w:pPr>
      <w:bookmarkStart w:id="204" w:name="_Ref530162856"/>
      <w:bookmarkStart w:id="205" w:name="_Toc530684651"/>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3</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proofErr w:type="gramStart"/>
      <w:r w:rsidR="00574650">
        <w:rPr>
          <w:noProof/>
        </w:rPr>
        <w:t>5</w:t>
      </w:r>
      <w:r w:rsidR="00371DCC">
        <w:fldChar w:fldCharType="end"/>
      </w:r>
      <w:bookmarkEnd w:id="204"/>
      <w:r w:rsidRPr="0043141C">
        <w:t xml:space="preserve"> Pie chart of psychological approaches and theories</w:t>
      </w:r>
      <w:proofErr w:type="gramEnd"/>
      <w:r w:rsidRPr="0043141C">
        <w:t xml:space="preserve"> used by web and smartphone apps</w:t>
      </w:r>
      <w:bookmarkEnd w:id="205"/>
    </w:p>
    <w:p w14:paraId="020C79AF" w14:textId="77777777" w:rsidR="00E30483" w:rsidRDefault="00E30483" w:rsidP="00E30483">
      <w:r>
        <w:rPr>
          <w:noProof/>
          <w:lang w:eastAsia="en-GB"/>
        </w:rPr>
        <w:drawing>
          <wp:inline distT="0" distB="0" distL="0" distR="0" wp14:anchorId="7F436DCE" wp14:editId="58D866A7">
            <wp:extent cx="5486400" cy="320040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3A4EA25" w14:textId="77777777" w:rsidR="00E30483" w:rsidRDefault="00E30483" w:rsidP="00E30483">
      <w:pPr>
        <w:pStyle w:val="Heading2"/>
      </w:pPr>
      <w:bookmarkStart w:id="206" w:name="_Toc530598137"/>
      <w:bookmarkStart w:id="207" w:name="_Toc530660490"/>
      <w:bookmarkStart w:id="208" w:name="_Toc3538091"/>
      <w:r>
        <w:t>Discussion</w:t>
      </w:r>
      <w:bookmarkEnd w:id="206"/>
      <w:bookmarkEnd w:id="207"/>
      <w:bookmarkEnd w:id="208"/>
    </w:p>
    <w:p w14:paraId="58B7506E" w14:textId="5BD580FE" w:rsidR="00E30483" w:rsidRDefault="00E30483" w:rsidP="00E30483">
      <w:r w:rsidRPr="007039D3">
        <w:rPr>
          <w:rFonts w:cs="Times New Roman"/>
          <w:noProof/>
          <w:szCs w:val="24"/>
        </w:rPr>
        <w:t>The present chapter attempted to document development information surrounding each of the web and smartphone apps used and recommended by the NHS for stress, anxiety and depr</w:t>
      </w:r>
      <w:r w:rsidR="0055410C">
        <w:rPr>
          <w:rFonts w:cs="Times New Roman"/>
          <w:noProof/>
          <w:szCs w:val="24"/>
        </w:rPr>
        <w:t xml:space="preserve">ession identified in Study </w:t>
      </w:r>
      <w:r w:rsidR="00361FA1">
        <w:rPr>
          <w:rFonts w:cs="Times New Roman"/>
          <w:noProof/>
          <w:szCs w:val="24"/>
        </w:rPr>
        <w:t>I</w:t>
      </w:r>
      <w:r w:rsidR="0055410C">
        <w:rPr>
          <w:rFonts w:cs="Times New Roman"/>
          <w:noProof/>
          <w:szCs w:val="24"/>
        </w:rPr>
        <w:t xml:space="preserve">.  </w:t>
      </w:r>
      <w:r w:rsidRPr="007039D3">
        <w:rPr>
          <w:rFonts w:cs="Times New Roman"/>
          <w:noProof/>
          <w:szCs w:val="24"/>
        </w:rPr>
        <w:t xml:space="preserve">Our data source was a survey sent to developers requesting information about </w:t>
      </w:r>
      <w:r w:rsidRPr="007039D3">
        <w:rPr>
          <w:noProof/>
        </w:rPr>
        <w:t>clinical involvement, academic involvement, publications published or forthcoming, other evidence of effectiveness and whether the app was based on a psychological approach or theory.</w:t>
      </w:r>
      <w:r w:rsidDel="00105854">
        <w:t xml:space="preserve"> </w:t>
      </w:r>
      <w:r>
        <w:rPr>
          <w:rFonts w:cs="Times New Roman"/>
          <w:szCs w:val="24"/>
        </w:rPr>
        <w:t xml:space="preserve"> </w:t>
      </w:r>
      <w:r w:rsidRPr="00716167">
        <w:rPr>
          <w:rFonts w:cs="Times New Roman"/>
          <w:szCs w:val="24"/>
        </w:rPr>
        <w:t xml:space="preserve">The purpose of doing this was to </w:t>
      </w:r>
      <w:r>
        <w:t xml:space="preserve">attempt to gauge the quality of the existing apps as providers of therapy without performing user trials on </w:t>
      </w:r>
      <w:r w:rsidRPr="00795473">
        <w:rPr>
          <w:noProof/>
        </w:rPr>
        <w:t>every</w:t>
      </w:r>
      <w:r>
        <w:t xml:space="preserve"> one</w:t>
      </w:r>
      <w:r w:rsidRPr="00BC4D72">
        <w:rPr>
          <w:noProof/>
        </w:rPr>
        <w:t>.</w:t>
      </w:r>
      <w:r>
        <w:rPr>
          <w:noProof/>
        </w:rPr>
        <w:t xml:space="preserve"> </w:t>
      </w:r>
      <w:r w:rsidRPr="00BC4D72">
        <w:rPr>
          <w:noProof/>
        </w:rPr>
        <w:t xml:space="preserve"> </w:t>
      </w:r>
      <w:r>
        <w:rPr>
          <w:noProof/>
        </w:rPr>
        <w:t>T</w:t>
      </w:r>
      <w:r w:rsidRPr="00BC4D72">
        <w:rPr>
          <w:noProof/>
        </w:rPr>
        <w:t>he</w:t>
      </w:r>
      <w:r>
        <w:t xml:space="preserve"> approach adopted has enabled a deeper probing of the processes that </w:t>
      </w:r>
      <w:r w:rsidRPr="007039D3">
        <w:rPr>
          <w:noProof/>
        </w:rPr>
        <w:t>are employed</w:t>
      </w:r>
      <w:r>
        <w:t xml:space="preserve"> in each app</w:t>
      </w:r>
      <w:r w:rsidR="00551BF4">
        <w:t>’</w:t>
      </w:r>
      <w:r>
        <w:t>s development.</w:t>
      </w:r>
    </w:p>
    <w:p w14:paraId="0B956547" w14:textId="5275CAD9" w:rsidR="00E30483" w:rsidRDefault="00E30483" w:rsidP="00E30483">
      <w:r>
        <w:t xml:space="preserve">The data presented indicates a significant disparity between web and phone-based applications. </w:t>
      </w:r>
      <w:r w:rsidR="004525DB">
        <w:t xml:space="preserve"> </w:t>
      </w:r>
      <w:r>
        <w:t xml:space="preserve">Web applications </w:t>
      </w:r>
      <w:r w:rsidRPr="007039D3">
        <w:rPr>
          <w:noProof/>
        </w:rPr>
        <w:t>are indicated</w:t>
      </w:r>
      <w:r>
        <w:t xml:space="preserve"> as being significantly higher in all areas of quality except for psychological approach.  This gap in quality measures may stem historically from how the two technologies have evolved.  Web applications for mental health such as Beating the Blues </w:t>
      </w:r>
      <w:r w:rsidR="005700F0">
        <w:fldChar w:fldCharType="begin" w:fldLock="1"/>
      </w:r>
      <w:r w:rsidR="00056473">
        <w:instrText>ADDIN CSL_CITATION {"citationItems":[{"id":"ITEM-1","itemData":{"DOI":"10.1016/S0747-5632(02)00062-6","ISBN":"0747-5632","ISSN":"07475632","abstract":"This paper describes the development and beta-test of an eight-session computer therapy program for anxiety and depression, 'Beating the Blues'. Developed by a multi-functional team, the program uniquely combines multi-media interactive computer technology with empirically-validated cognitive-behavioral therapy (CBT) techniques and crucial non-specific aspects of therapy. The paper describes how the project proceeded through its development phase, the unexpected hurdles that occurred and the lessons learnt. As an integral part of the development, the program was beta-tested with 20 patients. Despite the small numbers and the fact that the eight sessions were completed at an accelerated rate, feedback was positive. Patients reported it was helpful, easy to use, and of those who had had previous treatment for their problems, the majority indicated it compared at least as well as other forms of therapy. The beta-test also highlighted where changes were needed to the program. These were implemented prior to release of the program for the next phase of testing. Lastly, the beta-test indicated that the program had sufficient promise for it to be evaluated formally by randomized controlled trial. © 2003 Elsevier Science Ltd. All rights reserved.","author":[{"dropping-particle":"","family":"Proudfoot","given":"J.","non-dropping-particle":"","parse-names":false,"suffix":""},{"dropping-particle":"","family":"Swain","given":"S.","non-dropping-particle":"","parse-names":false,"suffix":""},{"dropping-particle":"","family":"Widmer","given":"S.","non-dropping-particle":"","parse-names":false,"suffix":""},{"dropping-particle":"","family":"Watkins","given":"E.","non-dropping-particle":"","parse-names":false,"suffix":""},{"dropping-particle":"","family":"Goldberg","given":"D.","non-dropping-particle":"","parse-names":false,"suffix":""},{"dropping-particle":"","family":"Marks","given":"I.","non-dropping-particle":"","parse-names":false,"suffix":""},{"dropping-particle":"","family":"Mann","given":"A.","non-dropping-particle":"","parse-names":false,"suffix":""},{"dropping-particle":"","family":"Gray","given":"J. a.","non-dropping-particle":"","parse-names":false,"suffix":""}],"container-title":"Computers in Human Behavior","id":"ITEM-1","issue":"3","issued":{"date-parts":[["2003","5"]]},"page":"277-289","publisher":"Elsevier Science","title":"The development and beta-test of a computer-therapy program for anxiety and depression: Hurdles and lessons","type":"article-journal","volume":"19"},"uris":["http://www.mendeley.com/documents/?uuid=1ceb014c-0c69-4859-a26d-1a8192652e93"]}],"mendeley":{"formattedCitation":"(J. Proudfoot &lt;i&gt;et al.&lt;/i&gt;, 2003)","plainTextFormattedCitation":"(J. Proudfoot et al., 2003)","previouslyFormattedCitation":"(J. Proudfoot &lt;i&gt;et al.&lt;/i&gt;, 2003)"},"properties":{"noteIndex":0},"schema":"https://github.com/citation-style-language/schema/raw/master/csl-citation.json"}</w:instrText>
      </w:r>
      <w:r w:rsidR="005700F0">
        <w:fldChar w:fldCharType="separate"/>
      </w:r>
      <w:r w:rsidR="006C6716" w:rsidRPr="006C6716">
        <w:rPr>
          <w:noProof/>
        </w:rPr>
        <w:t xml:space="preserve">(J. Proudfoot </w:t>
      </w:r>
      <w:r w:rsidR="006C6716" w:rsidRPr="006C6716">
        <w:rPr>
          <w:i/>
          <w:noProof/>
        </w:rPr>
        <w:t>et al.</w:t>
      </w:r>
      <w:r w:rsidR="006C6716" w:rsidRPr="006C6716">
        <w:rPr>
          <w:noProof/>
        </w:rPr>
        <w:t>, 2003)</w:t>
      </w:r>
      <w:r w:rsidR="005700F0">
        <w:fldChar w:fldCharType="end"/>
      </w:r>
      <w:r>
        <w:t xml:space="preserve"> originated in academia in the 2000s before being brought to market.  Mobile apps b</w:t>
      </w:r>
      <w:r w:rsidR="0055410C">
        <w:t>egan to appear in 2008 when app</w:t>
      </w:r>
      <w:r>
        <w:t xml:space="preserve"> stores began to open </w:t>
      </w:r>
      <w:r w:rsidR="00ED244F">
        <w:fldChar w:fldCharType="begin" w:fldLock="1"/>
      </w:r>
      <w:r w:rsidR="00ED244F">
        <w:instrText>ADDIN CSL_CITATION {"citationItems":[{"id":"ITEM-1","itemData":{"DOI":"10.1109/MCOM.2012.6353696","ISBN":"0163-6804 VO - 50","ISSN":"01636804","abstract":"The mobile user experience has been significantly altered with the arrival of mobile broadband widespread deployments, massive improvements in available smartphones, and a shift in user habits toward context, mobile application stores have a more participative, communicative role. In thisrevolutionized software and content delivery. These stores focus on the applications, building around them an ecosystem of developers and consumers. The store greatly lessens the barrier between these agents, providing significant benefits to both developers and consumers. In this article we analyze this phenomenon, describing its originating factors and fundamental characteristics. We also perform a more detailed study on the two most successful application stores, identifying different approaches to implementing the model.","author":[{"dropping-particle":"","family":"Cuadrado","given":"Félix","non-dropping-particle":"","parse-names":false,"suffix":""},{"dropping-particle":"","family":"Dueñas","given":"Juan","non-dropping-particle":"","parse-names":false,"suffix":""}],"container-title":"IEEE Communications Magazine","id":"ITEM-1","issue":"11","issued":{"date-parts":[["2012","11"]]},"page":"160-167","title":"Mobile application stores: Success factors, existing approaches, and future developments","type":"article-journal","volume":"50"},"uris":["http://www.mendeley.com/documents/?uuid=694ff161-31e2-3914-a370-d4e99a62aca2"]}],"mendeley":{"formattedCitation":"(Cuadrado and Dueñas, 2012)","plainTextFormattedCitation":"(Cuadrado and Dueñas, 2012)","previouslyFormattedCitation":"(Cuadrado and Dueñas, 2012)"},"properties":{"noteIndex":0},"schema":"https://github.com/citation-style-language/schema/raw/master/csl-citation.json"}</w:instrText>
      </w:r>
      <w:r w:rsidR="00ED244F">
        <w:fldChar w:fldCharType="separate"/>
      </w:r>
      <w:r w:rsidR="00ED244F" w:rsidRPr="00ED244F">
        <w:rPr>
          <w:noProof/>
        </w:rPr>
        <w:t>(Cuadrado and Dueñas, 2012)</w:t>
      </w:r>
      <w:r w:rsidR="00ED244F">
        <w:fldChar w:fldCharType="end"/>
      </w:r>
      <w:r>
        <w:t>.</w:t>
      </w:r>
      <w:r w:rsidR="0055410C">
        <w:t xml:space="preserve"> </w:t>
      </w:r>
      <w:r>
        <w:t xml:space="preserve"> However, the process of developing mobile apps for mental health took a drastically different route to market that had more in common with the early 1980s personal microcomputer boom </w:t>
      </w:r>
      <w:r w:rsidR="00ED244F">
        <w:fldChar w:fldCharType="begin" w:fldLock="1"/>
      </w:r>
      <w:r w:rsidR="005700F0">
        <w:instrText>ADDIN CSL_CITATION {"citationItems":[{"id":"ITEM-1","itemData":{"DOI":"10.1177/0963662512457904","ISSN":"0963-6625","abstract":"In the early 1980s the computer entered the British home in significant numbers for the first time as many thousands of people purchased their first personal ‘microcomputer’. In this paper I explore the educational character of the home computer boom, a response to unease over the impact of new information technologies. Media, government, social movements and computer manufacturers constituted a systematic effort to enhance the public understanding of a new technology that was anticipated to change the world.","author":[{"dropping-particle":"","family":"Lean","given":"Thomas","non-dropping-particle":"","parse-names":false,"suffix":""}],"container-title":"Public Understanding of Science","id":"ITEM-1","issue":"5","issued":{"date-parts":[["2013","7","30"]]},"page":"546-558","publisher":"SAGE PublicationsSage UK: London, England","title":"Mediating the microcomputer: The educational character of the 1980s British popular computing boom","type":"article-journal","volume":"22"},"uris":["http://www.mendeley.com/documents/?uuid=51566bbd-0189-3856-99e8-06b85bb3f55d"]}],"mendeley":{"formattedCitation":"(Lean, 2013)","plainTextFormattedCitation":"(Lean, 2013)","previouslyFormattedCitation":"(Lean, 2013)"},"properties":{"noteIndex":0},"schema":"https://github.com/citation-style-language/schema/raw/master/csl-citation.json"}</w:instrText>
      </w:r>
      <w:r w:rsidR="00ED244F">
        <w:fldChar w:fldCharType="separate"/>
      </w:r>
      <w:r w:rsidR="00ED244F" w:rsidRPr="00ED244F">
        <w:rPr>
          <w:noProof/>
        </w:rPr>
        <w:t>(Lean, 2013)</w:t>
      </w:r>
      <w:r w:rsidR="00ED244F">
        <w:fldChar w:fldCharType="end"/>
      </w:r>
      <w:r>
        <w:t xml:space="preserve"> whereby anyone with access to a personal microcomputer and a programming book could publish their own software.  P</w:t>
      </w:r>
      <w:r>
        <w:rPr>
          <w:color w:val="000000"/>
          <w:highlight w:val="white"/>
        </w:rPr>
        <w:t>oor regulation of mental health app quality and privacy</w:t>
      </w:r>
      <w:r w:rsidR="006F5194">
        <w:rPr>
          <w:color w:val="000000"/>
          <w:highlight w:val="white"/>
        </w:rPr>
        <w:t xml:space="preserve"> </w:t>
      </w:r>
      <w:r w:rsidR="006F5194">
        <w:rPr>
          <w:color w:val="000000"/>
          <w:highlight w:val="white"/>
        </w:rPr>
        <w:fldChar w:fldCharType="begin" w:fldLock="1"/>
      </w:r>
      <w:r w:rsidR="006F5194">
        <w:rPr>
          <w:color w:val="000000"/>
          <w:highlight w:val="white"/>
        </w:rPr>
        <w:instrText>ADDIN CSL_CITATION {"citationItems":[{"id":"ITEM-1","itemData":{"DOI":"10.21037/mhealth.2018.03.02","ISBN":"2016;532:203","ISSN":"23069740","PMID":"29682510","abstract":"Firstly, the flow fields downstream one axisymmetric nozzles and a nozzle with four tabs were simulated with four different turbulent models, and the results were compared with experimental data. Then the flow fields downstream nozzles with tabs of varied orientation angles were predicted for different orientation angles of the tabs while the projected blockage of tabs was kept unchanged. The predictions were also compared with that of the nozzle without tabs. The decrease of potential core length was remarkable when tabs were affixed. As the orientation angle increased, the potential core length decreased firstly and then increased. The streamwise vortices strength increased straightly with the orientation angle. Both entrainment gain and thrust losses of the nozzles decreased as the orientation angle increased.","author":[{"dropping-particle":"","family":"Chandrashekar","given":"Pooja","non-dropping-particle":"","parse-names":false,"suffix":""}],"container-title":"mHealth","id":"ITEM-1","issued":{"date-parts":[["2018"]]},"page":"6-6","publisher":"AME Publications","title":"Do mental health mobile apps work: evidence and recommendations for designing high-efficacy mental health mobile apps","type":"article-journal","volume":"4"},"uris":["http://www.mendeley.com/documents/?uuid=b0a584f6-1598-32f2-9162-2d664a2669a7"]}],"mendeley":{"formattedCitation":"(Chandrashekar, 2018)","plainTextFormattedCitation":"(Chandrashekar, 2018)","previouslyFormattedCitation":"(Chandrashekar, 2018)"},"properties":{"noteIndex":0},"schema":"https://github.com/citation-style-language/schema/raw/master/csl-citation.json"}</w:instrText>
      </w:r>
      <w:r w:rsidR="006F5194">
        <w:rPr>
          <w:color w:val="000000"/>
          <w:highlight w:val="white"/>
        </w:rPr>
        <w:fldChar w:fldCharType="separate"/>
      </w:r>
      <w:r w:rsidR="006F5194" w:rsidRPr="006F5194">
        <w:rPr>
          <w:noProof/>
          <w:color w:val="000000"/>
          <w:highlight w:val="white"/>
        </w:rPr>
        <w:t>(Chandrashekar, 2018)</w:t>
      </w:r>
      <w:r w:rsidR="006F5194">
        <w:rPr>
          <w:color w:val="000000"/>
          <w:highlight w:val="white"/>
        </w:rPr>
        <w:fldChar w:fldCharType="end"/>
      </w:r>
      <w:r w:rsidR="00E21233">
        <w:rPr>
          <w:color w:val="000000"/>
          <w:highlight w:val="white"/>
        </w:rPr>
        <w:t xml:space="preserve"> </w:t>
      </w:r>
      <w:r>
        <w:t xml:space="preserve">has meant mobile apps have taken a similar path with home coders being able to create and publish mental health apps with </w:t>
      </w:r>
      <w:r w:rsidRPr="00DE4004">
        <w:rPr>
          <w:noProof/>
        </w:rPr>
        <w:t>minimal</w:t>
      </w:r>
      <w:r>
        <w:t xml:space="preserve"> questioning of their quality.</w:t>
      </w:r>
    </w:p>
    <w:p w14:paraId="7D5B1C0C" w14:textId="3DD009A9" w:rsidR="00E30483" w:rsidRDefault="00E30483" w:rsidP="00E30483">
      <w:r>
        <w:t xml:space="preserve">The varying quality between the two app types is supportive of the issues and solutions discussed in the introduction to this chapter.  However, even with the slow introduction of regulation, there still seems to be a </w:t>
      </w:r>
      <w:r>
        <w:lastRenderedPageBreak/>
        <w:t>limited amount of action to regulate mental health apps coming from the app stores themselves.  A lingering responsibility is being placed on app developers to get regulated, for users to check apps are regulated and for governments and health organisations such as the NHS to flag up apps that are regulated.  A number of studies have examined the potential dangers and safety issues associated with apps aimed at the public and whether these apps should be assessed or controlled by various regulatory agencies, such as the Medicines and Healthcare Products Regulatory Agency (MHRA) in England</w:t>
      </w:r>
      <w:r w:rsidR="001E1428">
        <w:t xml:space="preserve"> </w:t>
      </w:r>
      <w:r w:rsidR="001E1428">
        <w:fldChar w:fldCharType="begin" w:fldLock="1"/>
      </w:r>
      <w:r w:rsidR="00E21233">
        <w:instrText>ADDIN CSL_CITATION {"citationItems":[{"id":"ITEM-1","itemData":{"DOI":"10.3233/978-1-61499-203-5-227","ISBN":"9781614992035","ISSN":"18798365","PMID":"23388288","abstract":"There is a large and ever increasing number of mobile phone health, wellness, and medical applications on the market. However, there is little guidance or quality assurance available for consumers. This paper provides a health consumer focused framework for considering a range of issues associated with selecting and using mobile phone applications downloaded from the Internet.","author":[{"dropping-particle":"","family":"Cummings","given":"Elizabeth","non-dropping-particle":"","parse-names":false,"suffix":""},{"dropping-particle":"","family":"Borycki","given":"Elizabeth Marie","non-dropping-particle":"","parse-names":false,"suffix":""},{"dropping-particle":"","family":"Roehrer","given":"Erin","non-dropping-particle":"","parse-names":false,"suffix":""}],"container-title":"Studies in Health Technology and Informatics","id":"ITEM-1","issued":{"date-parts":[["2013"]]},"page":"227-231","title":"Issues and considerations for healthcare consumers using mobile applications","type":"article-journal","volume":"183"},"uris":["http://www.mendeley.com/documents/?uuid=5c55b859-1055-3159-9ffa-f5ae1aeafc74"]}],"mendeley":{"formattedCitation":"(Cummings, Borycki and Roehrer, 2013)","plainTextFormattedCitation":"(Cummings, Borycki and Roehrer, 2013)","previouslyFormattedCitation":"(Cummings, Borycki and Roehrer, 2013)"},"properties":{"noteIndex":0},"schema":"https://github.com/citation-style-language/schema/raw/master/csl-citation.json"}</w:instrText>
      </w:r>
      <w:r w:rsidR="001E1428">
        <w:fldChar w:fldCharType="separate"/>
      </w:r>
      <w:r w:rsidR="001E1428" w:rsidRPr="001E1428">
        <w:rPr>
          <w:noProof/>
        </w:rPr>
        <w:t>(Cummings, Borycki and Roehrer, 2013)</w:t>
      </w:r>
      <w:r w:rsidR="001E1428">
        <w:fldChar w:fldCharType="end"/>
      </w:r>
      <w:r w:rsidR="001E1428">
        <w:t>.</w:t>
      </w:r>
    </w:p>
    <w:p w14:paraId="2B4FEE99" w14:textId="254494AB" w:rsidR="00E30483" w:rsidRDefault="00E30483" w:rsidP="00E30483">
      <w:r>
        <w:t xml:space="preserve">A study by </w:t>
      </w:r>
      <w:r w:rsidR="00E21233" w:rsidRPr="00D27E78">
        <w:rPr>
          <w:noProof/>
        </w:rPr>
        <w:t xml:space="preserve">Donker </w:t>
      </w:r>
      <w:r w:rsidR="00E21233" w:rsidRPr="00D27E78">
        <w:rPr>
          <w:i/>
          <w:noProof/>
        </w:rPr>
        <w:t>et al.</w:t>
      </w:r>
      <w:r w:rsidR="00E21233" w:rsidRPr="00D27E78">
        <w:rPr>
          <w:noProof/>
        </w:rPr>
        <w:t xml:space="preserve">, </w:t>
      </w:r>
      <w:r w:rsidR="00E21233">
        <w:fldChar w:fldCharType="begin" w:fldLock="1"/>
      </w:r>
      <w:r w:rsidR="00E21233">
        <w:instrText>ADDIN CSL_CITATION {"citationItems":[{"id":"ITEM-1","itemData":{"DOI":"10.2196/jmir.2791","ISSN":"1438-8871","PMID":"24240579","abstract":"BACKGROUND: The rapid growth in the use of mobile phone applications (apps) provides the opportunity to increase access to evidence-based mental health care.\n\nOBJECTIVE: Our goal was to systematically review the research evidence supporting the efficacy of mental health apps for mobile devices (such as smartphones and tablets) for all ages.\n\nMETHODS: A comprehensive literature search (2008-2013) in MEDLINE, Embase, the Cochrane Central Register of Controlled Trials, PsycINFO, PsycTESTS, Compendex, and Inspec was conducted. We included trials that examined the effects of mental health apps (for depression, anxiety, substance use, sleep disturbances, suicidal behavior, self-harm, psychotic disorders, eating disorders, stress, and gambling) delivered on mobile devices with a pre- to posttest design or compared with a control group. The control group could consist of wait list, treatment-as-usual, or another recognized treatment.\n\nRESULTS: In total, 5464 abstracts were identified. Of those, 8 papers describing 5 apps targeting depression, anxiety, and substance abuse met the inclusion criteria. Four apps provided support from a mental health professional. Results showed significant reductions in depression, stress, and substance use. Within-group and between-group intention-to-treat effect sizes ranged from 0.29-2.28 and 0.01-0.48 at posttest and follow-up, respectively.\n\nCONCLUSIONS: Mental health apps have the potential to be effective and may significantly improve treatment accessibility. However, the majority of apps that are currently available lack scientific evidence about their efficacy. The public needs to be educated on how to identify the few evidence-based mental health apps available in the public domain to date. Further rigorous research is required to develop and test evidence-based programs. Given the small number of studies and participants included in this review, the high risk of bias, and unknown efficacy of long-term follow-up, current findings should be interpreted with caution, pending replication. Two of the 5 evidence-based mental health apps are currently commercially available in app stores.","author":[{"dropping-particle":"","family":"Donker","given":"Tara","non-dropping-particle":"","parse-names":false,"suffix":""},{"dropping-particle":"","family":"Petrie","given":"Katherine","non-dropping-particle":"","parse-names":false,"suffix":""},{"dropping-particle":"","family":"Proudfoot","given":"Judy","non-dropping-particle":"","parse-names":false,"suffix":""},{"dropping-particle":"","family":"Clarke","given":"Janine","non-dropping-particle":"","parse-names":false,"suffix":""},{"dropping-particle":"","family":"Birch","given":"Mary-Rose","non-dropping-particle":"","parse-names":false,"suffix":""},{"dropping-particle":"","family":"Christensen","given":"Helen","non-dropping-particle":"","parse-names":false,"suffix":""}],"container-title":"Journal of medical Internet research","id":"ITEM-1","issue":"11","issued":{"date-parts":[["2013","1","15"]]},"page":"e247","publisher":"Journal of Medical Internet Research","title":"Smartphones for smarter delivery of mental health programs: a systematic review.","type":"article-journal","volume":"15"},"uris":["http://www.mendeley.com/documents/?uuid=6e750e3c-b33c-4752-9c7f-84d1c294bfa5"]}],"mendeley":{"formattedCitation":"(Donker, Petrie, &lt;i&gt;et al.&lt;/i&gt;, 2013)","manualFormatting":"(2013)","plainTextFormattedCitation":"(Donker, Petrie, et al., 2013)","previouslyFormattedCitation":"(Donker, Petrie, &lt;i&gt;et al.&lt;/i&gt;, 2013)"},"properties":{"noteIndex":0},"schema":"https://github.com/citation-style-language/schema/raw/master/csl-citation.json"}</w:instrText>
      </w:r>
      <w:r w:rsidR="00E21233">
        <w:fldChar w:fldCharType="separate"/>
      </w:r>
      <w:r w:rsidR="00E21233" w:rsidRPr="00D27E78">
        <w:rPr>
          <w:noProof/>
        </w:rPr>
        <w:t>(2013)</w:t>
      </w:r>
      <w:r w:rsidR="00E21233">
        <w:fldChar w:fldCharType="end"/>
      </w:r>
      <w:r>
        <w:t xml:space="preserve"> carried out a systematic review of research evidence supporting the efficacy of mental health apps across all ages.</w:t>
      </w:r>
      <w:r>
        <w:rPr>
          <w:color w:val="000000"/>
          <w:sz w:val="20"/>
          <w:szCs w:val="20"/>
          <w:highlight w:val="white"/>
        </w:rPr>
        <w:t xml:space="preserve">  </w:t>
      </w:r>
      <w:r>
        <w:t xml:space="preserve">The study revealed a complete lack of published evidence for many of the hundreds of e-therapy smartphone apps that are available.  The results of the current survey have revealed a very similar trend to </w:t>
      </w:r>
      <w:proofErr w:type="spellStart"/>
      <w:r>
        <w:t>Donker’s</w:t>
      </w:r>
      <w:proofErr w:type="spellEnd"/>
      <w:r>
        <w:t xml:space="preserve"> findings, with only 27% of smartphone apps surveyed having any evidence of effectiveness published or forthcoming.  The survey results indicate web apps fared much better with 92% of app designers saying that their app had evidence of effectiveness.  However, overall 44.7% of apps had published or forthcoming evidence of effectiveness.  The lack of a consistent evidence base makes the process of finding an effective NHS e-therapy haphazard.  During 2018 the NHS plans to roll out a digital apps library designed to showcase a selected number of apps that have been through assessment and are safe </w:t>
      </w:r>
      <w:r w:rsidR="0055410C">
        <w:t xml:space="preserve">to use </w:t>
      </w:r>
      <w:r w:rsidR="00E21233">
        <w:fldChar w:fldCharType="begin" w:fldLock="1"/>
      </w:r>
      <w:r w:rsidR="00E21233">
        <w:instrText>ADDIN CSL_CITATION {"citationItems":[{"id":"ITEM-1","itemData":{"URL":"https://www.england.nhs.uk/blog/apps-library-is-advance-for-a-digital-nhs/","accessed":{"date-parts":[["2018","2","10"]]},"author":[{"dropping-particle":"","family":"Bauer","given":"Juliet.","non-dropping-particle":"","parse-names":false,"suffix":""},{"dropping-particle":"","family":"Murphy","given":"Rachel.","non-dropping-particle":"","parse-names":false,"suffix":""}],"container-title":"NHS England","id":"ITEM-1","issued":{"date-parts":[["2017"]]},"title":"Apps library is advance for a digital NHS","type":"webpage"},"uris":["http://www.mendeley.com/documents/?uuid=095db215-041c-33a1-ad48-d2cade756ffd"]}],"mendeley":{"formattedCitation":"(Bauer and Murphy, 2017)","manualFormatting":"(Bauer &amp; Murphy, 2017)","plainTextFormattedCitation":"(Bauer and Murphy, 2017)","previouslyFormattedCitation":"(Bauer and Murphy, 2017)"},"properties":{"noteIndex":0},"schema":"https://github.com/citation-style-language/schema/raw/master/csl-citation.json"}</w:instrText>
      </w:r>
      <w:r w:rsidR="00E21233">
        <w:fldChar w:fldCharType="separate"/>
      </w:r>
      <w:r w:rsidR="00E21233" w:rsidRPr="000210D6">
        <w:rPr>
          <w:noProof/>
        </w:rPr>
        <w:t xml:space="preserve">(Bauer </w:t>
      </w:r>
      <w:r w:rsidR="00E21233">
        <w:rPr>
          <w:noProof/>
        </w:rPr>
        <w:t>&amp;</w:t>
      </w:r>
      <w:r w:rsidR="00E21233" w:rsidRPr="000210D6">
        <w:rPr>
          <w:noProof/>
        </w:rPr>
        <w:t xml:space="preserve"> Murphy, 2017)</w:t>
      </w:r>
      <w:r w:rsidR="00E21233">
        <w:fldChar w:fldCharType="end"/>
      </w:r>
      <w:r w:rsidR="0055410C">
        <w:t>.</w:t>
      </w:r>
    </w:p>
    <w:p w14:paraId="34812F56" w14:textId="247C4B47" w:rsidR="00E30483" w:rsidRDefault="00E30483" w:rsidP="00E30483">
      <w:r>
        <w:t xml:space="preserve">It is vital that the NHS ensure this library contains apps that are supported by evidence, so service users are presented with </w:t>
      </w:r>
      <w:r w:rsidRPr="007039D3">
        <w:rPr>
          <w:noProof/>
        </w:rPr>
        <w:t>effective</w:t>
      </w:r>
      <w:r>
        <w:t xml:space="preserve"> apps.  At the time of writing (February 2018), NICE guidance for mental health practitioners is that </w:t>
      </w:r>
      <w:proofErr w:type="spellStart"/>
      <w:r>
        <w:t>cCBT</w:t>
      </w:r>
      <w:proofErr w:type="spellEnd"/>
      <w:r>
        <w:t xml:space="preserve"> can be offered for persistent subthreshold, or mild to moderate depression.  A strong emphasis is placed </w:t>
      </w:r>
      <w:r w:rsidRPr="00DE4004">
        <w:rPr>
          <w:noProof/>
        </w:rPr>
        <w:t>on</w:t>
      </w:r>
      <w:r>
        <w:t xml:space="preserve"> the use of CBT within mental health services.  The results of the survey indicated that at that time 60% of apps used a known psychological approach or theory.  On further analysis, 71% of the 60% used CBT, meaning 14% of those that declared using a psychological approach/theory were using an approach that was not NICE-approved, and 40% had no theory behind them at all.</w:t>
      </w:r>
    </w:p>
    <w:p w14:paraId="5B01C238" w14:textId="4A4533EA" w:rsidR="00E30483" w:rsidRDefault="00E30483" w:rsidP="00E30483">
      <w:r>
        <w:t xml:space="preserve">Importantly, we have seen from this study that different criteria can be applied to evaluating apps. </w:t>
      </w:r>
      <w:r w:rsidR="004525DB">
        <w:t xml:space="preserve"> </w:t>
      </w:r>
      <w:r>
        <w:t xml:space="preserve">Regarding research evidence, developers have different interpretations of this. </w:t>
      </w:r>
      <w:r w:rsidR="00314EC2">
        <w:t xml:space="preserve"> </w:t>
      </w:r>
      <w:r>
        <w:t>Some felt that findings from third-party studies of the conventional, face-to-face delivery of the therapeutic theory used within the app would translate into an indication of the app’s effectiveness, while others considered internal studies, evaluations and testing of elements such as the User Interface (UI) to be a sufficient in</w:t>
      </w:r>
      <w:r w:rsidR="00314EC2">
        <w:t>dication of app effectiveness.</w:t>
      </w:r>
      <w:r w:rsidR="00501218">
        <w:t xml:space="preserve">  There are other areas that during the time of development were overlooked.</w:t>
      </w:r>
      <w:r w:rsidR="00224ED3" w:rsidRPr="00C501FD">
        <w:rPr>
          <w:color w:val="000000" w:themeColor="text1"/>
        </w:rPr>
        <w:t xml:space="preserve">  Questions querying service user and computer scientist involvement could have</w:t>
      </w:r>
      <w:r w:rsidR="00104CAC" w:rsidRPr="00C501FD">
        <w:rPr>
          <w:color w:val="000000" w:themeColor="text1"/>
        </w:rPr>
        <w:t xml:space="preserve"> provided</w:t>
      </w:r>
      <w:r w:rsidR="00224ED3" w:rsidRPr="00C501FD">
        <w:rPr>
          <w:color w:val="000000" w:themeColor="text1"/>
        </w:rPr>
        <w:t xml:space="preserve"> further indicators of quality and opened further avenues of investigation.  </w:t>
      </w:r>
      <w:r w:rsidR="005A0AF5" w:rsidRPr="00C501FD">
        <w:rPr>
          <w:color w:val="000000" w:themeColor="text1"/>
        </w:rPr>
        <w:t>Assessment criteria’s that were released after this study was carried out</w:t>
      </w:r>
      <w:r w:rsidR="00104CAC" w:rsidRPr="00C501FD">
        <w:rPr>
          <w:color w:val="000000" w:themeColor="text1"/>
        </w:rPr>
        <w:t>,</w:t>
      </w:r>
      <w:r w:rsidR="005A0AF5" w:rsidRPr="00C501FD">
        <w:rPr>
          <w:color w:val="000000" w:themeColor="text1"/>
        </w:rPr>
        <w:t xml:space="preserve"> such as </w:t>
      </w:r>
      <w:r w:rsidR="00224ED3" w:rsidRPr="00C501FD">
        <w:rPr>
          <w:color w:val="000000" w:themeColor="text1"/>
        </w:rPr>
        <w:t xml:space="preserve">NHS </w:t>
      </w:r>
      <w:r w:rsidR="005A0AF5" w:rsidRPr="00C501FD">
        <w:rPr>
          <w:color w:val="000000" w:themeColor="text1"/>
        </w:rPr>
        <w:t xml:space="preserve">Digital’s assessment questionnaire V2.1 </w:t>
      </w:r>
      <w:r w:rsidR="005A0AF5" w:rsidRPr="00C501FD">
        <w:rPr>
          <w:color w:val="000000" w:themeColor="text1"/>
        </w:rPr>
        <w:fldChar w:fldCharType="begin" w:fldLock="1"/>
      </w:r>
      <w:r w:rsidR="004469A9" w:rsidRPr="00C501FD">
        <w:rPr>
          <w:color w:val="000000" w:themeColor="text1"/>
        </w:rPr>
        <w:instrText>ADDIN CSL_CITATION {"citationItems":[{"id":"ITEM-1","itemData":{"URL":"https://www.england.nhs.uk/nhside","abstract":"Any questions or comments relating to this document can be sent to m.health@nhs.net or if you would like to apply become an approved assessor against these questions, you can email m.health@nhs.net with the subject title \"Approved Assessor enquiry\". Manufacturers/Developers of Digital Technologies for use in the NHS should review the document to better understand the required standards expected to be showcased across other NHS tools, including the NHS Apps Library. This represents a full list of all possible questions. Not all questions will be relevant to all developers. The online assessment will apply the relevant questions. This is an indication of the NHS digital assessment for the use of mobile apps and other patient-facing digital tools. This is currently used to assess mobile apps and digital tools for inclusion in the NHS Apps Library. Digital Assessment Questionnaire V2.1","accessed":{"date-parts":[["2019","2","6"]]},"author":[{"dropping-particle":"","family":"NHS Digital","given":"","non-dropping-particle":"","parse-names":false,"suffix":""}],"id":"ITEM-1","issued":{"date-parts":[["2018"]]},"title":"Digital Assessment Questionnaire V2.1","type":"webpage"},"uris":["http://www.mendeley.com/documents/?uuid=938c22ff-b6a0-39d9-b2fb-2b497a52390a"]}],"mendeley":{"formattedCitation":"(NHS Digital, 2018)","plainTextFormattedCitation":"(NHS Digital, 2018)","previouslyFormattedCitation":"(NHS Digital, 2018)"},"properties":{"noteIndex":0},"schema":"https://github.com/citation-style-language/schema/raw/master/csl-citation.json"}</w:instrText>
      </w:r>
      <w:r w:rsidR="005A0AF5" w:rsidRPr="00C501FD">
        <w:rPr>
          <w:color w:val="000000" w:themeColor="text1"/>
        </w:rPr>
        <w:fldChar w:fldCharType="separate"/>
      </w:r>
      <w:r w:rsidR="005A0AF5" w:rsidRPr="00C501FD">
        <w:rPr>
          <w:noProof/>
          <w:color w:val="000000" w:themeColor="text1"/>
        </w:rPr>
        <w:t>(NHS Digital, 2018)</w:t>
      </w:r>
      <w:r w:rsidR="005A0AF5" w:rsidRPr="00C501FD">
        <w:rPr>
          <w:color w:val="000000" w:themeColor="text1"/>
        </w:rPr>
        <w:fldChar w:fldCharType="end"/>
      </w:r>
      <w:r w:rsidR="00104CAC" w:rsidRPr="00C501FD">
        <w:rPr>
          <w:color w:val="000000" w:themeColor="text1"/>
        </w:rPr>
        <w:t>, have</w:t>
      </w:r>
      <w:r w:rsidR="005A0AF5" w:rsidRPr="00C501FD">
        <w:rPr>
          <w:color w:val="000000" w:themeColor="text1"/>
        </w:rPr>
        <w:t xml:space="preserve"> investigate</w:t>
      </w:r>
      <w:r w:rsidR="00104CAC" w:rsidRPr="00C501FD">
        <w:rPr>
          <w:color w:val="000000" w:themeColor="text1"/>
        </w:rPr>
        <w:t>d</w:t>
      </w:r>
      <w:r w:rsidR="005A0AF5" w:rsidRPr="00C501FD">
        <w:rPr>
          <w:color w:val="000000" w:themeColor="text1"/>
        </w:rPr>
        <w:t xml:space="preserve"> service user involvement by asking questions around the use of user centred design (UCD).</w:t>
      </w:r>
    </w:p>
    <w:p w14:paraId="6D84BF39" w14:textId="12B70D93" w:rsidR="00E30483" w:rsidRDefault="00E30483" w:rsidP="00E30483">
      <w:pPr>
        <w:pStyle w:val="Heading2"/>
      </w:pPr>
      <w:bookmarkStart w:id="209" w:name="_Toc530598138"/>
      <w:bookmarkStart w:id="210" w:name="_Toc530660491"/>
      <w:bookmarkStart w:id="211" w:name="_Toc3538092"/>
      <w:r w:rsidRPr="00DC7B4B">
        <w:lastRenderedPageBreak/>
        <w:t>Conclusions</w:t>
      </w:r>
      <w:bookmarkEnd w:id="209"/>
      <w:bookmarkEnd w:id="210"/>
      <w:bookmarkEnd w:id="211"/>
    </w:p>
    <w:p w14:paraId="18A8E898" w14:textId="77701C23" w:rsidR="00E30483" w:rsidRDefault="00E30483" w:rsidP="00E30483">
      <w:r>
        <w:t xml:space="preserve">As an increasing number of developers are looking to produce e-therapies for the NHS it is essential they apply clinical and academic best practices to ensure the creation of safe and </w:t>
      </w:r>
      <w:r w:rsidRPr="007039D3">
        <w:rPr>
          <w:noProof/>
        </w:rPr>
        <w:t>effective</w:t>
      </w:r>
      <w:r>
        <w:t xml:space="preserve"> apps.  The present chapter has provided a snapshot of the commercial e-therapy development landscape and the areas that need the most refinement to improve their suitability for NHS mental health services.  These</w:t>
      </w:r>
      <w:r w:rsidR="00314EC2">
        <w:t xml:space="preserve"> are as follows:</w:t>
      </w:r>
    </w:p>
    <w:p w14:paraId="22EFBE80" w14:textId="0A0ACD24" w:rsidR="00E30483" w:rsidRDefault="00E30483" w:rsidP="00E31AB0">
      <w:pPr>
        <w:numPr>
          <w:ilvl w:val="0"/>
          <w:numId w:val="2"/>
        </w:numPr>
        <w:pBdr>
          <w:top w:val="nil"/>
          <w:left w:val="nil"/>
          <w:bottom w:val="nil"/>
          <w:right w:val="nil"/>
          <w:between w:val="nil"/>
        </w:pBdr>
        <w:spacing w:after="0"/>
        <w:contextualSpacing/>
      </w:pPr>
      <w:r>
        <w:rPr>
          <w:color w:val="000000"/>
        </w:rPr>
        <w:t>the building of better working relationships with clinicians to ensure e-therapy content i</w:t>
      </w:r>
      <w:r w:rsidR="00314EC2">
        <w:rPr>
          <w:color w:val="000000"/>
        </w:rPr>
        <w:t>s both beneficial and credible;</w:t>
      </w:r>
    </w:p>
    <w:p w14:paraId="626BFF94" w14:textId="03857B49" w:rsidR="00E30483" w:rsidRDefault="00E30483" w:rsidP="00E31AB0">
      <w:pPr>
        <w:numPr>
          <w:ilvl w:val="0"/>
          <w:numId w:val="2"/>
        </w:numPr>
        <w:pBdr>
          <w:top w:val="nil"/>
          <w:left w:val="nil"/>
          <w:bottom w:val="nil"/>
          <w:right w:val="nil"/>
          <w:between w:val="nil"/>
        </w:pBdr>
        <w:spacing w:after="0"/>
        <w:contextualSpacing/>
      </w:pPr>
      <w:r w:rsidRPr="00DE4004">
        <w:rPr>
          <w:noProof/>
          <w:color w:val="000000"/>
        </w:rPr>
        <w:t>creation of commercial app development projects with academics to enable increased innovation and to feed lessons learnt back to the research knowledge base</w:t>
      </w:r>
      <w:r>
        <w:rPr>
          <w:color w:val="000000"/>
        </w:rPr>
        <w:t>;</w:t>
      </w:r>
    </w:p>
    <w:p w14:paraId="6438AAC1" w14:textId="6D529AB0" w:rsidR="00E30483" w:rsidRDefault="00E30483" w:rsidP="00E31AB0">
      <w:pPr>
        <w:numPr>
          <w:ilvl w:val="0"/>
          <w:numId w:val="2"/>
        </w:numPr>
        <w:pBdr>
          <w:top w:val="nil"/>
          <w:left w:val="nil"/>
          <w:bottom w:val="nil"/>
          <w:right w:val="nil"/>
          <w:between w:val="nil"/>
        </w:pBdr>
        <w:spacing w:after="0"/>
        <w:contextualSpacing/>
      </w:pPr>
      <w:r>
        <w:rPr>
          <w:color w:val="000000"/>
        </w:rPr>
        <w:t>generation of published evidence through studies in areas such as piloting, feasibility, acceptability, effectiveness and efficacy to help enable easy distinction of the</w:t>
      </w:r>
      <w:r w:rsidR="00314EC2">
        <w:rPr>
          <w:color w:val="000000"/>
        </w:rPr>
        <w:t xml:space="preserve"> effectiveness of an e-therapy;</w:t>
      </w:r>
    </w:p>
    <w:p w14:paraId="6CFB8DB8" w14:textId="07F3836A" w:rsidR="00E30483" w:rsidRDefault="00E30483" w:rsidP="00E31AB0">
      <w:pPr>
        <w:numPr>
          <w:ilvl w:val="0"/>
          <w:numId w:val="2"/>
        </w:numPr>
        <w:pBdr>
          <w:top w:val="nil"/>
          <w:left w:val="nil"/>
          <w:bottom w:val="nil"/>
          <w:right w:val="nil"/>
          <w:between w:val="nil"/>
        </w:pBdr>
        <w:spacing w:after="0"/>
        <w:contextualSpacing/>
      </w:pPr>
      <w:r>
        <w:rPr>
          <w:color w:val="000000"/>
        </w:rPr>
        <w:t>collection, analysis and publication other evidence to b</w:t>
      </w:r>
      <w:r w:rsidR="00314EC2">
        <w:rPr>
          <w:color w:val="000000"/>
        </w:rPr>
        <w:t>ack up claims of effectiveness;</w:t>
      </w:r>
    </w:p>
    <w:p w14:paraId="0978C35C" w14:textId="72038607" w:rsidR="00E30483" w:rsidRDefault="00E30483" w:rsidP="00E31AB0">
      <w:pPr>
        <w:numPr>
          <w:ilvl w:val="0"/>
          <w:numId w:val="2"/>
        </w:numPr>
        <w:pBdr>
          <w:top w:val="nil"/>
          <w:left w:val="nil"/>
          <w:bottom w:val="nil"/>
          <w:right w:val="nil"/>
          <w:between w:val="nil"/>
        </w:pBdr>
        <w:contextualSpacing/>
      </w:pPr>
      <w:proofErr w:type="gramStart"/>
      <w:r>
        <w:rPr>
          <w:color w:val="000000"/>
        </w:rPr>
        <w:t>ensuring</w:t>
      </w:r>
      <w:proofErr w:type="gramEnd"/>
      <w:r>
        <w:rPr>
          <w:color w:val="000000"/>
        </w:rPr>
        <w:t xml:space="preserve"> that a psychological approach or theory that is known to be empirically sound is applied within an </w:t>
      </w:r>
      <w:r w:rsidR="00314EC2">
        <w:rPr>
          <w:color w:val="000000"/>
        </w:rPr>
        <w:t>app to help build credibility.</w:t>
      </w:r>
    </w:p>
    <w:p w14:paraId="579049A2" w14:textId="17591EC5" w:rsidR="00E30483" w:rsidRDefault="00E30483" w:rsidP="00124458">
      <w:pPr>
        <w:sectPr w:rsidR="00E30483" w:rsidSect="00452C07">
          <w:pgSz w:w="11906" w:h="16838"/>
          <w:pgMar w:top="851" w:right="851" w:bottom="851" w:left="1134" w:header="708" w:footer="708" w:gutter="0"/>
          <w:cols w:space="708"/>
          <w:docGrid w:linePitch="360"/>
        </w:sectPr>
      </w:pPr>
      <w:bookmarkStart w:id="212" w:name="_2s8eyo1" w:colFirst="0" w:colLast="0"/>
      <w:bookmarkEnd w:id="212"/>
      <w:r>
        <w:t xml:space="preserve">It should be noted that while the alternative methods of evaluation discussed in this chapter are relevant and timely, RCTs remain the pinnacle of quality evidence of effectiveness. </w:t>
      </w:r>
      <w:r w:rsidR="00314EC2">
        <w:t xml:space="preserve"> </w:t>
      </w:r>
      <w:r>
        <w:t>The best way to synthesise such evidence is through meta-analysis.  As such, the next chapter will extend the current investigation beyond this initial developer survey, to synthesise the published evidence available for all e-therapies used and recommended by the NHS in England, th</w:t>
      </w:r>
      <w:r w:rsidR="00314EC2">
        <w:t>us establishing NHS delivered e</w:t>
      </w:r>
      <w:r w:rsidR="00314EC2">
        <w:noBreakHyphen/>
      </w:r>
      <w:r>
        <w:t>therapy effectiveness.</w:t>
      </w:r>
      <w:r w:rsidR="00314EC2">
        <w:t xml:space="preserve"> </w:t>
      </w:r>
      <w:r>
        <w:t xml:space="preserve"> Furthermore, by treating age as a moderator, we will see the extent to which NHS delivered e-therapy is </w:t>
      </w:r>
      <w:r w:rsidRPr="007039D3">
        <w:rPr>
          <w:noProof/>
        </w:rPr>
        <w:t>effective</w:t>
      </w:r>
      <w:r>
        <w:t xml:space="preserve"> for older adults.</w:t>
      </w:r>
    </w:p>
    <w:p w14:paraId="639D5538" w14:textId="0DE3C0DF" w:rsidR="00646664" w:rsidRDefault="00646664" w:rsidP="002475CB">
      <w:pPr>
        <w:pStyle w:val="Heading1"/>
      </w:pPr>
      <w:bookmarkStart w:id="213" w:name="_Toc530598139"/>
      <w:bookmarkStart w:id="214" w:name="_Toc530660492"/>
      <w:bookmarkStart w:id="215" w:name="_Toc3538093"/>
      <w:r w:rsidRPr="00CB1A70">
        <w:lastRenderedPageBreak/>
        <w:t>NHS Service Provision Panorama</w:t>
      </w:r>
      <w:r w:rsidR="00314EC2">
        <w:t xml:space="preserve"> Part 3 (Meta-Analysis of NHS e</w:t>
      </w:r>
      <w:r w:rsidR="00314EC2">
        <w:noBreakHyphen/>
      </w:r>
      <w:r w:rsidRPr="00CB1A70">
        <w:t>therapies)</w:t>
      </w:r>
      <w:bookmarkEnd w:id="213"/>
      <w:bookmarkEnd w:id="214"/>
      <w:bookmarkEnd w:id="215"/>
    </w:p>
    <w:p w14:paraId="2078CC7D" w14:textId="77777777" w:rsidR="00F1508E" w:rsidRPr="008906D6" w:rsidRDefault="00F1508E" w:rsidP="008906D6">
      <w:pPr>
        <w:pStyle w:val="Heading2"/>
      </w:pPr>
      <w:bookmarkStart w:id="216" w:name="_Toc530660493"/>
      <w:bookmarkStart w:id="217" w:name="_Toc3538094"/>
      <w:r w:rsidRPr="008906D6">
        <w:t>Introduction</w:t>
      </w:r>
      <w:bookmarkEnd w:id="216"/>
      <w:bookmarkEnd w:id="217"/>
    </w:p>
    <w:p w14:paraId="55499E84" w14:textId="689E9D31" w:rsidR="00F1508E" w:rsidRDefault="00F1508E" w:rsidP="00F1508E">
      <w:r w:rsidRPr="00BD7539">
        <w:t xml:space="preserve">Mental health problems are one of the main causes of overall disease burden worldwide </w:t>
      </w:r>
      <w:r w:rsidRPr="00BD7539">
        <w:fldChar w:fldCharType="begin" w:fldLock="1"/>
      </w:r>
      <w:r>
        <w:instrText>ADDIN CSL_CITATION {"citationItems":[{"id":"ITEM-1","itemData":{"DOI":"10.1016/S0140-6736(15)60692-4","ISSN":"1474-547X","PMID":"26063472","abstract":"BACKGROUND Up-to-date evidence about levels and trends in disease and injury incidence, prevalence, and years lived with disability (YLDs) is an essential input into global, regional, and national health policies. In the Global Burden of Disease Study 2013 (GBD 2013), we estimated these quantities for acute and chronic diseases and injuries for 188 countries between 1990 and 2013. METHODS Estimates were calculated for disease and injury incidence, prevalence, and YLDs using GBD 2010 methods with some important refinements. Results for incidence of acute disorders and prevalence of chronic disorders are new additions to the analysis. Key improvements include expansion to the cause and sequelae list, updated systematic reviews, use of detailed injury codes, improvements to the Bayesian meta-regression method (DisMod-MR), and use of severity splits for various causes. An index of data representativeness, showing data availability, was calculated for each cause and impairment during three periods globally and at the country level for 2013. In total, 35 620 distinct sources of data were used and documented to calculated estimates for 301 diseases and injuries and 2337 sequelae. The comorbidity simulation provides estimates for the number of sequelae, concurrently, by individuals by country, year, age, and sex. Disability weights were updated with the addition of new population-based survey data from four countries. FINDINGS Disease and injury were highly prevalent; only a small fraction of individuals had no sequelae. Comorbidity rose substantially with age and in absolute terms from 1990 to 2013. Incidence of acute sequelae were predominantly infectious diseases and short-term injuries, with over 2 billion cases of upper respiratory infections and diarrhoeal disease episodes in 2013, with the notable exception of tooth pain due to permanent caries with more than 200 million incident cases in 2013. Conversely, leading chronic sequelae were largely attributable to non-communicable diseases, with prevalence estimates for asymptomatic permanent caries and tension-type headache of 2·4 billion and 1·6 billion, respectively. The distribution of the number of sequelae in populations varied widely across regions, with an expected relation between age and disease prevalence. YLDs for both sexes increased from 537·6 million in 1990 to 764·8 million in 2013 due to population growth and ageing, whereas the age-standardised rate decreased little from 114·87 per 1000 peop…","author":[{"dropping-particle":"","family":"Vos, T.","given":"et al.","non-dropping-particle":"","parse-names":false,"suffix":""}],"container-title":"Lancet (London, England)","id":"ITEM-1","issue":"9995","issued":{"date-parts":[["2013","8","22"]]},"page":"743-800","publisher":"Elsevier","title":"Global, regional, and national incidence, prevalence, and years lived with disability for 301 acute and chronic diseases and injuries in 188 countries, 1990-2013: a systematic analysis for the Global Burden of Disease Study 2013.","type":"article-journal","volume":"386"},"uris":["http://www.mendeley.com/documents/?uuid=deb105c2-4748-32ab-aa6f-3843da884b77"]}],"mendeley":{"formattedCitation":"(Vos, T., 2013)","manualFormatting":"(Vos, 2013)","plainTextFormattedCitation":"(Vos, T., 2013)","previouslyFormattedCitation":"(Vos, T., 2013)"},"properties":{"noteIndex":0},"schema":"https://github.com/citation-style-language/schema/raw/master/csl-citation.json"}</w:instrText>
      </w:r>
      <w:r w:rsidRPr="00BD7539">
        <w:fldChar w:fldCharType="separate"/>
      </w:r>
      <w:r w:rsidRPr="00BD7539">
        <w:rPr>
          <w:noProof/>
        </w:rPr>
        <w:t>(Vos, 2013)</w:t>
      </w:r>
      <w:r w:rsidRPr="00BD7539">
        <w:fldChar w:fldCharType="end"/>
      </w:r>
      <w:r w:rsidRPr="00BD7539">
        <w:t>.  It is estimated that 1 in 6 people currently in the U</w:t>
      </w:r>
      <w:r>
        <w:t xml:space="preserve">nited </w:t>
      </w:r>
      <w:r w:rsidRPr="00BD7539">
        <w:t>K</w:t>
      </w:r>
      <w:r>
        <w:t>ingdom (UK)</w:t>
      </w:r>
      <w:r w:rsidRPr="00BD7539">
        <w:t xml:space="preserve"> are experiencing the symptoms of a common mental health problem such as anxiety or depression </w:t>
      </w:r>
      <w:r w:rsidRPr="00BD7539">
        <w:fldChar w:fldCharType="begin" w:fldLock="1"/>
      </w:r>
      <w:r>
        <w:instrText>ADDIN CSL_CITATION {"citationItems":[{"id":"ITEM-1","itemData":{"ISBN":"9780470384725 0470384727 9780470384947 0470384948","abstract":"The Adult Psychiatric Morbidity Survey (APMS) provides England’s National Statistics for the monitoring of mental illness and treatment access in the household population. The data series is unique and valuable because: • A range of mental disorders, substance disorders and self-harm behaviours is covered. • High quality screening and assessment tools are used and undiagnosed conditions identified. One adult in six had a common mental disorder (CMD): about one woman in five and one man in eight. Since 2000, overall rates of CMD in England steadily increased in women and remained largely stable in men","author":[{"dropping-particle":"","family":"McManus","given":"Sally","non-dropping-particle":"","parse-names":false,"suffix":""},{"dropping-particle":"","family":"Bebbington","given":"P","non-dropping-particle":"","parse-names":false,"suffix":""},{"dropping-particle":"","family":"Jenkins","given":"R","non-dropping-particle":"","parse-names":false,"suffix":""},{"dropping-particle":"","family":"Brugha","given":"T","non-dropping-particle":"","parse-names":false,"suffix":""}],"id":"ITEM-1","issued":{"date-parts":[["2016"]]},"number-of-pages":"1-405","title":"Mental health and wellbeing in England: Adult Psychiatric Morbidity Survey 2014","type":"report"},"uris":["http://www.mendeley.com/documents/?uuid=decee828-6bc1-3960-8a38-9ab7a8c601e8"]}],"mendeley":{"formattedCitation":"(McManus &lt;i&gt;et al.&lt;/i&gt;, 2016)","plainTextFormattedCitation":"(McManus et al., 2016)","previouslyFormattedCitation":"(McManus &lt;i&gt;et al.&lt;/i&gt;, 2016)"},"properties":{"noteIndex":0},"schema":"https://github.com/citation-style-language/schema/raw/master/csl-citation.json"}</w:instrText>
      </w:r>
      <w:r w:rsidRPr="00BD7539">
        <w:fldChar w:fldCharType="separate"/>
      </w:r>
      <w:r w:rsidRPr="00D43C5A">
        <w:rPr>
          <w:noProof/>
        </w:rPr>
        <w:t xml:space="preserve">(McManus </w:t>
      </w:r>
      <w:r w:rsidRPr="00D43C5A">
        <w:rPr>
          <w:i/>
          <w:noProof/>
        </w:rPr>
        <w:t>et al.</w:t>
      </w:r>
      <w:r w:rsidRPr="00D43C5A">
        <w:rPr>
          <w:noProof/>
        </w:rPr>
        <w:t>, 2016)</w:t>
      </w:r>
      <w:r w:rsidRPr="00BD7539">
        <w:fldChar w:fldCharType="end"/>
      </w:r>
      <w:r w:rsidRPr="00BD7539">
        <w:t xml:space="preserve">.  </w:t>
      </w:r>
      <w:r>
        <w:t xml:space="preserve">Depression and anxiety have been found in the UK to be highest among those aged between 50- 59 and those aged 80 years or older </w:t>
      </w:r>
      <w:r>
        <w:fldChar w:fldCharType="begin" w:fldLock="1"/>
      </w:r>
      <w:r>
        <w:instrText>ADDIN CSL_CITATION {"citationItems":[{"id":"ITEM-1","itemData":{"abstract":"This article analyses by age and other variables two of the current measures of national well-being: 'satisfaction with health' and 'evidence of mental ill-health (GHQ)' and their relationship to well-being. There is also contextual information about other variables related to health which may affect an individual's well-being. The data used are from Understanding Society, the UK Household Longitudinal Study (UKHLS) 2010–11.","author":[{"dropping-particle":"","family":"Beaumont","given":"Jen.","non-dropping-particle":"","parse-names":false,"suffix":""},{"dropping-particle":"","family":"Lofts","given":"Helen.","non-dropping-particle":"","parse-names":false,"suffix":""}],"id":"ITEM-1","issue":"June","issued":{"date-parts":[["2013"]]},"number-of-pages":"1-14","title":"Measuring National Well-being - Health, 2013","type":"report"},"uris":["http://www.mendeley.com/documents/?uuid=a1b7a4bb-a60f-35e6-955e-24bd4a739182"]}],"mendeley":{"formattedCitation":"(Beaumont and Lofts, 2013)","plainTextFormattedCitation":"(Beaumont and Lofts, 2013)","previouslyFormattedCitation":"(Beaumont and Lofts, 2013)"},"properties":{"noteIndex":0},"schema":"https://github.com/citation-style-language/schema/raw/master/csl-citation.json"}</w:instrText>
      </w:r>
      <w:r>
        <w:fldChar w:fldCharType="separate"/>
      </w:r>
      <w:r w:rsidRPr="00D43C5A">
        <w:rPr>
          <w:noProof/>
        </w:rPr>
        <w:t>(Beaumont and Lofts, 2013)</w:t>
      </w:r>
      <w:r>
        <w:fldChar w:fldCharType="end"/>
      </w:r>
      <w:r>
        <w:t xml:space="preserve">.  </w:t>
      </w:r>
      <w:r w:rsidRPr="00BD7539">
        <w:t>Due to attitudes to</w:t>
      </w:r>
      <w:r>
        <w:t>wards the</w:t>
      </w:r>
      <w:r w:rsidRPr="00BD7539">
        <w:t xml:space="preserve"> existence and treatment of mental health problems shifting </w:t>
      </w:r>
      <w:r>
        <w:t>in a positive direction,</w:t>
      </w:r>
      <w:r w:rsidRPr="00BD7539">
        <w:t xml:space="preserve"> people are far more likely to seek a psychological solution to their problems </w:t>
      </w:r>
      <w:r w:rsidRPr="0043663D">
        <w:fldChar w:fldCharType="begin" w:fldLock="1"/>
      </w:r>
      <w:r w:rsidRPr="0043663D">
        <w:instrText>ADDIN CSL_CITATION {"citationItems":[{"id":"ITEM-1","itemData":{"DOI":"10.1016/j.brat.2015.04.006","ISSN":"00057967","PMID":"25898342","abstract":"To maximize accessibility to evidence-based treatments for posttraumatic stress disorder (PTSD), the United States Department of Veterans Affairs (VA) has widely disseminated cognitive processing therapy (CPT) and prolonged exposure (PE) therapy to VA clinicians. However, there is a lack of research on veteran preferences when presented with a range of psychotherapy and medication options. This study uses a mixed-method approach to explore veteran satisfaction with a VA PTSD specialty clinic pre-treatment orientation group, which provides education about available PTSD treatment options. This study also tested differences in treatment preference in response to the group. Participants were 183 US veterans. Most were White, male, and referred to the clinic by a VA provider. Results indicated high satisfaction with the group in providing an overview of services and helping to inform treatment choice. Most preferred psychotherapy plus medications (63.4%) or psychotherapy only (30.1%). Participants endorsed a significantly stronger preference for CPT versus other psychotherapies. PE was significantly preferred over nightmare resolution therapy and present-centered therapy, and both PE and cognitive-behavioral conjoint therapy were preferred over virtual reality exposure therapy. Results suggest that by informing consumers about evidence-based treatments for PTSD, pre-treatment educational approaches may increase consumer demand for these treatment options.","author":[{"dropping-particle":"","family":"Schumm","given":"Jeremiah A.","non-dropping-particle":"","parse-names":false,"suffix":""},{"dropping-particle":"","family":"Walter","given":"Kristen H.","non-dropping-particle":"","parse-names":false,"suffix":""},{"dropping-particle":"","family":"Bartone","given":"Anne S.","non-dropping-particle":"","parse-names":false,"suffix":""},{"dropping-particle":"","family":"Chard","given":"Kathleen M.","non-dropping-particle":"","parse-names":false,"suffix":""}],"container-title":"Behaviour Research and Therapy","id":"ITEM-1","issued":{"date-parts":[["2015","6"]]},"page":"75-82","title":"Veteran satisfaction and treatment preferences in response to a posttraumatic stress disorder specialty clinic orientation group","type":"article-journal","volume":"69"},"uris":["http://www.mendeley.com/documents/?uuid=b9ef01eb-6b68-3bcf-aea6-7d739f8137c7"]}],"mendeley":{"formattedCitation":"(Schumm &lt;i&gt;et al.&lt;/i&gt;, 2015)","plainTextFormattedCitation":"(Schumm et al., 2015)","previouslyFormattedCitation":"(Schumm &lt;i&gt;et al.&lt;/i&gt;, 2015)"},"properties":{"noteIndex":0},"schema":"https://github.com/citation-style-language/schema/raw/master/csl-citation.json"}</w:instrText>
      </w:r>
      <w:r w:rsidRPr="0043663D">
        <w:fldChar w:fldCharType="separate"/>
      </w:r>
      <w:r w:rsidRPr="0043663D">
        <w:rPr>
          <w:noProof/>
        </w:rPr>
        <w:t xml:space="preserve">(Schumm </w:t>
      </w:r>
      <w:r w:rsidRPr="0043663D">
        <w:rPr>
          <w:i/>
          <w:noProof/>
        </w:rPr>
        <w:t>et al.</w:t>
      </w:r>
      <w:r w:rsidRPr="0043663D">
        <w:rPr>
          <w:noProof/>
        </w:rPr>
        <w:t>, 2015)</w:t>
      </w:r>
      <w:r w:rsidRPr="0043663D">
        <w:fldChar w:fldCharType="end"/>
      </w:r>
      <w:r w:rsidRPr="0043663D">
        <w:t>.</w:t>
      </w:r>
      <w:r w:rsidRPr="00BD7539">
        <w:t xml:space="preserve"> </w:t>
      </w:r>
      <w:r w:rsidR="004525DB">
        <w:t xml:space="preserve"> </w:t>
      </w:r>
      <w:r w:rsidRPr="00BD7539">
        <w:t xml:space="preserve">Indeed, there is meta-analytic evidence that people consistently prefer psychological interventions to medication </w:t>
      </w:r>
      <w:r w:rsidRPr="00B422D4">
        <w:fldChar w:fldCharType="begin" w:fldLock="1"/>
      </w:r>
      <w:r>
        <w:instrText>ADDIN CSL_CITATION {"citationItems":[{"id":"ITEM-1","itemData":{"DOI":"10.4088/JCP.12r07757","ISSN":"0160-6689","PMID":"23842011","abstract":"OBJECTIVE Evidence-based practice involves the consideration of efficacy and effectiveness, clinical expertise, and patient preference in treatment selection. However, patient preference for psychiatric treatment has been understudied. The aim of this meta-analytic review was to provide an estimate of the proportion of patients preferring psychological treatment relative to medication for psychiatric disorders. DATA SOURCES A literature search was conducted using PubMed, PsycINFO, and the Cochrane Collaboration library through August 2011 for studies written in English that assessed adult patient preferences for the treatment of psychiatric disorders. The following search terms and subject headings were used in combination: patient preference, consumer preference, therapeutics, psychotherapy, drug therapy, mental disorders, depression, anxiety, insomnia, bipolar disorder, schizophrenia, substance-related disorder, eating disorder, and personality disorder. In addition, the reference sections of identified articles were examined to locate any additional articles not captured by this search. STUDY SELECTION Studies that assessed preferred type of treatment and included at least 1 psychological treatment and 1 pharmacologic treatment were included. Of the 644 articles identified, 34 met criteria for inclusion. DATA EXTRACTION Authors extracted relevant data including the proportion of participants reporting preference for psychological or pharmacologic treatment. RESULTS The proportion of adult patients preferring psychological treatment was 0.75 (95% CI, 0.69-0.80), which was significantly higher than equivalent preference (ie, higher than 0.50; P &lt; .001). Sensitivity analyses suggested that younger patients (P = .05) and women (P &lt; .01) were significantly more likely to choose psychological treatment. A preference for psychological treatment was consistently evident in both treatment-seeking and unselected (ie, non-treatment-seeking) samples (P &lt; .001 for both) but was somewhat stronger for unselected samples. CONCLUSIONS Aggregation of patient preferences across diverse settings yielded a significant 3-fold preference for psychological treatment. Given evidence for enhanced outcomes among those receiving their preferred psychiatric treatment and the trends for decreasing utilization of psychotherapy, strategies to maximize the linkage of patients to preferred care are needed.","author":[{"dropping-particle":"","family":"McHugh","given":"R. Kathryn","non-dropping-particle":"","parse-names":false,"suffix":""},{"dropping-particle":"","family":"Whitton","given":"Sarah W.","non-dropping-particle":"","parse-names":false,"suffix":""},{"dropping-particle":"","family":"Peckham","given":"Andrew D.","non-dropping-particle":"","parse-names":false,"suffix":""},{"dropping-particle":"","family":"Welge","given":"Jeffrey A.","non-dropping-particle":"","parse-names":false,"suffix":""},{"dropping-particle":"","family":"Otto","given":"Michael W.","non-dropping-particle":"","parse-names":false,"suffix":""}],"container-title":"The Journal of Clinical Psychiatry","id":"ITEM-1","issue":"06","issued":{"date-parts":[["2013","6","15"]]},"page":"595-602","title":"Patient Preference for Psychological vs Pharmacologic Treatment of Psychiatric Disorders","type":"article-journal","volume":"74"},"uris":["http://www.mendeley.com/documents/?uuid=3b2dfdde-06ca-3f1b-9755-cb2a5ab65364"]}],"mendeley":{"formattedCitation":"(McHugh &lt;i&gt;et al.&lt;/i&gt;, 2013)","plainTextFormattedCitation":"(McHugh et al., 2013)","previouslyFormattedCitation":"(McHugh &lt;i&gt;et al.&lt;/i&gt;, 2013)"},"properties":{"noteIndex":0},"schema":"https://github.com/citation-style-language/schema/raw/master/csl-citation.json"}</w:instrText>
      </w:r>
      <w:r w:rsidRPr="00B422D4">
        <w:fldChar w:fldCharType="separate"/>
      </w:r>
      <w:r w:rsidRPr="00B422D4">
        <w:rPr>
          <w:noProof/>
        </w:rPr>
        <w:t xml:space="preserve">(McHugh </w:t>
      </w:r>
      <w:r w:rsidRPr="00B422D4">
        <w:rPr>
          <w:i/>
          <w:noProof/>
        </w:rPr>
        <w:t>et al.</w:t>
      </w:r>
      <w:r w:rsidRPr="00B422D4">
        <w:rPr>
          <w:noProof/>
        </w:rPr>
        <w:t>, 2013)</w:t>
      </w:r>
      <w:r w:rsidRPr="00B422D4">
        <w:fldChar w:fldCharType="end"/>
      </w:r>
      <w:r w:rsidRPr="00BD7539">
        <w:t xml:space="preserve">.  </w:t>
      </w:r>
      <w:r>
        <w:t>Therefore,</w:t>
      </w:r>
      <w:r w:rsidRPr="00640C3A">
        <w:t xml:space="preserve"> if </w:t>
      </w:r>
      <w:r>
        <w:t xml:space="preserve">point prevalence </w:t>
      </w:r>
      <w:r w:rsidRPr="00640C3A">
        <w:t xml:space="preserve">rates continue to </w:t>
      </w:r>
      <w:r>
        <w:t xml:space="preserve">remain stable, </w:t>
      </w:r>
      <w:r w:rsidRPr="00640C3A">
        <w:t>the older adult population continues to grow</w:t>
      </w:r>
      <w:r>
        <w:t xml:space="preserve"> and attitudes to psychological treatment have shifted</w:t>
      </w:r>
      <w:r w:rsidRPr="00640C3A">
        <w:t xml:space="preserve">, this </w:t>
      </w:r>
      <w:r>
        <w:t>will</w:t>
      </w:r>
      <w:r w:rsidRPr="00640C3A">
        <w:t xml:space="preserve"> result in increased demand for </w:t>
      </w:r>
      <w:r>
        <w:t xml:space="preserve">psychological </w:t>
      </w:r>
      <w:r w:rsidRPr="00640C3A">
        <w:t>treatment for mental health issues</w:t>
      </w:r>
      <w:r>
        <w:t xml:space="preserve"> </w:t>
      </w:r>
      <w:r>
        <w:fldChar w:fldCharType="begin" w:fldLock="1"/>
      </w:r>
      <w:r>
        <w:instrText>ADDIN CSL_CITATION {"citationItems":[{"id":"ITEM-1","itemData":{"DOI":"10.1037/a0017215","ISBN":"0735-7028; 1939-1323","ISSN":"1939-1323","abstract":"People are living longer, and in better health, than in any prior point in history, with far-reaching but as yet underrecognized implications for mental health professionals. This phenomenon affects both the developed and the developing world. With greater numbers of older people, mental health professionals will need to develop greater awareness, understanding, and appreciation of gerontology to deliver optimally effective psychotherapy with this population. The nature of psychological issues encountered in clinical practice will also change—for example, intergenerational issues among blended families, increased retirement and leisure time, and expectations of greater health and productivity in later life from baby boomer cohorts. These issues are important for mental health professionals to recognize, as the increased sophistication of the baby boomer generation in terms of health care will lead to higher expectations of mental health care. The authors have chosen to discuss the implications of an ageing population with reference to a cognitive–behavioral perspective, but the issues raised here and practical suggestions contained within this article are not restricted to practitioners of Cognitive–Behavior Therapy. (PsycINFO Database Record (c) 2013 APA, all rights reserved). (journal abstract)","author":[{"dropping-particle":"","family":"Laidlaw","given":"Ken","non-dropping-particle":"","parse-names":false,"suffix":""},{"dropping-particle":"","family":"Pachana","given":"Nancy A.","non-dropping-particle":"","parse-names":false,"suffix":""}],"container-title":"Professional Psychology: Research and Practice","id":"ITEM-1","issue":"6","issued":{"date-parts":[["2009"]]},"page":"601-608","title":"Aging, mental health, and demographic change: Challenges for psychotherapists.","type":"article-journal","volume":"40"},"uris":["http://www.mendeley.com/documents/?uuid=de814912-9453-4d81-b7d3-6445fa9db84a"]}],"mendeley":{"formattedCitation":"(Laidlaw and Pachana, 2009)","plainTextFormattedCitation":"(Laidlaw and Pachana, 2009)","previouslyFormattedCitation":"(Laidlaw and Pachana, 2009)"},"properties":{"noteIndex":0},"schema":"https://github.com/citation-style-language/schema/raw/master/csl-citation.json"}</w:instrText>
      </w:r>
      <w:r>
        <w:fldChar w:fldCharType="separate"/>
      </w:r>
      <w:r w:rsidRPr="00D43C5A">
        <w:rPr>
          <w:noProof/>
        </w:rPr>
        <w:t>(Laidlaw and Pachana, 2009)</w:t>
      </w:r>
      <w:r>
        <w:fldChar w:fldCharType="end"/>
      </w:r>
      <w:r>
        <w:t>.</w:t>
      </w:r>
    </w:p>
    <w:p w14:paraId="04531642" w14:textId="72156CCF" w:rsidR="00F1508E" w:rsidRDefault="00F1508E" w:rsidP="00F1508E">
      <w:pPr>
        <w:rPr>
          <w:rFonts w:cs="Arial"/>
          <w:color w:val="231F20"/>
        </w:rPr>
      </w:pPr>
      <w:r w:rsidRPr="00BD7539">
        <w:t>Due to this increased demand, mental health services have tried to ensure safety, satisfaction and rapid access to evidence-based interventions through changing their organisational processes, personnel and styles of intervention</w:t>
      </w:r>
      <w:r>
        <w:t xml:space="preserve"> </w:t>
      </w:r>
      <w:r>
        <w:fldChar w:fldCharType="begin" w:fldLock="1"/>
      </w:r>
      <w:r>
        <w:instrText>ADDIN CSL_CITATION {"citationItems":[{"id":"ITEM-1","itemData":{"DOI":"10.1016/J.JAD.2014.08.030","ISSN":"0165-0327","abstract":"BACKGROUND\nStepped care service delivery models involve treatments that become increasingly intense through successive steps, with patients re-assigned via pre-defined decision criteria. This article reviews the clinical effectiveness of stepped care systems for depression in working age adults. \n\nMETHODS\nSystematic literature review of quantitative clinical outcome evidence comprising 14 controlled and uncontrolled studies meeting specified criteria. Principal outcomes were (a) recovery rates, defined as patients no longer meeting clinical cut-off criteria for the specific outcome measure and (b) treatment response rates, defined as a 50% decrease in outcome measure score. \n\nRESULTS\nStepped care systems had recovery rates ranging predominantly between 40% and 60% and response rates approximating 60%. Studies comparing stepped care with usual/enhanced usual care tended to find significant differences favouring stepped care. The median recovery odds ratio was 1.31 (interquartile intervals of 1.05 and 1.66; k=7 studies). The median comparative Cohen׳s d effect size estimate was 0.41 (interquartile intervals 0.25 and 0.45; k=5 studies). \n\nLIMITATIONS\nThe inclusion of uncontrolled studies could be seen as reducing the overall quality of evidence and a meta-analysis was not included due to limitations with the available data. \n\nCONCLUSIONS\nEvidence suggested that stepped care interventions for depression are at least as effective as usual care. However, the clinical and organisational superiority of stepped care is yet to be scientifically verified. Differential benefits of stepped care may ultimately depend on service quality. Further research investigating and comparing the specific components and configurations of stepped care interventions are indicated.","author":[{"dropping-particle":"","family":"Firth","given":"Nick","non-dropping-particle":"","parse-names":false,"suffix":""},{"dropping-particle":"","family":"Barkham","given":"Michael","non-dropping-particle":"","parse-names":false,"suffix":""},{"dropping-particle":"","family":"Kellett","given":"Stephen","non-dropping-particle":"","parse-names":false,"suffix":""}],"container-title":"Journal of Affective Disorders","id":"ITEM-1","issued":{"date-parts":[["2015","1","1"]]},"page":"119-130","publisher":"Elsevier","title":"The clinical effectiveness of stepped care systems for depression in working age adults: A systematic review","type":"article-journal","volume":"170"},"uris":["http://www.mendeley.com/documents/?uuid=6898c65e-cdf1-3f3f-a39b-a2395d48bfaa"]}],"mendeley":{"formattedCitation":"(Firth, Barkham and Kellett, 2015)","plainTextFormattedCitation":"(Firth, Barkham and Kellett, 2015)","previouslyFormattedCitation":"(Firth, Barkham and Kellett, 2015)"},"properties":{"noteIndex":0},"schema":"https://github.com/citation-style-language/schema/raw/master/csl-citation.json"}</w:instrText>
      </w:r>
      <w:r>
        <w:fldChar w:fldCharType="separate"/>
      </w:r>
      <w:r w:rsidRPr="00587DFB">
        <w:rPr>
          <w:noProof/>
        </w:rPr>
        <w:t>(Firth, Barkham and Kellett, 2015)</w:t>
      </w:r>
      <w:r>
        <w:fldChar w:fldCharType="end"/>
      </w:r>
      <w:r w:rsidRPr="00BD7539">
        <w:t>.  This has resulted</w:t>
      </w:r>
      <w:r>
        <w:t xml:space="preserve"> often </w:t>
      </w:r>
      <w:r w:rsidRPr="00BD7539">
        <w:t xml:space="preserve">in the application of stepped-care service delivery models in which accessible, brief, effective and low intensity </w:t>
      </w:r>
      <w:r>
        <w:t xml:space="preserve">(LI) </w:t>
      </w:r>
      <w:r w:rsidRPr="00BD7539">
        <w:t xml:space="preserve">interventions are offered as the first line of </w:t>
      </w:r>
      <w:r w:rsidRPr="00B829B7">
        <w:t xml:space="preserve">intervention </w:t>
      </w:r>
      <w:r w:rsidRPr="00B829B7">
        <w:fldChar w:fldCharType="begin" w:fldLock="1"/>
      </w:r>
      <w:r>
        <w:instrText>ADDIN CSL_CITATION {"citationItems":[{"id":"ITEM-1","itemData":{"DOI":"10.1192/bjp.186.1.11","ISSN":"0007-1250","PMID":"15630118","abstract":"BACKGROUND There is a significant gap between the demand for psychological therapy services and the available supply. One proposal to overcome this problem is to increase efficiency of provision through the adoption of briefer 'minimal interventions' within stepped care models. AIMS To examine the theoretical underpinnings of stepped care, together with the practicalities of the adoption of this system of care. METHOD Narrative literature review. RESULTS The potential clinical and economic benefits of stepped care are dependent upon underlying assumptions of equivalence in terms of clinical outcomes, efficiency in terms of resource use and costs, and acceptability of 'minimal interventions' to patients and therapists. Illustrative studies of these issues are considered. CONCLUSIONS Although psychological services might benefit from the adoption of the stepped care model, a substantial research agenda needs to be fulfilled before a judgement can be made as to whether stepped care might be an efficient method of delivering psychological services.","author":[{"dropping-particle":"","family":"Bower","given":"Peter","non-dropping-particle":"","parse-names":false,"suffix":""},{"dropping-particle":"","family":"Gilbody","given":"Simon","non-dropping-particle":"","parse-names":false,"suffix":""}],"container-title":"British Journal of Psychiatry","id":"ITEM-1","issue":"01","issued":{"date-parts":[["2005","1","2"]]},"page":"11-17","title":"Stepped care in psychological therapies: access, effectiveness and efficiency","type":"article-journal","volume":"186"},"uris":["http://www.mendeley.com/documents/?uuid=702d7a9f-774a-3963-886b-8cd0ebc0977e"]}],"mendeley":{"formattedCitation":"(Bower and Gilbody, 2005)","plainTextFormattedCitation":"(Bower and Gilbody, 2005)","previouslyFormattedCitation":"(Bower and Gilbody, 2005)"},"properties":{"noteIndex":0},"schema":"https://github.com/citation-style-language/schema/raw/master/csl-citation.json"}</w:instrText>
      </w:r>
      <w:r w:rsidRPr="00B829B7">
        <w:fldChar w:fldCharType="separate"/>
      </w:r>
      <w:r w:rsidRPr="00B829B7">
        <w:rPr>
          <w:noProof/>
        </w:rPr>
        <w:t>(Bower and Gilbody, 2005)</w:t>
      </w:r>
      <w:r w:rsidRPr="00B829B7">
        <w:fldChar w:fldCharType="end"/>
      </w:r>
      <w:r w:rsidRPr="00BD7539">
        <w:t xml:space="preserve">.  </w:t>
      </w:r>
      <w:r>
        <w:rPr>
          <w:rFonts w:eastAsia="Times New Roman" w:cs="Arial"/>
          <w:lang w:eastAsia="en-GB"/>
        </w:rPr>
        <w:t xml:space="preserve">LI interventions offer efficiency savings to clinical services due to being brief (i.e. a low number of short sessions), </w:t>
      </w:r>
      <w:r w:rsidRPr="00BD7539">
        <w:rPr>
          <w:rFonts w:eastAsia="Times New Roman" w:cs="Arial"/>
          <w:lang w:eastAsia="en-GB"/>
        </w:rPr>
        <w:t>low-cost</w:t>
      </w:r>
      <w:r>
        <w:rPr>
          <w:rFonts w:eastAsia="Times New Roman" w:cs="Arial"/>
          <w:lang w:eastAsia="en-GB"/>
        </w:rPr>
        <w:t xml:space="preserve"> (i.e. either pure self-help or self-help facilitated by non-professionals)</w:t>
      </w:r>
      <w:r w:rsidRPr="00BD7539">
        <w:rPr>
          <w:rFonts w:eastAsia="Times New Roman" w:cs="Arial"/>
          <w:lang w:eastAsia="en-GB"/>
        </w:rPr>
        <w:t>, flexible (</w:t>
      </w:r>
      <w:r>
        <w:rPr>
          <w:rFonts w:eastAsia="Times New Roman" w:cs="Arial"/>
          <w:lang w:eastAsia="en-GB"/>
        </w:rPr>
        <w:t xml:space="preserve">i.e. a variety of delivery methods including the </w:t>
      </w:r>
      <w:r w:rsidRPr="00BD7539">
        <w:rPr>
          <w:rFonts w:eastAsia="Times New Roman" w:cs="Arial"/>
          <w:lang w:eastAsia="en-GB"/>
        </w:rPr>
        <w:t>internet</w:t>
      </w:r>
      <w:r>
        <w:rPr>
          <w:rFonts w:eastAsia="Times New Roman" w:cs="Arial"/>
          <w:lang w:eastAsia="en-GB"/>
        </w:rPr>
        <w:t xml:space="preserve"> and </w:t>
      </w:r>
      <w:r w:rsidRPr="00BD7539">
        <w:rPr>
          <w:rFonts w:eastAsia="Times New Roman" w:cs="Arial"/>
          <w:lang w:eastAsia="en-GB"/>
        </w:rPr>
        <w:t>telephone</w:t>
      </w:r>
      <w:r>
        <w:rPr>
          <w:rFonts w:eastAsia="Times New Roman" w:cs="Arial"/>
          <w:lang w:eastAsia="en-GB"/>
        </w:rPr>
        <w:t xml:space="preserve">) and accessible (i.e. low wait times). </w:t>
      </w:r>
      <w:r w:rsidRPr="00BD7539">
        <w:rPr>
          <w:rFonts w:eastAsia="Times New Roman" w:cs="Arial"/>
          <w:lang w:eastAsia="en-GB"/>
        </w:rPr>
        <w:t xml:space="preserve"> </w:t>
      </w:r>
      <w:r>
        <w:rPr>
          <w:rFonts w:cs="Arial"/>
          <w:color w:val="231F20"/>
        </w:rPr>
        <w:t xml:space="preserve">There is now </w:t>
      </w:r>
      <w:r w:rsidRPr="004B1D42">
        <w:rPr>
          <w:rFonts w:cs="Arial"/>
          <w:color w:val="231F20"/>
        </w:rPr>
        <w:t>evidence from over 50 co</w:t>
      </w:r>
      <w:r>
        <w:rPr>
          <w:rFonts w:cs="Arial"/>
          <w:color w:val="231F20"/>
        </w:rPr>
        <w:t xml:space="preserve">ntrolled trials showing that LI </w:t>
      </w:r>
      <w:r w:rsidRPr="004B1D42">
        <w:rPr>
          <w:rFonts w:cs="Arial"/>
          <w:color w:val="231F20"/>
        </w:rPr>
        <w:t>interventions are efficacious</w:t>
      </w:r>
      <w:r>
        <w:rPr>
          <w:rFonts w:cs="Arial"/>
          <w:color w:val="231F20"/>
        </w:rPr>
        <w:t xml:space="preserve"> in relieving the </w:t>
      </w:r>
      <w:r w:rsidRPr="004B1D42">
        <w:rPr>
          <w:rFonts w:cs="Arial"/>
          <w:color w:val="231F20"/>
        </w:rPr>
        <w:t>acute-phase symptoms of depression and anxiety disorders and in</w:t>
      </w:r>
      <w:r>
        <w:rPr>
          <w:rFonts w:cs="Arial"/>
          <w:color w:val="231F20"/>
        </w:rPr>
        <w:t xml:space="preserve"> </w:t>
      </w:r>
      <w:r w:rsidRPr="004B1D42">
        <w:rPr>
          <w:rFonts w:cs="Arial"/>
          <w:color w:val="231F20"/>
        </w:rPr>
        <w:t>preventing</w:t>
      </w:r>
      <w:r>
        <w:rPr>
          <w:rFonts w:cs="Arial"/>
          <w:color w:val="231F20"/>
        </w:rPr>
        <w:t xml:space="preserve"> (</w:t>
      </w:r>
      <w:r w:rsidRPr="004B1D42">
        <w:rPr>
          <w:rFonts w:cs="Arial"/>
          <w:color w:val="231F20"/>
        </w:rPr>
        <w:t xml:space="preserve">or at least </w:t>
      </w:r>
      <w:r>
        <w:rPr>
          <w:rFonts w:cs="Arial"/>
          <w:color w:val="231F20"/>
        </w:rPr>
        <w:t xml:space="preserve">postponing) </w:t>
      </w:r>
      <w:r w:rsidRPr="004B1D42">
        <w:rPr>
          <w:rFonts w:cs="Arial"/>
          <w:color w:val="231F20"/>
        </w:rPr>
        <w:t>onset</w:t>
      </w:r>
      <w:r>
        <w:rPr>
          <w:rFonts w:cs="Arial"/>
          <w:color w:val="231F20"/>
        </w:rPr>
        <w:t xml:space="preserve"> </w:t>
      </w:r>
      <w:r>
        <w:rPr>
          <w:rFonts w:cs="Arial"/>
          <w:color w:val="231F20"/>
        </w:rPr>
        <w:fldChar w:fldCharType="begin" w:fldLock="1"/>
      </w:r>
      <w:r>
        <w:rPr>
          <w:rFonts w:cs="Arial"/>
          <w:color w:val="231F20"/>
        </w:rPr>
        <w:instrText>ADDIN CSL_CITATION {"citationItems":[{"id":"ITEM-1","itemData":{"DOI":"10.1192/bjp.2017.17","ISSN":"0007-1250","PMID":"29436327","abstract":"&lt;p&gt;Cognitive–behavioural therapy self-help offers an accessible and efficient way to treat common mental disorders. The evidence-based self-help movement has an important foothold in the healthcare arena. This article surveys the emergence of self-help at a particular social and historical junction, and summarises key lessons from experimental and practice-based studies.&lt;/p&gt;","author":[{"dropping-particle":"","family":"Delgadillo","given":"Jaime","non-dropping-particle":"","parse-names":false,"suffix":""}],"container-title":"The British Journal of Psychiatry","id":"ITEM-1","issue":"02","issued":{"date-parts":[["2018","2","1"]]},"page":"65-66","title":"Guided self-help in a brave new world","type":"article-journal","volume":"212"},"uris":["http://www.mendeley.com/documents/?uuid=59b3698b-6adc-3a9a-83bc-b23dd681edc9"]}],"mendeley":{"formattedCitation":"(Delgadillo, 2018)","plainTextFormattedCitation":"(Delgadillo, 2018)","previouslyFormattedCitation":"(Delgadillo, 2018)"},"properties":{"noteIndex":0},"schema":"https://github.com/citation-style-language/schema/raw/master/csl-citation.json"}</w:instrText>
      </w:r>
      <w:r>
        <w:rPr>
          <w:rFonts w:cs="Arial"/>
          <w:color w:val="231F20"/>
        </w:rPr>
        <w:fldChar w:fldCharType="separate"/>
      </w:r>
      <w:r w:rsidRPr="00B422D4">
        <w:rPr>
          <w:rFonts w:cs="Arial"/>
          <w:noProof/>
          <w:color w:val="231F20"/>
        </w:rPr>
        <w:t>(Delgadillo, 2018)</w:t>
      </w:r>
      <w:r>
        <w:rPr>
          <w:rFonts w:cs="Arial"/>
          <w:color w:val="231F20"/>
        </w:rPr>
        <w:fldChar w:fldCharType="end"/>
      </w:r>
      <w:r w:rsidRPr="004B1D42">
        <w:rPr>
          <w:rFonts w:cs="Arial"/>
          <w:color w:val="231F20"/>
        </w:rPr>
        <w:t>.</w:t>
      </w:r>
      <w:r>
        <w:rPr>
          <w:rFonts w:cs="Arial"/>
          <w:color w:val="231F20"/>
        </w:rPr>
        <w:t xml:space="preserve">  </w:t>
      </w:r>
      <w:r w:rsidRPr="000B6716">
        <w:rPr>
          <w:rFonts w:cs="Arial"/>
          <w:color w:val="231F20"/>
        </w:rPr>
        <w:t>The interventions delivered across all these LI trials have been ubiquitously grounded in cognitive behavioural theory, as that is seen the most readily adaptable model for LI adaptation due to its ‘here and now’ fo</w:t>
      </w:r>
      <w:r w:rsidRPr="00455124">
        <w:rPr>
          <w:rFonts w:cs="Arial"/>
          <w:color w:val="231F20"/>
        </w:rPr>
        <w:t xml:space="preserve">cus </w:t>
      </w:r>
      <w:r w:rsidRPr="00455124">
        <w:rPr>
          <w:rFonts w:cs="Arial"/>
          <w:color w:val="231F20"/>
        </w:rPr>
        <w:fldChar w:fldCharType="begin" w:fldLock="1"/>
      </w:r>
      <w:r>
        <w:rPr>
          <w:rFonts w:cs="Arial"/>
          <w:color w:val="231F20"/>
        </w:rPr>
        <w:instrText>ADDIN CSL_CITATION {"citationItems":[{"id":"ITEM-1","itemData":{"DOI":"10.1111/etap.12067","abstract":"Foreword This guide was produced following an Improving Access to Psychological Therapies (IAPT) Conference held at the Queens Hotel in Leeds in February 2009. The conference had been organised in response to feedback from services and those attending training courses expressing a need for expert guidance on the use of self-help materials given the wide range of different materials and media all purporting to offer helpful advice and information to people about a range of problems and disorders. A conference was organised with expert researchers and practitioners who had experience of developing self-help materials in order to discuss whether guidance should be forthcoming and in which form it should take. Rather than endorsing particular self-help materials that are available, the conference focused on attempting to derive a set of criteria by which both practitioners and people might be able to assess the utility and effectiveness of particular materials. It was agreed that these principles might provide the basis for a 'Good Practice Guide' about how to choose and use self-help materials.","author":[{"dropping-particle":"","family":"Turpin","given":"Graham","non-dropping-particle":"","parse-names":false,"suffix":""}],"id":"ITEM-1","issue":"March","issued":{"date-parts":[["2010"]]},"page":"1-39","title":"Good practice guidance on the use of self-help materials within IAPT services","type":"article-journal","volume":"March"},"uris":["http://www.mendeley.com/documents/?uuid=a5ce6a58-b237-448a-b522-8e7942169861"]}],"mendeley":{"formattedCitation":"(Turpin, 2010)","plainTextFormattedCitation":"(Turpin, 2010)","previouslyFormattedCitation":"(Turpin, 2010)"},"properties":{"noteIndex":0},"schema":"https://github.com/citation-style-language/schema/raw/master/csl-citation.json"}</w:instrText>
      </w:r>
      <w:r w:rsidRPr="00455124">
        <w:rPr>
          <w:rFonts w:cs="Arial"/>
          <w:color w:val="231F20"/>
        </w:rPr>
        <w:fldChar w:fldCharType="separate"/>
      </w:r>
      <w:r w:rsidRPr="00455124">
        <w:rPr>
          <w:rFonts w:cs="Arial"/>
          <w:noProof/>
          <w:color w:val="231F20"/>
        </w:rPr>
        <w:t>(Turpin, 2010)</w:t>
      </w:r>
      <w:r w:rsidRPr="00455124">
        <w:rPr>
          <w:rFonts w:cs="Arial"/>
          <w:color w:val="231F20"/>
        </w:rPr>
        <w:fldChar w:fldCharType="end"/>
      </w:r>
      <w:r w:rsidRPr="000B6716">
        <w:rPr>
          <w:rFonts w:cs="Arial"/>
          <w:color w:val="231F20"/>
        </w:rPr>
        <w:t>.</w:t>
      </w:r>
    </w:p>
    <w:p w14:paraId="02898F76" w14:textId="78E2F621" w:rsidR="00F1508E" w:rsidRDefault="00F1508E" w:rsidP="00F1508E">
      <w:pPr>
        <w:rPr>
          <w:rFonts w:ascii="AdvOT99ad3856" w:hAnsi="AdvOT99ad3856" w:cs="AdvOT99ad3856" w:hint="eastAsia"/>
          <w:sz w:val="13"/>
          <w:szCs w:val="13"/>
        </w:rPr>
      </w:pPr>
      <w:r>
        <w:t xml:space="preserve">Valid criticisms of the LI treatment evidence base include the over </w:t>
      </w:r>
      <w:r w:rsidRPr="00BE5F53">
        <w:t>employ</w:t>
      </w:r>
      <w:r>
        <w:t>ment of</w:t>
      </w:r>
      <w:r w:rsidRPr="00BE5F53">
        <w:t xml:space="preserve"> certain</w:t>
      </w:r>
      <w:r>
        <w:t xml:space="preserve"> </w:t>
      </w:r>
      <w:r w:rsidRPr="00BE5F53">
        <w:t xml:space="preserve">types of control groups (e.g. waitlist), </w:t>
      </w:r>
      <w:r>
        <w:t xml:space="preserve">high dropout, </w:t>
      </w:r>
      <w:r w:rsidRPr="00BE5F53">
        <w:t>inadequate concealment of</w:t>
      </w:r>
      <w:r>
        <w:t xml:space="preserve"> </w:t>
      </w:r>
      <w:r w:rsidRPr="00BE5F53">
        <w:t>random allocation and recruit</w:t>
      </w:r>
      <w:r>
        <w:t>ment of</w:t>
      </w:r>
      <w:r w:rsidRPr="00BE5F53">
        <w:t xml:space="preserve"> participants from </w:t>
      </w:r>
      <w:r>
        <w:t xml:space="preserve">the wider </w:t>
      </w:r>
      <w:r w:rsidRPr="00BE5F53">
        <w:t>community</w:t>
      </w:r>
      <w:r>
        <w:t xml:space="preserve"> via social media </w:t>
      </w:r>
      <w:r>
        <w:rPr>
          <w:rFonts w:cs="Arial"/>
          <w:color w:val="231F20"/>
        </w:rPr>
        <w:fldChar w:fldCharType="begin" w:fldLock="1"/>
      </w:r>
      <w:r>
        <w:rPr>
          <w:rFonts w:cs="Arial"/>
          <w:color w:val="231F20"/>
        </w:rPr>
        <w:instrText>ADDIN CSL_CITATION {"citationItems":[{"id":"ITEM-1","itemData":{"DOI":"10.1192/bjp.2017.17","ISSN":"0007-1250","PMID":"29436327","abstract":"&lt;p&gt;Cognitive–behavioural therapy self-help offers an accessible and efficient way to treat common mental disorders. The evidence-based self-help movement has an important foothold in the healthcare arena. This article surveys the emergence of self-help at a particular social and historical junction, and summarises key lessons from experimental and practice-based studies.&lt;/p&gt;","author":[{"dropping-particle":"","family":"Delgadillo","given":"Jaime","non-dropping-particle":"","parse-names":false,"suffix":""}],"container-title":"The British Journal of Psychiatry","id":"ITEM-1","issue":"02","issued":{"date-parts":[["2018","2","1"]]},"page":"65-66","title":"Guided self-help in a brave new world","type":"article-journal","volume":"212"},"uris":["http://www.mendeley.com/documents/?uuid=59b3698b-6adc-3a9a-83bc-b23dd681edc9"]}],"mendeley":{"formattedCitation":"(Delgadillo, 2018)","plainTextFormattedCitation":"(Delgadillo, 2018)","previouslyFormattedCitation":"(Delgadillo, 2018)"},"properties":{"noteIndex":0},"schema":"https://github.com/citation-style-language/schema/raw/master/csl-citation.json"}</w:instrText>
      </w:r>
      <w:r>
        <w:rPr>
          <w:rFonts w:cs="Arial"/>
          <w:color w:val="231F20"/>
        </w:rPr>
        <w:fldChar w:fldCharType="separate"/>
      </w:r>
      <w:r w:rsidRPr="00B422D4">
        <w:rPr>
          <w:rFonts w:cs="Arial"/>
          <w:noProof/>
          <w:color w:val="231F20"/>
        </w:rPr>
        <w:t>(Delgadillo, 2018)</w:t>
      </w:r>
      <w:r>
        <w:rPr>
          <w:rFonts w:cs="Arial"/>
          <w:color w:val="231F20"/>
        </w:rPr>
        <w:fldChar w:fldCharType="end"/>
      </w:r>
      <w:r w:rsidRPr="004B1D42">
        <w:t>.</w:t>
      </w:r>
      <w:r>
        <w:t xml:space="preserve">  These factors combined appear likely </w:t>
      </w:r>
      <w:r w:rsidRPr="00BE5F53">
        <w:t xml:space="preserve">to </w:t>
      </w:r>
      <w:r>
        <w:t>inflate effect estimates for LI interventions</w:t>
      </w:r>
      <w:r w:rsidRPr="00BE5F53">
        <w:t>.</w:t>
      </w:r>
      <w:r>
        <w:t xml:space="preserve">  Thus, when trials of LI interventions have been based in</w:t>
      </w:r>
      <w:r w:rsidRPr="00BE5F53">
        <w:t xml:space="preserve"> clinical samples</w:t>
      </w:r>
      <w:r>
        <w:t xml:space="preserve">, they have tended to yield </w:t>
      </w:r>
      <w:r w:rsidRPr="00BE5F53">
        <w:t>more</w:t>
      </w:r>
      <w:r>
        <w:t xml:space="preserve"> </w:t>
      </w:r>
      <w:r w:rsidRPr="00BE5F53">
        <w:t>modest effect</w:t>
      </w:r>
      <w:r>
        <w:t xml:space="preserve">s </w:t>
      </w:r>
      <w:r w:rsidRPr="00B422D4">
        <w:fldChar w:fldCharType="begin" w:fldLock="1"/>
      </w:r>
      <w:r>
        <w:instrText>ADDIN CSL_CITATION {"citationItems":[{"id":"ITEM-1","itemData":{"DOI":"10.1017/S0033291711000900","ISSN":"0033-2917","PMID":"21672297","abstract":"BACKGROUND Cognitive-behavioural therapy (CBT)-based guided self-help (GSH) has been suggested to be an effective intervention for mild to moderate anxiety and depression, yet the evidence seems inconclusive, with some studies reporting that GSH is effective and others finding that GSH is ineffective. GSH differs in important respects from other levels of self-help, yet the literature regarding exclusively guided self-help interventions for anxiety and depression has not been reviewed systematically. METHOD A literature search for randomized controlled trials (RCTs) examining CBT-based GSH interventions for anxiety and depressive disorders was conducted. Multiple electronic databases were searched; several journals spanning key disciplines were hand-searched; reference lists of included review articles were scanned and relevant first authors were contacted. RESULTS Thirteen studies met the inclusion criteria. Meta-analysis indicated the effectiveness of GSH at post-treatment, although GSH was found to have limited effectiveness at follow-up or among more clinically representative samples. Studies that reported greater effectiveness of GSH tended to be of lower methodological quality and generally involved participants who were self-selected rather than recruited through clinical referrals. CONCLUSIONS Although there is support for the effectiveness of CBT-based GSH among media-recruited individuals, the finding that the reviewed RCTs had limited effectiveness within routine clinical practice demonstrates that the evidence is not conclusive. Further rigorous evidence based on clinical populations that examines longer-term outcomes is required before CBT-based GSH interventions can be deemed effective for adults accessing primary care services for treatment of anxiety and depression.","author":[{"dropping-particle":"","family":"Coull","given":"G.","non-dropping-particle":"","parse-names":false,"suffix":""},{"dropping-particle":"","family":"Morris","given":"P. G.","non-dropping-particle":"","parse-names":false,"suffix":""}],"container-title":"Psychological Medicine","id":"ITEM-1","issue":"11","issued":{"date-parts":[["2011","11","15"]]},"page":"2239-2252","title":"The clinical effectiveness of CBT-based guided self-help interventions for anxiety and depressive disorders: a systematic review","type":"article-journal","volume":"41"},"uris":["http://www.mendeley.com/documents/?uuid=ed483e91-855d-3399-aa20-0b11ea0bec58"]}],"mendeley":{"formattedCitation":"(Coull and Morris, 2011)","plainTextFormattedCitation":"(Coull and Morris, 2011)","previouslyFormattedCitation":"(Coull and Morris, 2011)"},"properties":{"noteIndex":0},"schema":"https://github.com/citation-style-language/schema/raw/master/csl-citation.json"}</w:instrText>
      </w:r>
      <w:r w:rsidRPr="00B422D4">
        <w:fldChar w:fldCharType="separate"/>
      </w:r>
      <w:r w:rsidRPr="00B422D4">
        <w:rPr>
          <w:noProof/>
        </w:rPr>
        <w:t>(Coull and Morris, 2011)</w:t>
      </w:r>
      <w:r w:rsidRPr="00B422D4">
        <w:fldChar w:fldCharType="end"/>
      </w:r>
      <w:r>
        <w:t xml:space="preserve">.  </w:t>
      </w:r>
      <w:r w:rsidRPr="00BE5F53">
        <w:t xml:space="preserve">Furthermore, </w:t>
      </w:r>
      <w:r>
        <w:t>both poor</w:t>
      </w:r>
      <w:r w:rsidRPr="00BE5F53">
        <w:t xml:space="preserve"> </w:t>
      </w:r>
      <w:r>
        <w:t>patient acceptability</w:t>
      </w:r>
      <w:r w:rsidRPr="00084F0E">
        <w:t xml:space="preserve"> </w:t>
      </w:r>
      <w:r>
        <w:t xml:space="preserve">of </w:t>
      </w:r>
      <w:r w:rsidRPr="00BE5F53">
        <w:t>internet</w:t>
      </w:r>
      <w:r>
        <w:t xml:space="preserve"> delivered LI treatment and then then poor subsequent </w:t>
      </w:r>
      <w:r w:rsidRPr="00BE5F53">
        <w:t xml:space="preserve">adherence </w:t>
      </w:r>
      <w:r>
        <w:t xml:space="preserve">to treatment are both </w:t>
      </w:r>
      <w:r w:rsidRPr="00BE5F53">
        <w:t>recognised as obstacle</w:t>
      </w:r>
      <w:r>
        <w:t xml:space="preserve">s to delivery </w:t>
      </w:r>
      <w:r>
        <w:fldChar w:fldCharType="begin" w:fldLock="1"/>
      </w:r>
      <w:r>
        <w:instrText>ADDIN CSL_CITATION {"citationItems":[{"id":"ITEM-1","itemData":{"DOI":"10.1001/jamapsychiatry.2017.0044","ISSN":"2168-622X","PMID":"28241179","abstract":"Importance Self-guided internet-based cognitive behavioral therapy (iCBT) has the potential to increase access and availability of evidence-based therapy and reduce the cost of depression treatment. Objectives To estimate the effect of self-guided iCBT in treating adults with depressive symptoms compared with controls and evaluate the moderating effects of treatment outcome and response. Data Sources A total of 13 384 abstracts were retrieved through a systematic literature search in PubMed, Embase, PsycINFO, and Cochrane Library from database inception to January 1, 2016. Study Selection Randomized clinical trials in which self-guided iCBT was compared with a control (usual care, waiting list, or attention control) in individuals with symptoms of depression. Data Extraction and Synthesis Primary authors provided individual participant data from 3876 participants from 13 of 16 eligible studies. Missing data were handled using multiple imputations. Mixed-effects models with participants nested within studies were used to examine treatment outcomes and moderators. Main Outcomes and Measures Outcomes included the Beck Depression Inventory, Center for Epidemiological Studies-Depression Scale, and 9-item Patient Health Questionnaire scores. Scales were standardized across the pool of the included studies. Results Of the 3876 study participants, the mean (SD) age was 42.0 (11.7) years, 2531 (66.0%) of 3832 were female, 1368 (53.1%) of 2574 completed secondary education, and 2262 (71.9%) of 3146 were employed. Self-guided iCBT was significantly more effective than controls on depressive symptoms severity (β = -0.21; Hedges g  = 0.27) and treatment response (β = 0.53; odds ratio, 1.95; 95% CI, 1.52-2.50; number needed to treat, 8). Adherence to treatment was associated with lower depressive symptoms (β = -0.19; P = .001) and greater response to treatment (β = 0.90; P &lt; .001). None of the examined participant and study-level variables moderated treatment outcomes. Conclusions and Relevance Self-guided iCBT is effective in treating depressive symptoms. The use of meta-analyses of individual participant data provides substantial evidence for clinical and policy decision making because self-guided iCBT can be considered as an evidence-based first-step approach in treating symptoms of depression. Several limitations of the iCBT should be addressed before it can be disseminated into routine care.","author":[{"dropping-particle":"","family":"Karyotaki","given":"Eirini","non-dropping-particle":"","parse-names":false,"suffix":""},{"dropping-particle":"","family":"Riper","given":"Heleen","non-dropping-particle":"","parse-names":false,"suffix":""},{"dropping-particle":"","family":"Twisk","given":"Jos","non-dropping-particle":"","parse-names":false,"suffix":""},{"dropping-particle":"","family":"Hoogendoorn","given":"Adriaan","non-dropping-particle":"","parse-names":false,"suffix":""},{"dropping-particle":"","family":"Kleiboer","given":"Annet","non-dropping-particle":"","parse-names":false,"suffix":""},{"dropping-particle":"","family":"Mira","given":"Adriana","non-dropping-particle":"","parse-names":false,"suffix":""},{"dropping-particle":"","family":"Mackinnon","given":"Andrew","non-dropping-particle":"","parse-names":false,"suffix":""},{"dropping-particle":"","family":"Meyer","given":"Björn","non-dropping-particle":"","parse-names":false,"suffix":""},{"dropping-particle":"","family":"Botella","given":"Cristina","non-dropping-particle":"","parse-names":false,"suffix":""},{"dropping-particle":"","family":"Littlewood","given":"Elizabeth","non-dropping-particle":"","parse-names":false,"suffix":""},{"dropping-particle":"","family":"Andersson","given":"Gerhard","non-dropping-particle":"","parse-names":false,"suffix":""},{"dropping-particle":"","family":"Christensen","given":"Helen","non-dropping-particle":"","parse-names":false,"suffix":""},{"dropping-particle":"","family":"Klein","given":"Jan P.","non-dropping-particle":"","parse-names":false,"suffix":""},{"dropping-particle":"","family":"Schröder","given":"Johanna","non-dropping-particle":"","parse-names":false,"suffix":""},{"dropping-particle":"","family":"Bretón-López","given":"Juana","non-dropping-particle":"","parse-names":false,"suffix":""},{"dropping-particle":"","family":"Scheider","given":"Justine","non-dropping-particle":"","parse-names":false,"suffix":""},{"dropping-particle":"","family":"Griffiths","given":"Kathy","non-dropping-particle":"","parse-names":false,"suffix":""},{"dropping-particle":"","family":"Farrer","given":"Louise","non-dropping-particle":"","parse-names":false,"suffix":""},{"dropping-particle":"","family":"Huibers","given":"Marcus J. H.","non-dropping-particle":"","parse-names":false,"suffix":""},{"dropping-particle":"","family":"Phillips","given":"Rachel","non-dropping-particle":"","parse-names":false,"suffix":""},{"dropping-particle":"","family":"Gilbody","given":"Simon","non-dropping-particle":"","parse-names":false,"suffix":""},{"dropping-particle":"","family":"Moritz","given":"Steffen","non-dropping-particle":"","parse-names":false,"suffix":""},{"dropping-particle":"","family":"Berger","given":"Thomas","non-dropping-particle":"","parse-names":false,"suffix":""},{"dropping-particle":"","family":"Pop","given":"Victor","non-dropping-particle":"","parse-names":false,"suffix":""},{"dropping-particle":"","family":"Spek","given":"Viola","non-dropping-particle":"","parse-names":false,"suffix":""},{"dropping-particle":"","family":"Cuijpers","given":"Pim","non-dropping-particle":"","parse-names":false,"suffix":""}],"container-title":"JAMA Psychiatry","id":"ITEM-1","issue":"4","issued":{"date-parts":[["2017","4","1"]]},"page":"351","title":"Efficacy of Self-guided Internet-Based Cognitive Behavioral Therapy in the Treatment of Depressive Symptoms","type":"article-journal","volume":"74"},"uris":["http://www.mendeley.com/documents/?uuid=9d211612-d7bd-3fad-abee-0069ee5b506a"]}],"mendeley":{"formattedCitation":"(Karyotaki &lt;i&gt;et al.&lt;/i&gt;, 2017)","plainTextFormattedCitation":"(Karyotaki et al., 2017)","previouslyFormattedCitation":"(Karyotaki &lt;i&gt;et al.&lt;/i&gt;, 2017)"},"properties":{"noteIndex":0},"schema":"https://github.com/citation-style-language/schema/raw/master/csl-citation.json"}</w:instrText>
      </w:r>
      <w:r>
        <w:fldChar w:fldCharType="separate"/>
      </w:r>
      <w:r w:rsidRPr="00B422D4">
        <w:rPr>
          <w:noProof/>
        </w:rPr>
        <w:t xml:space="preserve">(Karyotaki </w:t>
      </w:r>
      <w:r w:rsidRPr="00B422D4">
        <w:rPr>
          <w:i/>
          <w:noProof/>
        </w:rPr>
        <w:t>et al.</w:t>
      </w:r>
      <w:r w:rsidRPr="00B422D4">
        <w:rPr>
          <w:noProof/>
        </w:rPr>
        <w:t>, 2017)</w:t>
      </w:r>
      <w:r>
        <w:fldChar w:fldCharType="end"/>
      </w:r>
      <w:r w:rsidRPr="00CE7954">
        <w:t>.</w:t>
      </w:r>
      <w:r>
        <w:t xml:space="preserve">  Telephone support and </w:t>
      </w:r>
      <w:r>
        <w:lastRenderedPageBreak/>
        <w:t xml:space="preserve">guidance has been added in to LI interventions to increase acceptability and adherence, as meta analytic evidence highlights that guided self-help (i.e. telephone or in person supported LI treatment) outperforms pure self-help in the treatment of depression </w:t>
      </w:r>
      <w:r>
        <w:fldChar w:fldCharType="begin" w:fldLock="1"/>
      </w:r>
      <w:r>
        <w:instrText>ADDIN CSL_CITATION {"citationItems":[{"id":"ITEM-1","itemData":{"DOI":"10.1017/S0033291707000062","ISBN":"0033-2917","ISSN":"00332917","PMID":"17306044","abstract":"BACKGROUND: Although self-help interventions are effective in treating depression, less is known about the factors that determine effectiveness (i.e. moderators of effect). This study sought to determine whether the content of self-help interventions, the study populations or aspects of study design were the most important moderators. METHOD: Randomized trials of the effectiveness of self-help interventions versus controls in the treatment of depressive symptoms were identified using previous reviews and electronic database searches. Data on moderators (i.e. patient populations, study design, intervention content) and outcomes were extracted and analysed using meta-regression. RESULTS: Thirty-four studies were identified with 39 comparisons. Study design factors associated with greater effectiveness were unclear allocation concealment, observer-rated outcome measures and waiting-list control groups. Greater effectiveness was also associated with recruitment in non-clinical settings, patients with existing depression (rather than those 'at risk'), contact with a therapist (i.e. guided self-help) and the use of cognitive behavioural therapy (CBT) techniques. However, only guided self-help remained significant in the multivariate analysis [regression coefficient 0.36, 95% confidence interval (CI) 0.05-0.68, p=0.03]. In the subset of guided studies, there were no significant associations between outcomes and the session length, content, delivery mode or therapist background. CONCLUSIONS: The results provide some insights into moderators of self-help interventions, which might assist in the design of future interventions. However, the present study did not provide a comprehensive description, and other research methods might be required to identify factors associated with the effectiveness of self-help.","author":[{"dropping-particle":"","family":"Gellatly","given":"Judith","non-dropping-particle":"","parse-names":false,"suffix":""},{"dropping-particle":"","family":"Bower","given":"Peter","non-dropping-particle":"","parse-names":false,"suffix":""},{"dropping-particle":"","family":"Hennessy","given":"Sue","non-dropping-particle":"","parse-names":false,"suffix":""},{"dropping-particle":"","family":"Richards","given":"David","non-dropping-particle":"","parse-names":false,"suffix":""},{"dropping-particle":"","family":"Gilbody","given":"Simon","non-dropping-particle":"","parse-names":false,"suffix":""},{"dropping-particle":"","family":"Lovell","given":"Karina","non-dropping-particle":"","parse-names":false,"suffix":""}],"container-title":"Psychological Medicine","id":"ITEM-1","issue":"9","issued":{"date-parts":[["2007","9","19"]]},"page":"1217-1228","title":"What makes self-help interventions effective in the management of depressive symptoms? Meta-analysis and meta-regression","type":"article-journal","volume":"37"},"uris":["http://www.mendeley.com/documents/?uuid=96e2fc85-322e-35ef-a6c9-ac408f87bc8e"]}],"mendeley":{"formattedCitation":"(Gellatly &lt;i&gt;et al.&lt;/i&gt;, 2007)","plainTextFormattedCitation":"(Gellatly et al., 2007)","previouslyFormattedCitation":"(Gellatly &lt;i&gt;et al.&lt;/i&gt;, 2007)"},"properties":{"noteIndex":0},"schema":"https://github.com/citation-style-language/schema/raw/master/csl-citation.json"}</w:instrText>
      </w:r>
      <w:r>
        <w:fldChar w:fldCharType="separate"/>
      </w:r>
      <w:r w:rsidRPr="00B422D4">
        <w:rPr>
          <w:noProof/>
        </w:rPr>
        <w:t xml:space="preserve">(Gellatly </w:t>
      </w:r>
      <w:r w:rsidRPr="00B422D4">
        <w:rPr>
          <w:i/>
          <w:noProof/>
        </w:rPr>
        <w:t>et al.</w:t>
      </w:r>
      <w:r w:rsidRPr="00B422D4">
        <w:rPr>
          <w:noProof/>
        </w:rPr>
        <w:t>, 2007)</w:t>
      </w:r>
      <w:r>
        <w:fldChar w:fldCharType="end"/>
      </w:r>
      <w:r>
        <w:t>.</w:t>
      </w:r>
      <w:r w:rsidR="00554CB4">
        <w:t xml:space="preserve">  </w:t>
      </w:r>
      <w:r w:rsidRPr="00364FED">
        <w:rPr>
          <w:noProof/>
        </w:rPr>
        <w:t xml:space="preserve">Titov </w:t>
      </w:r>
      <w:r w:rsidRPr="00364FED">
        <w:rPr>
          <w:i/>
          <w:noProof/>
        </w:rPr>
        <w:t>et al.</w:t>
      </w:r>
      <w:r>
        <w:rPr>
          <w:i/>
          <w:noProof/>
        </w:rPr>
        <w:t xml:space="preserve"> </w:t>
      </w:r>
      <w:r>
        <w:fldChar w:fldCharType="begin" w:fldLock="1"/>
      </w:r>
      <w:r>
        <w:instrText>ADDIN CSL_CITATION {"citationItems":[{"id":"ITEM-1","itemData":{"DOI":"10.1016/j.beth.2014.09.008","ISBN":"0005-7894","ISSN":"18781888","PMID":"25645168","abstract":"Depression is a common and significant health problem among older adults. Unfortunately, while effective psychological treatments exist, few older adults access treatment. The aim of the present randomized controlled trial (RCT) was to examine the efficacy, long-term outcomes, and cost-effectiveness of a therapist-guided internet-delivered cognitive behavior therapy (iCBT) intervention for Australian adults over 60. years of age with symptoms of depression. Participants were randomly allocated to either a treatment group (n= 29) or a delayed-treatment waitlist control group (n=. 25). Twenty-seven treatment group participants started the iCBT treatment and 70% completed the treatment within the 8-week course, with 85% of participants providing data at posttreatment. Treatment comprised an online 5-lesson iCBT course with brief weekly contact with a clinical psychologist, delivered over 8. weeks. The primary outcome measure was the Patient Health Questionnaire-9 Item (PHQ-9), a measure of symptoms and severity of depression. Significantly lower scores on the PHQ-9 (Cohen's d=. 2.08; 95% CI: 1.38 - 2.72) and on a measure of anxiety (Generalized Anxiety Disorder-7 Item) (Cohen's d=. 1.22; 95% CI: 0.61 - 1.79) were observed in the treatment group compared to the control group at posttreatment. The treatment group maintained these lower scores at the 3-month and 12-month follow-up time points and the iCBT treatment was rated as acceptable by participants. The treatment group had slightly higher Quality-Adjusted Life-Years (QALYs) than the control group at posttreatment (estimate: 0.012; 95% CI: 0.004 to 0.020) and, while being a higher cost (estimate $52.9. l 95% CI: -. 23.8 to 128.2), the intervention was cost-effective according to commonly used willingness-to-pay thresholds in Australia. The results support the potential efficacy and cost-effectiveness of therapist-guided iCBT as a treatment for older adults with symptoms of depression.","author":[{"dropping-particle":"","family":"Titov","given":"Nickolai","non-dropping-particle":"","parse-names":false,"suffix":""},{"dropping-particle":"","family":"Dear","given":"Blake F.","non-dropping-particle":"","parse-names":false,"suffix":""},{"dropping-particle":"","family":"Ali","given":"Shehzad","non-dropping-particle":"","parse-names":false,"suffix":""},{"dropping-particle":"","family":"Zou","given":"Judy B.","non-dropping-particle":"","parse-names":false,"suffix":""},{"dropping-particle":"","family":"Lorian","given":"Carolyn N.","non-dropping-particle":"","parse-names":false,"suffix":""},{"dropping-particle":"","family":"Johnston","given":"Luke","non-dropping-particle":"","parse-names":false,"suffix":""},{"dropping-particle":"","family":"Terides","given":"Matthew D.","non-dropping-particle":"","parse-names":false,"suffix":""},{"dropping-particle":"","family":"Kayrouz","given":"Rony","non-dropping-particle":"","parse-names":false,"suffix":""},{"dropping-particle":"","family":"Klein","given":"Britt","non-dropping-particle":"","parse-names":false,"suffix":""},{"dropping-particle":"","family":"Gandy","given":"Milena","non-dropping-particle":"","parse-names":false,"suffix":""},{"dropping-particle":"","family":"Fogliati","given":"Vincent J.","non-dropping-particle":"","parse-names":false,"suffix":""}],"container-title":"Behavior Therapy","id":"ITEM-1","issue":"2","issued":{"date-parts":[["2015"]]},"note":"The present study was designed to examine the\nefficacy, longer-term outcomes, and cost-effectiveness of a new iCBT intervention, the Managing Your Mood Course","page":"193-205","publisher":"Elsevier B.V.","title":"Clinical and Cost-Effectiveness of Therapist-Guided Internet-Delivered Cognitive Behavior Therapy for Older Adults With Symptoms of Depression: A Randomized Controlled Trial","type":"article-journal","volume":"46"},"uris":["http://www.mendeley.com/documents/?uuid=8f40ff72-3e15-4993-9547-eb426e4a2a82"]}],"mendeley":{"formattedCitation":"(Titov &lt;i&gt;et al.&lt;/i&gt;, 2015)","manualFormatting":"(2015)","plainTextFormattedCitation":"(Titov et al., 2015)","previouslyFormattedCitation":"(Titov &lt;i&gt;et al.&lt;/i&gt;, 2015)"},"properties":{"noteIndex":0},"schema":"https://github.com/citation-style-language/schema/raw/master/csl-citation.json"}</w:instrText>
      </w:r>
      <w:r>
        <w:fldChar w:fldCharType="separate"/>
      </w:r>
      <w:r w:rsidRPr="00364FED">
        <w:rPr>
          <w:noProof/>
        </w:rPr>
        <w:t>(2015)</w:t>
      </w:r>
      <w:r>
        <w:fldChar w:fldCharType="end"/>
      </w:r>
      <w:r>
        <w:t xml:space="preserve"> in an older adult sample illustrated that guided self-help was efficacious compared to a passive control in an adult sample and that the LI intervention was rated as acceptable.  However, </w:t>
      </w:r>
      <w:r w:rsidRPr="00BE5F53">
        <w:t>the</w:t>
      </w:r>
      <w:r>
        <w:t xml:space="preserve"> </w:t>
      </w:r>
      <w:r w:rsidRPr="00BE5F53">
        <w:t>type</w:t>
      </w:r>
      <w:r>
        <w:t xml:space="preserve"> and </w:t>
      </w:r>
      <w:r w:rsidRPr="00BE5F53">
        <w:t xml:space="preserve">intensity of support </w:t>
      </w:r>
      <w:r>
        <w:t>required t</w:t>
      </w:r>
      <w:r w:rsidRPr="00BE5F53">
        <w:t>o attain clinical improvement</w:t>
      </w:r>
      <w:r>
        <w:t xml:space="preserve"> does </w:t>
      </w:r>
      <w:r w:rsidRPr="00BE5F53">
        <w:t>var</w:t>
      </w:r>
      <w:r>
        <w:t xml:space="preserve">y </w:t>
      </w:r>
      <w:r w:rsidRPr="00BE5F53">
        <w:t>across diagnoses</w:t>
      </w:r>
      <w:r>
        <w:t xml:space="preserve"> </w:t>
      </w:r>
      <w:r>
        <w:fldChar w:fldCharType="begin" w:fldLock="1"/>
      </w:r>
      <w:r>
        <w:instrText>ADDIN CSL_CITATION {"citationItems":[{"id":"ITEM-1","itemData":{"DOI":"10.1016/j.cpr.2012.11.001","ISSN":"02727358","PMID":"23238023","abstract":"Cognitive behavioural therapy self-help is an effective intervention for a range of common mental health difficulties. However the extent to which effectiveness may vary by type of support--guided, minimal contact, self-administered--has not been extensively considered. This review identifies the impact of support on the effectiveness of written cognitive behavioural self-help and further explores the extent to which effectiveness varies across mental health condition by type of support provided. Randomised controlled trials were identified by searching relevant bibliographic databases, clinical trials registers, conference proceedings and expert contact. 38 studies were included in the meta-analysis yielding a statistically significant overall mean effect size (Hedges' g=-0.49). Overall effect size did not significantly differ by type of support (Q=0.85, df=2, p=0.65) (guided: Hedges' g=-0.53; minimal contact: Hedges' g=-0.55; self-administered: Hedges' g=-0.42). For guided and self-administered types of support, planned comparisons revealed a trend for effect size to vary by mental health condition and for guided CBT self-help the modality of support was significant (Q=6.32, df=2, p=0.04), with the largest effect size associated with telephone delivery (Hedges' g=-0.91). Additional moderator analysis was undertaken for depression given the number of available studies. Regardless of higher baseline levels of severity the effect size for minimal contact was greater than for guided support. Greater consideration should be given to the potential that type of support may be related to the effectiveness of written cognitive behavioural self-help and that this may vary across mental health condition. Findings from this systematic review make several recommendations to inform future research.","author":[{"dropping-particle":"","family":"Farrand","given":"Paul","non-dropping-particle":"","parse-names":false,"suffix":""},{"dropping-particle":"","family":"Woodford","given":"Joanne","non-dropping-particle":"","parse-names":false,"suffix":""}],"container-title":"Clinical Psychology Review","id":"ITEM-1","issue":"1","issued":{"date-parts":[["2013","2"]]},"page":"182-195","title":"Impact of support on the effectiveness of written cognitive behavioural self-help: A systematic review and meta-analysis of randomised controlled trials","type":"article-journal","volume":"33"},"uris":["http://www.mendeley.com/documents/?uuid=563b2221-8bce-3b19-a5d3-bcabfb6de936"]}],"mendeley":{"formattedCitation":"(Farrand and Woodford, 2013)","plainTextFormattedCitation":"(Farrand and Woodford, 2013)","previouslyFormattedCitation":"(Farrand and Woodford, 2013)"},"properties":{"noteIndex":0},"schema":"https://github.com/citation-style-language/schema/raw/master/csl-citation.json"}</w:instrText>
      </w:r>
      <w:r>
        <w:fldChar w:fldCharType="separate"/>
      </w:r>
      <w:r w:rsidRPr="002E4786">
        <w:rPr>
          <w:noProof/>
        </w:rPr>
        <w:t>(Farrand and Woodford, 2013)</w:t>
      </w:r>
      <w:r>
        <w:fldChar w:fldCharType="end"/>
      </w:r>
      <w:r>
        <w:t>.</w:t>
      </w:r>
      <w:r w:rsidR="00554CB4">
        <w:t xml:space="preserve"> </w:t>
      </w:r>
      <w:r>
        <w:t xml:space="preserve"> P</w:t>
      </w:r>
      <w:r w:rsidRPr="00CE7954">
        <w:t xml:space="preserve">atients with specific combinations of </w:t>
      </w:r>
      <w:r>
        <w:t xml:space="preserve">symptoms and/or context factors </w:t>
      </w:r>
      <w:r w:rsidRPr="00CE7954">
        <w:t>(e.g. severe depression</w:t>
      </w:r>
      <w:r>
        <w:t>,</w:t>
      </w:r>
      <w:r w:rsidRPr="00CE7954">
        <w:t xml:space="preserve"> </w:t>
      </w:r>
      <w:r>
        <w:t xml:space="preserve">in the context of </w:t>
      </w:r>
      <w:r w:rsidRPr="00CE7954">
        <w:t xml:space="preserve">personality disorder traits and </w:t>
      </w:r>
      <w:r>
        <w:t xml:space="preserve">high </w:t>
      </w:r>
      <w:r w:rsidRPr="00CE7954">
        <w:t xml:space="preserve">socioeconomic </w:t>
      </w:r>
      <w:r>
        <w:t>deprivation</w:t>
      </w:r>
      <w:r w:rsidRPr="00CE7954">
        <w:t xml:space="preserve">) have a high probability of drop-out and poor outcomes </w:t>
      </w:r>
      <w:r>
        <w:t>from an LI intervention</w:t>
      </w:r>
      <w:r w:rsidRPr="00CE7954">
        <w:t xml:space="preserve">, whereas </w:t>
      </w:r>
      <w:r>
        <w:t xml:space="preserve">such patients </w:t>
      </w:r>
      <w:r w:rsidRPr="00CE7954">
        <w:t>tend to respond favourably to more intensive psychological therapy</w:t>
      </w:r>
      <w:r>
        <w:t xml:space="preserve"> </w:t>
      </w:r>
      <w:r>
        <w:fldChar w:fldCharType="begin" w:fldLock="1"/>
      </w:r>
      <w:r w:rsidR="000B6CC8">
        <w:instrText>ADDIN CSL_CITATION {"citationItems":[{"id":"ITEM-1","itemData":{"DOI":"10.1037/ccp0000231","ISSN":"1939-2117","author":[{"dropping-particle":"","family":"Delgadillo","given":"Jaime","non-dropping-particle":"","parse-names":false,"suffix":""},{"dropping-particle":"","family":"Huey","given":"Dale","non-dropping-particle":"","parse-names":false,"suffix":""},{"dropping-particle":"","family":"Bennett","given":"Hazel","non-dropping-particle":"","parse-names":false,"suffix":""},{"dropping-particle":"","family":"McMillan","given":"Dean","non-dropping-particle":"","parse-names":false,"suffix":""}],"container-title":"Journal of Consulting and Clinical Psychology","id":"ITEM-1","issue":"9","issued":{"date-parts":[["2017","9"]]},"page":"835-853","title":"Case complexity as a guide for psychological treatment selection.","type":"article-journal","volume":"85"},"uris":["http://www.mendeley.com/documents/?uuid=258e10b2-e31a-3168-8e2d-e94a65ae74e4"]}],"mendeley":{"formattedCitation":"(Delgadillo &lt;i&gt;et al.&lt;/i&gt;, 2017)","plainTextFormattedCitation":"(Delgadillo et al., 2017)","previouslyFormattedCitation":"(Delgadillo &lt;i&gt;et al.&lt;/i&gt;, 2017)"},"properties":{"noteIndex":0},"schema":"https://github.com/citation-style-language/schema/raw/master/csl-citation.json"}</w:instrText>
      </w:r>
      <w:r>
        <w:fldChar w:fldCharType="separate"/>
      </w:r>
      <w:r w:rsidRPr="00ED7C66">
        <w:rPr>
          <w:noProof/>
        </w:rPr>
        <w:t xml:space="preserve">(Delgadillo </w:t>
      </w:r>
      <w:r w:rsidRPr="00ED7C66">
        <w:rPr>
          <w:i/>
          <w:noProof/>
        </w:rPr>
        <w:t>et al.</w:t>
      </w:r>
      <w:r w:rsidRPr="00ED7C66">
        <w:rPr>
          <w:noProof/>
        </w:rPr>
        <w:t>, 2017)</w:t>
      </w:r>
      <w:r>
        <w:fldChar w:fldCharType="end"/>
      </w:r>
      <w:r>
        <w:t>.</w:t>
      </w:r>
    </w:p>
    <w:p w14:paraId="72515F28" w14:textId="5BD9A24B" w:rsidR="00F1508E" w:rsidRDefault="00F1508E" w:rsidP="00F1508E">
      <w:pPr>
        <w:rPr>
          <w:rFonts w:eastAsia="Times New Roman" w:cs="Arial"/>
          <w:lang w:eastAsia="en-GB"/>
        </w:rPr>
      </w:pPr>
      <w:r>
        <w:t>In terms of pure self-help, e</w:t>
      </w:r>
      <w:r>
        <w:noBreakHyphen/>
        <w:t>therapies</w:t>
      </w:r>
      <w:r w:rsidRPr="004B1D42">
        <w:t xml:space="preserve"> </w:t>
      </w:r>
      <w:r>
        <w:t>(as part of the suite of LI interventions) have been championed as</w:t>
      </w:r>
      <w:r w:rsidRPr="004B1D42">
        <w:t xml:space="preserve"> </w:t>
      </w:r>
      <w:r>
        <w:t xml:space="preserve">potentially making </w:t>
      </w:r>
      <w:r w:rsidRPr="004B1D42">
        <w:t xml:space="preserve">a </w:t>
      </w:r>
      <w:r>
        <w:t xml:space="preserve">key contribution in managing </w:t>
      </w:r>
      <w:r w:rsidRPr="004B1D42">
        <w:t>the throughput-quality challenge</w:t>
      </w:r>
      <w:r>
        <w:t xml:space="preserve"> faced by clinical services</w:t>
      </w:r>
      <w:r w:rsidRPr="004B1D42">
        <w:t xml:space="preserve">.  Tablets and smartphones are among the most rapidly adopted </w:t>
      </w:r>
      <w:r>
        <w:t xml:space="preserve">technological </w:t>
      </w:r>
      <w:r w:rsidRPr="004B1D42">
        <w:t xml:space="preserve">innovations by the public in recent history; adult smartphone ownership in the United </w:t>
      </w:r>
      <w:r w:rsidRPr="00BA77A3">
        <w:t xml:space="preserve">Kingdom (UK) is presently at 80% and expected to reach 90% by 2020 </w:t>
      </w:r>
      <w:r w:rsidRPr="00BA77A3">
        <w:fldChar w:fldCharType="begin" w:fldLock="1"/>
      </w:r>
      <w:r w:rsidRPr="00BA77A3">
        <w:instrText>ADDIN CSL_CITATION {"citationItems":[{"id":"ITEM-1","itemData":{"author":[{"dropping-particle":"","family":"Deloitte","given":"","non-dropping-particle":"","parse-names":false,"suffix":""}],"id":"ITEM-1","issued":{"date-parts":[["2017"]]},"page":"3-52","title":"State of the smart Consumer and business usage patterns","type":"article-journal"},"uris":["http://www.mendeley.com/documents/?uuid=ae0328fb-8b80-41e5-9608-f5ccd7576ca6"]}],"mendeley":{"formattedCitation":"(Deloitte, 2017)","plainTextFormattedCitation":"(Deloitte, 2017)","previouslyFormattedCitation":"(Deloitte, 2017)"},"properties":{"noteIndex":0},"schema":"https://github.com/citation-style-language/schema/raw/master/csl-citation.json"}</w:instrText>
      </w:r>
      <w:r w:rsidRPr="00BA77A3">
        <w:fldChar w:fldCharType="separate"/>
      </w:r>
      <w:r w:rsidRPr="00BA77A3">
        <w:rPr>
          <w:noProof/>
        </w:rPr>
        <w:t>(Deloitte, 2017)</w:t>
      </w:r>
      <w:r w:rsidRPr="00BA77A3">
        <w:fldChar w:fldCharType="end"/>
      </w:r>
      <w:r w:rsidRPr="00BA77A3">
        <w:t xml:space="preserve">.  Those aged 65-74 living in the UK are increasingly connected, with four in ten (39%) using a smartphone and 47% using tablets </w:t>
      </w:r>
      <w:r>
        <w:rPr>
          <w:rFonts w:cs="Arial"/>
          <w:color w:val="333333"/>
        </w:rPr>
        <w:fldChar w:fldCharType="begin" w:fldLock="1"/>
      </w:r>
      <w:r>
        <w:rPr>
          <w:rFonts w:cs="Arial"/>
          <w:color w:val="333333"/>
        </w:rPr>
        <w:instrText>ADDIN CSL_CITATION {"citationItems":[{"id":"ITEM-1","itemData":{"DOI":"10.1016/j.csi.2015.08.004","ISBN":"9781450327688","ISSN":"09758887","PMID":"25246403","abstract":"There has been a significant increase in the self-reported volume of internet use since 2011. Overall estimated weekly volume of use of the internet among users has increased to an average of just under 17 hours per week (16.8 vs. 15.1 hours in 2011). Over half (53%) of UK adults now use a mobile phone to go online, rising to 86% among smartphone users, and more than one in ten use a tablet computer (16%), games console/ player (16%), or a portable media player (12%), all significant increases since 2011. On average, UK adult internet users claim to visit 19 websites in a typical week. There are considerable differences between demographic groups; for example, those over 75 estimate that they visit on average seven websites and ‘narrow users’ 1 six. This compares to people in AB households, and men, who estimate that they visit on average 27 and 24 respectively. Some 22% UK adult internet users say they visit fewer than five websites in a typical week.","author":[{"dropping-particle":"","family":"Ofcom","given":"","non-dropping-particle":"","parse-names":false,"suffix":""}],"id":"ITEM-1","issue":"April","issued":{"date-parts":[["2016"]]},"page":"182","title":"Adults’ media use and attitudes report","type":"article-journal"},"uris":["http://www.mendeley.com/documents/?uuid=70e95cfd-0e6f-3611-9088-ce6d7e044ec7"]}],"mendeley":{"formattedCitation":"(Ofcom, 2016)","plainTextFormattedCitation":"(Ofcom, 2016)","previouslyFormattedCitation":"(Ofcom, 2016)"},"properties":{"noteIndex":0},"schema":"https://github.com/citation-style-language/schema/raw/master/csl-citation.json"}</w:instrText>
      </w:r>
      <w:r>
        <w:rPr>
          <w:rFonts w:cs="Arial"/>
          <w:color w:val="333333"/>
        </w:rPr>
        <w:fldChar w:fldCharType="separate"/>
      </w:r>
      <w:r w:rsidRPr="00D43C5A">
        <w:rPr>
          <w:rFonts w:cs="Arial"/>
          <w:noProof/>
          <w:color w:val="333333"/>
        </w:rPr>
        <w:t>(Ofcom, 2016)</w:t>
      </w:r>
      <w:r>
        <w:rPr>
          <w:rFonts w:cs="Arial"/>
          <w:color w:val="333333"/>
        </w:rPr>
        <w:fldChar w:fldCharType="end"/>
      </w:r>
      <w:r>
        <w:rPr>
          <w:rFonts w:cs="Arial"/>
          <w:color w:val="333333"/>
        </w:rPr>
        <w:t xml:space="preserve">.  </w:t>
      </w:r>
      <w:r w:rsidRPr="004B1D42">
        <w:t>This breadth of ownership has been critiqued however in terms of excluding the poorest in society</w:t>
      </w:r>
      <w:r w:rsidR="0085205D">
        <w:t xml:space="preserve"> </w:t>
      </w:r>
      <w:r w:rsidR="0085205D">
        <w:fldChar w:fldCharType="begin" w:fldLock="1"/>
      </w:r>
      <w:r w:rsidR="00FE37B5">
        <w:instrText>ADDIN CSL_CITATION {"citationItems":[{"id":"ITEM-1","itemData":{"ISBN":"1786634651","author":[{"dropping-particle":"","family":"Armstrong","given":"Stephen.","non-dropping-particle":"","parse-names":false,"suffix":""}],"id":"ITEM-1","issued":{"date-parts":[["2018"]]},"publisher":"Verso Books","title":"The New Poverty","type":"book"},"uris":["http://www.mendeley.com/documents/?uuid=9f2a4b90-36b0-3ebb-afaf-cd418c208e0c"]}],"mendeley":{"formattedCitation":"(Armstrong, 2018)","plainTextFormattedCitation":"(Armstrong, 2018)","previouslyFormattedCitation":"(Armstrong, 2018)"},"properties":{"noteIndex":0},"schema":"https://github.com/citation-style-language/schema/raw/master/csl-citation.json"}</w:instrText>
      </w:r>
      <w:r w:rsidR="0085205D">
        <w:fldChar w:fldCharType="separate"/>
      </w:r>
      <w:r w:rsidR="004B5A66" w:rsidRPr="004B5A66">
        <w:rPr>
          <w:noProof/>
        </w:rPr>
        <w:t>(Armstrong, 2018)</w:t>
      </w:r>
      <w:r w:rsidR="0085205D">
        <w:fldChar w:fldCharType="end"/>
      </w:r>
      <w:r w:rsidRPr="004B1D42">
        <w:t>.</w:t>
      </w:r>
      <w:r>
        <w:t xml:space="preserve">  Tablets and smartphones </w:t>
      </w:r>
      <w:r w:rsidRPr="004B1D42">
        <w:t>enable users to download and run apps from online app libraries</w:t>
      </w:r>
      <w:r>
        <w:t>.  W</w:t>
      </w:r>
      <w:r w:rsidRPr="004B1D42">
        <w:t>hen the content is guided by clinical theory</w:t>
      </w:r>
      <w:r>
        <w:t xml:space="preserve"> and techniques</w:t>
      </w:r>
      <w:r w:rsidRPr="004B1D42">
        <w:t xml:space="preserve">, they are transformed into clinical tools </w:t>
      </w:r>
      <w:r>
        <w:t xml:space="preserve">possessing </w:t>
      </w:r>
      <w:r w:rsidRPr="004B1D42">
        <w:t xml:space="preserve">the potential to provide cost effective, high volume and easy to access </w:t>
      </w:r>
      <w:r>
        <w:t xml:space="preserve">LI </w:t>
      </w:r>
      <w:r w:rsidRPr="004B1D42">
        <w:t>psychological interventions.</w:t>
      </w:r>
    </w:p>
    <w:p w14:paraId="36BC71B4" w14:textId="77C0D57D" w:rsidR="00F1508E" w:rsidRPr="003D7E54" w:rsidRDefault="00F1508E" w:rsidP="00F1508E">
      <w:r w:rsidRPr="00CE7954">
        <w:t xml:space="preserve">The therapeutic and organisational potential of </w:t>
      </w:r>
      <w:r>
        <w:t>e</w:t>
      </w:r>
      <w:r>
        <w:noBreakHyphen/>
        <w:t>therapies</w:t>
      </w:r>
      <w:r w:rsidRPr="00CE7954">
        <w:t xml:space="preserve"> triggered an initial wave of interest and investment into digital health initiatives. </w:t>
      </w:r>
      <w:r w:rsidR="00554CB4">
        <w:t xml:space="preserve"> </w:t>
      </w:r>
      <w:r w:rsidRPr="00CE7954">
        <w:t>The NHS Commissioning Board launched the NHS Health Apps Library</w:t>
      </w:r>
      <w:r>
        <w:t xml:space="preserve"> </w:t>
      </w:r>
      <w:r w:rsidRPr="00CE7954">
        <w:t xml:space="preserve">in March 2013 </w:t>
      </w:r>
      <w:r>
        <w:t>and NHS Mental Health Apps Library</w:t>
      </w:r>
      <w:r w:rsidRPr="00CE7954">
        <w:t xml:space="preserve"> </w:t>
      </w:r>
      <w:r>
        <w:t xml:space="preserve">in March 2015 (from here on referred to as the NHS Apps Libraries) </w:t>
      </w:r>
      <w:r w:rsidRPr="00CE7954">
        <w:t xml:space="preserve">signalling clear intent to realise the </w:t>
      </w:r>
      <w:r>
        <w:t xml:space="preserve">health and health economic </w:t>
      </w:r>
      <w:r w:rsidRPr="00CE7954">
        <w:t>potential of apps.  However, the librar</w:t>
      </w:r>
      <w:r>
        <w:t>ies</w:t>
      </w:r>
      <w:r w:rsidRPr="00CE7954">
        <w:t xml:space="preserve"> w</w:t>
      </w:r>
      <w:r>
        <w:t>ere</w:t>
      </w:r>
      <w:r w:rsidRPr="00CE7954">
        <w:t xml:space="preserve"> </w:t>
      </w:r>
      <w:r>
        <w:t>removed</w:t>
      </w:r>
      <w:r w:rsidRPr="00CE7954">
        <w:t xml:space="preserve"> in 2015 after the publication of two papers questioning the </w:t>
      </w:r>
      <w:r>
        <w:t xml:space="preserve">validity of the </w:t>
      </w:r>
      <w:r w:rsidRPr="00CE7954">
        <w:t>evaluation</w:t>
      </w:r>
      <w:r>
        <w:t xml:space="preserve">s of the apps.  </w:t>
      </w:r>
      <w:r w:rsidRPr="00CE7954">
        <w:t xml:space="preserve">Specifically, the </w:t>
      </w:r>
      <w:r>
        <w:t xml:space="preserve">robust governance </w:t>
      </w:r>
      <w:r w:rsidRPr="00CE7954">
        <w:t xml:space="preserve">of data security </w:t>
      </w:r>
      <w:r w:rsidRPr="00172C39">
        <w:rPr>
          <w:rFonts w:cs="Times New Roman"/>
        </w:rPr>
        <w:fldChar w:fldCharType="begin" w:fldLock="1"/>
      </w:r>
      <w:r>
        <w:rPr>
          <w:rFonts w:cs="Times New Roman"/>
        </w:rPr>
        <w:instrText>ADDIN CSL_CITATION {"citationItems":[{"id":"ITEM-1","itemData":{"DOI":"10.1186/s12916-015-0444-y","ISBN":"1741-7015 (Electronic)\\r1741-7015 (Linking)","ISSN":"17417015","PMID":"26404673","abstract":"Background: Poor information privacy practices have been identified in health apps. Medical app accreditation programs offer a mechanism for assuring the quality of apps; however, little is known about their ability to control information privacy risks. We aimed to assess the extent to which already-certified apps complied with data protection principles mandated by the largest national accreditation program. Methods: Cross-sectional, systematic, 6-month assessment of 79 apps certified as clinically safe and trustworthy by the UK NHS Health Apps Library. Protocol-based testing was used to characterize personal information collection, local-device storage and information transmission. Observed information handling practices were compared against privacy policy commitments. Results: The study revealed that 89 % (n = 70/79) of apps transmitted information to online services. No app encrypted personal information stored locally. Furthermore, 66 % (23/35) of apps sending identifying information over the Internet did not use encryption and 20 % (7/35) did not have a privacy policy. Overall, 67 % (53/79) of apps had some form of privacy policy. No app collected or transmitted information that a policy explicitly stated it would not; however, 78 % (38/49) of information-transmitting apps with a policy did not describe the nature of personal information included in transmissions. Four apps sent both identifying and health information without encryption. Although the study was not designed to examine data handling after transmission to online services, security problems appeared to place users at risk of data theft in two cases. Conclusions: Systematic gaps in compliance with data protection principles in accredited health apps question whether certification programs relying substantially on developer disclosures can provide a trusted resource for patients and clinicians. Accreditation programs should, as a minimum, provide consistent and reliable warnings about possible threats and, ideally, require publishers to rectify vulnerabilities before apps are released.","author":[{"dropping-particle":"","family":"Huckvale","given":"Kit","non-dropping-particle":"","parse-names":false,"suffix":""},{"dropping-particle":"","family":"Prieto","given":"José Tomás","non-dropping-particle":"","parse-names":false,"suffix":""},{"dropping-particle":"","family":"Tilney","given":"Myra","non-dropping-particle":"","parse-names":false,"suffix":""},{"dropping-particle":"","family":"Benghozi","given":"Pierre Jean","non-dropping-particle":"","parse-names":false,"suffix":""},{"dropping-particle":"","family":"Car","given":"Josip","non-dropping-particle":"","parse-names":false,"suffix":""}],"container-title":"BMC Medicine","id":"ITEM-1","issue":"1","issued":{"date-parts":[["2015"]]},"page":"214","publisher":"BioMed Central Ltd.","title":"Unaddressed privacy risks in accredited health and wellness apps: A cross-sectional systematic assessment","type":"article-journal","volume":"13"},"uris":["http://www.mendeley.com/documents/?uuid=0b4db300-c446-4a34-8de8-536c4dee9be3"]}],"mendeley":{"formattedCitation":"(Huckvale &lt;i&gt;et al.&lt;/i&gt;, 2015)","plainTextFormattedCitation":"(Huckvale et al., 2015)","previouslyFormattedCitation":"(Huckvale &lt;i&gt;et al.&lt;/i&gt;, 2015)"},"properties":{"noteIndex":0},"schema":"https://github.com/citation-style-language/schema/raw/master/csl-citation.json"}</w:instrText>
      </w:r>
      <w:r w:rsidRPr="00172C39">
        <w:rPr>
          <w:rFonts w:cs="Times New Roman"/>
        </w:rPr>
        <w:fldChar w:fldCharType="separate"/>
      </w:r>
      <w:r w:rsidRPr="00D43C5A">
        <w:rPr>
          <w:rFonts w:cs="Times New Roman"/>
          <w:noProof/>
        </w:rPr>
        <w:t xml:space="preserve">(Huckvale </w:t>
      </w:r>
      <w:r w:rsidRPr="00D43C5A">
        <w:rPr>
          <w:rFonts w:cs="Times New Roman"/>
          <w:i/>
          <w:noProof/>
        </w:rPr>
        <w:t>et al.</w:t>
      </w:r>
      <w:r w:rsidRPr="00D43C5A">
        <w:rPr>
          <w:rFonts w:cs="Times New Roman"/>
          <w:noProof/>
        </w:rPr>
        <w:t>, 2015)</w:t>
      </w:r>
      <w:r w:rsidRPr="00172C39">
        <w:rPr>
          <w:rFonts w:cs="Times New Roman"/>
        </w:rPr>
        <w:fldChar w:fldCharType="end"/>
      </w:r>
      <w:r>
        <w:rPr>
          <w:rFonts w:cs="Times New Roman"/>
        </w:rPr>
        <w:t xml:space="preserve"> </w:t>
      </w:r>
      <w:r w:rsidRPr="00CE7954">
        <w:t xml:space="preserve">and clinical effectiveness </w:t>
      </w:r>
      <w:r>
        <w:rPr>
          <w:rFonts w:cs="Times New Roman"/>
        </w:rPr>
        <w:fldChar w:fldCharType="begin" w:fldLock="1"/>
      </w:r>
      <w:r>
        <w:rPr>
          <w:rFonts w:cs="Times New Roman"/>
        </w:rPr>
        <w:instrText>ADDIN CSL_CITATION {"citationItems":[{"id":"ITEM-1","itemData":{"DOI":"10.1136/eb-2015-102203","ISBN":"1468-960X","ISSN":"1362-0347","PMID":"26459466","abstract":"THE NEED In a time of increasing demand for psychological services and continu-ally decreasing resources, unmet need with respect to National Health Service (NHS) mental health services is reaching an unprecedented level. 1 While monthly referrals to community mental health teams increased 13% in 2013, and 16% in the case of crisis services, invest-ment in mental health services has fallen in real terms for three suc-cessive years, 2 not helped by the government's £22 billion target for efficiency savings. As such, the resulting loss of over 200 full-time mental health doctors and 3600 nurses 1 has meant that despite a £450 million investment in reducing waiting times 3 and increasing access to psychological therapies (IAPT), 1 in 10 patients experience waiting lists of over a year before receiving any form of treatment, with 1 in 2 waiting over 3 months. 4 One in 6 of those on waiting lists for mental health services are expected to attempt suicide, 4 in 10 are expected to self-harm and two-thirds are likely to see their condition deteriorate before having the opportunity to see a mental health professional. 1 5 As such, approxi-mately 70 million sick days 6 and 170 000 self-harm related accident and emergency attendances 7 can be attributed to underlying mental health issues in the UK every year; with these individuals also exhibiting double the rate of both inpatient and outpatient hospital attendances compared to the UK general population. 8 Unfortunately long-term pro-spects for those with mental health issues are not much better. Those suffering from serious mental illness face twice the risk of diabetes and death from heart disease, 9 three times the risk of hypertension and a fourfold increase in all-cause premature mortality when compared with the UK general population; all of which contributing to the £105billion that mental distress costs the English economy each year. 10","author":[{"dropping-particle":"","family":"Leigh","given":"Simon","non-dropping-particle":"","parse-names":false,"suffix":""},{"dropping-particle":"","family":"Flatt","given":"Steve","non-dropping-particle":"","parse-names":false,"suffix":""}],"container-title":"Evidence-Based Mental Health","id":"ITEM-1","issue":"4","issued":{"date-parts":[["2015"]]},"page":"97-99","title":"App-based psychological interventions: friend or foe?: Table 1","type":"article-journal","volume":"18"},"uris":["http://www.mendeley.com/documents/?uuid=7d94721c-2541-41fa-bcbb-847a161208f6"]}],"mendeley":{"formattedCitation":"(Leigh and Flatt, 2015)","plainTextFormattedCitation":"(Leigh and Flatt, 2015)","previouslyFormattedCitation":"(Leigh and Flatt, 2015)"},"properties":{"noteIndex":0},"schema":"https://github.com/citation-style-language/schema/raw/master/csl-citation.json"}</w:instrText>
      </w:r>
      <w:r>
        <w:rPr>
          <w:rFonts w:cs="Times New Roman"/>
        </w:rPr>
        <w:fldChar w:fldCharType="separate"/>
      </w:r>
      <w:r w:rsidRPr="00D43C5A">
        <w:rPr>
          <w:rFonts w:cs="Times New Roman"/>
          <w:noProof/>
        </w:rPr>
        <w:t>(Leigh and Flatt, 2015)</w:t>
      </w:r>
      <w:r>
        <w:rPr>
          <w:rFonts w:cs="Times New Roman"/>
        </w:rPr>
        <w:fldChar w:fldCharType="end"/>
      </w:r>
      <w:r>
        <w:rPr>
          <w:rFonts w:cs="Times New Roman"/>
        </w:rPr>
        <w:t xml:space="preserve"> </w:t>
      </w:r>
      <w:r w:rsidRPr="00CE7954">
        <w:t xml:space="preserve">were </w:t>
      </w:r>
      <w:r>
        <w:t xml:space="preserve">questioned and </w:t>
      </w:r>
      <w:r w:rsidRPr="00CE7954">
        <w:t xml:space="preserve">criticised.  </w:t>
      </w:r>
      <w:r>
        <w:t xml:space="preserve">This process specifically highlighted </w:t>
      </w:r>
      <w:r w:rsidRPr="00CE7954">
        <w:t xml:space="preserve">that </w:t>
      </w:r>
      <w:r>
        <w:t xml:space="preserve">the </w:t>
      </w:r>
      <w:r w:rsidRPr="00CE7954">
        <w:t xml:space="preserve">NHS </w:t>
      </w:r>
      <w:r>
        <w:t xml:space="preserve">had </w:t>
      </w:r>
      <w:r w:rsidRPr="00CE7954">
        <w:t xml:space="preserve">struggled to </w:t>
      </w:r>
      <w:r>
        <w:t xml:space="preserve">effectively </w:t>
      </w:r>
      <w:r w:rsidRPr="00CE7954">
        <w:t xml:space="preserve">separate the </w:t>
      </w:r>
      <w:r>
        <w:t xml:space="preserve">evidence base for the effectiveness </w:t>
      </w:r>
      <w:r w:rsidRPr="00CE7954">
        <w:t xml:space="preserve">of apps from the overly ambitious claims of their developers </w:t>
      </w:r>
      <w:r>
        <w:rPr>
          <w:rFonts w:cs="Arial"/>
          <w:color w:val="231F20"/>
        </w:rPr>
        <w:fldChar w:fldCharType="begin" w:fldLock="1"/>
      </w:r>
      <w:r>
        <w:rPr>
          <w:rFonts w:cs="Arial"/>
          <w:color w:val="231F20"/>
        </w:rPr>
        <w:instrText>ADDIN CSL_CITATION {"citationItems":[{"id":"ITEM-1","itemData":{"DOI":"10.1192/bjp.2017.17","ISSN":"0007-1250","PMID":"29436327","abstract":"&lt;p&gt;Cognitive–behavioural therapy self-help offers an accessible and efficient way to treat common mental disorders. The evidence-based self-help movement has an important foothold in the healthcare arena. This article surveys the emergence of self-help at a particular social and historical junction, and summarises key lessons from experimental and practice-based studies.&lt;/p&gt;","author":[{"dropping-particle":"","family":"Delgadillo","given":"Jaime","non-dropping-particle":"","parse-names":false,"suffix":""}],"container-title":"The British Journal of Psychiatry","id":"ITEM-1","issue":"02","issued":{"date-parts":[["2018","2","1"]]},"page":"65-66","title":"Guided self-help in a brave new world","type":"article-journal","volume":"212"},"uris":["http://www.mendeley.com/documents/?uuid=59b3698b-6adc-3a9a-83bc-b23dd681edc9"]}],"mendeley":{"formattedCitation":"(Delgadillo, 2018)","plainTextFormattedCitation":"(Delgadillo, 2018)","previouslyFormattedCitation":"(Delgadillo, 2018)"},"properties":{"noteIndex":0},"schema":"https://github.com/citation-style-language/schema/raw/master/csl-citation.json"}</w:instrText>
      </w:r>
      <w:r>
        <w:rPr>
          <w:rFonts w:cs="Arial"/>
          <w:color w:val="231F20"/>
        </w:rPr>
        <w:fldChar w:fldCharType="separate"/>
      </w:r>
      <w:r w:rsidRPr="00B422D4">
        <w:rPr>
          <w:rFonts w:cs="Arial"/>
          <w:noProof/>
          <w:color w:val="231F20"/>
        </w:rPr>
        <w:t>(Delgadillo, 2018)</w:t>
      </w:r>
      <w:r>
        <w:rPr>
          <w:rFonts w:cs="Arial"/>
          <w:color w:val="231F20"/>
        </w:rPr>
        <w:fldChar w:fldCharType="end"/>
      </w:r>
      <w:r w:rsidRPr="00CE7954">
        <w:t xml:space="preserve">.  As a result, </w:t>
      </w:r>
      <w:r>
        <w:t>NICE and NHS England</w:t>
      </w:r>
      <w:r w:rsidRPr="00CE7954">
        <w:t xml:space="preserve"> subsequently established independent initiatives</w:t>
      </w:r>
      <w:r w:rsidR="00554CB4">
        <w:t xml:space="preserve">.  </w:t>
      </w:r>
      <w:r w:rsidRPr="00CE7954">
        <w:t>In November 2016, NICE revealed its plan to pilot an evaluation process for digital apps</w:t>
      </w:r>
      <w:r>
        <w:t>,</w:t>
      </w:r>
      <w:r w:rsidRPr="00CE7954">
        <w:t xml:space="preserve"> and stated that from March 2017 it would publish “Health App Briefings” on mobile technology health apps</w:t>
      </w:r>
      <w:r>
        <w:t xml:space="preserve"> </w:t>
      </w:r>
      <w:r w:rsidRPr="003A05C3">
        <w:t>as a proof-of-concept activity</w:t>
      </w:r>
      <w:r w:rsidRPr="00CE7954">
        <w:t xml:space="preserve"> </w:t>
      </w:r>
      <w:r w:rsidRPr="00CE7954">
        <w:fldChar w:fldCharType="begin" w:fldLock="1"/>
      </w:r>
      <w:r>
        <w:instrText>ADDIN CSL_CITATION {"citationItems":[{"id":"ITEM-1","itemData":{"author":[{"dropping-particle":"","family":"NICE","given":"","non-dropping-particle":"","parse-names":false,"suffix":""}],"id":"ITEM-1","issued":{"date-parts":[["2016"]]},"title":"NATIONAL INSTITUTE FOR HEALTH AND CARE EXCELLENCE PUBLIC BOARD MEETING","type":"article-journal"},"uris":["http://www.mendeley.com/documents/?uuid=75009c14-b4c8-38c7-aa34-4f6425dd0264"]}],"mendeley":{"formattedCitation":"(NICE, 2016)","plainTextFormattedCitation":"(NICE, 2016)","previouslyFormattedCitation":"(NICE, 2016)"},"properties":{"noteIndex":0},"schema":"https://github.com/citation-style-language/schema/raw/master/csl-citation.json"}</w:instrText>
      </w:r>
      <w:r w:rsidRPr="00CE7954">
        <w:fldChar w:fldCharType="separate"/>
      </w:r>
      <w:r w:rsidRPr="00D43C5A">
        <w:rPr>
          <w:noProof/>
        </w:rPr>
        <w:t>(NICE, 2016)</w:t>
      </w:r>
      <w:r w:rsidRPr="00CE7954">
        <w:fldChar w:fldCharType="end"/>
      </w:r>
      <w:r w:rsidRPr="00CE7954">
        <w:t>.  The</w:t>
      </w:r>
      <w:r>
        <w:t>se</w:t>
      </w:r>
      <w:r w:rsidRPr="00CE7954">
        <w:t xml:space="preserve"> briefing</w:t>
      </w:r>
      <w:r>
        <w:t>s</w:t>
      </w:r>
      <w:r w:rsidRPr="00CE7954">
        <w:t xml:space="preserve"> set out the evidence for </w:t>
      </w:r>
      <w:r>
        <w:t xml:space="preserve">an </w:t>
      </w:r>
      <w:r w:rsidRPr="00CE7954">
        <w:t xml:space="preserve">app, but do not provide a recommendation on their use, </w:t>
      </w:r>
      <w:r>
        <w:t>leaving judgement to remain subject to the clinician</w:t>
      </w:r>
      <w:r w:rsidRPr="00CE7954">
        <w:t>.  NHS England launched two new digital platforms in April 2017</w:t>
      </w:r>
      <w:r>
        <w:t xml:space="preserve">: </w:t>
      </w:r>
      <w:r w:rsidRPr="00CE7954">
        <w:t>a new beta of the NHS Digital Apps Library and a Mobile Health space</w:t>
      </w:r>
      <w:r w:rsidR="00554CB4">
        <w:t xml:space="preserve">.  </w:t>
      </w:r>
      <w:r>
        <w:t xml:space="preserve">These platforms </w:t>
      </w:r>
      <w:r w:rsidRPr="00CE7954">
        <w:t>specif</w:t>
      </w:r>
      <w:r>
        <w:t>y</w:t>
      </w:r>
      <w:r w:rsidRPr="00CE7954">
        <w:t xml:space="preserve"> the quality standards expected </w:t>
      </w:r>
      <w:r>
        <w:t xml:space="preserve">for </w:t>
      </w:r>
      <w:r w:rsidRPr="00CE7954">
        <w:t>from all digital health and care products</w:t>
      </w:r>
      <w:r>
        <w:t xml:space="preserve"> covering clinical e</w:t>
      </w:r>
      <w:r w:rsidRPr="009F25FE">
        <w:t>ffectiveness</w:t>
      </w:r>
      <w:r>
        <w:t>, regulatory a</w:t>
      </w:r>
      <w:r w:rsidRPr="009F25FE">
        <w:t>pproval</w:t>
      </w:r>
      <w:r>
        <w:t>, clinical s</w:t>
      </w:r>
      <w:r w:rsidRPr="009F25FE">
        <w:t>afety</w:t>
      </w:r>
      <w:r>
        <w:t>, p</w:t>
      </w:r>
      <w:r w:rsidRPr="009F25FE">
        <w:t>rivacy</w:t>
      </w:r>
      <w:r>
        <w:t>/c</w:t>
      </w:r>
      <w:r w:rsidRPr="009F25FE">
        <w:t>onfidentiality</w:t>
      </w:r>
      <w:r>
        <w:t>, s</w:t>
      </w:r>
      <w:r w:rsidRPr="009F25FE">
        <w:t>ecurity</w:t>
      </w:r>
      <w:r>
        <w:t xml:space="preserve">, </w:t>
      </w:r>
      <w:r>
        <w:lastRenderedPageBreak/>
        <w:t>u</w:t>
      </w:r>
      <w:r w:rsidRPr="009F25FE">
        <w:t>sability</w:t>
      </w:r>
      <w:r>
        <w:t>/a</w:t>
      </w:r>
      <w:r w:rsidRPr="009F25FE">
        <w:t>ccessibility</w:t>
      </w:r>
      <w:r>
        <w:t>, i</w:t>
      </w:r>
      <w:r w:rsidRPr="009F25FE">
        <w:t>nteroperability</w:t>
      </w:r>
      <w:r>
        <w:t>, t</w:t>
      </w:r>
      <w:r w:rsidRPr="009F25FE">
        <w:t xml:space="preserve">echnical </w:t>
      </w:r>
      <w:r>
        <w:t>s</w:t>
      </w:r>
      <w:r w:rsidRPr="009F25FE">
        <w:t>tability</w:t>
      </w:r>
      <w:r>
        <w:t xml:space="preserve"> and c</w:t>
      </w:r>
      <w:r w:rsidRPr="009F25FE">
        <w:t xml:space="preserve">hange </w:t>
      </w:r>
      <w:r>
        <w:t>m</w:t>
      </w:r>
      <w:r w:rsidRPr="009F25FE">
        <w:t>anagement</w:t>
      </w:r>
      <w:r w:rsidRPr="00CE7954">
        <w:t xml:space="preserve"> </w:t>
      </w:r>
      <w:r w:rsidRPr="00CE7954">
        <w:fldChar w:fldCharType="begin" w:fldLock="1"/>
      </w:r>
      <w:r>
        <w:instrText>ADDIN CSL_CITATION {"citationItems":[{"id":"ITEM-1","itemData":{"URL":"https://www.england.nhs.uk/blog/apps-library-is-advance-for-a-digital-nhs/","accessed":{"date-parts":[["2018","2","10"]]},"author":[{"dropping-particle":"","family":"Bauer","given":"Juliet.","non-dropping-particle":"","parse-names":false,"suffix":""},{"dropping-particle":"","family":"Murphy","given":"Rachel.","non-dropping-particle":"","parse-names":false,"suffix":""}],"container-title":"NHS England","id":"ITEM-1","issued":{"date-parts":[["2017"]]},"title":"Apps library is advance for a digital NHS","type":"webpage"},"uris":["http://www.mendeley.com/documents/?uuid=095db215-041c-33a1-ad48-d2cade756ffd"]}],"mendeley":{"formattedCitation":"(Bauer and Murphy, 2017)","plainTextFormattedCitation":"(Bauer and Murphy, 2017)","previouslyFormattedCitation":"(Bauer and Murphy, 2017)"},"properties":{"noteIndex":0},"schema":"https://github.com/citation-style-language/schema/raw/master/csl-citation.json"}</w:instrText>
      </w:r>
      <w:r w:rsidRPr="00CE7954">
        <w:fldChar w:fldCharType="separate"/>
      </w:r>
      <w:r w:rsidRPr="00D43C5A">
        <w:rPr>
          <w:noProof/>
        </w:rPr>
        <w:t>(Bauer and Murphy, 2017)</w:t>
      </w:r>
      <w:r w:rsidRPr="00CE7954">
        <w:fldChar w:fldCharType="end"/>
      </w:r>
      <w:r w:rsidRPr="00CE7954">
        <w:t>. Finally in October 2017, Public Health England (PHE) released guidance for app developers, assessors and commiss</w:t>
      </w:r>
      <w:r>
        <w:t xml:space="preserve">ioners </w:t>
      </w:r>
      <w:r w:rsidRPr="00CE7954">
        <w:fldChar w:fldCharType="begin" w:fldLock="1"/>
      </w:r>
      <w:r>
        <w:instrText>ADDIN CSL_CITATION {"citationItems":[{"id":"ITEM-1","itemData":{"URL":"https://www.gov.uk/government/collections/health-app-development-creating-apps-for-health-professionals","accessed":{"date-parts":[["2018","2","10"]]},"author":[{"dropping-particle":"","family":"Public Health England","given":"","non-dropping-particle":"","parse-names":false,"suffix":""}],"container-title":"gov.uk","id":"ITEM-1","issued":{"date-parts":[["2017"]]},"title":"Health app development: the app assessment process","type":"webpage"},"uris":["http://www.mendeley.com/documents/?uuid=18ca23aa-a20e-491e-9065-915500e551db"]}],"mendeley":{"formattedCitation":"(Public Health England, 2017)","plainTextFormattedCitation":"(Public Health England, 2017)","previouslyFormattedCitation":"(Public Health England, 2017)"},"properties":{"noteIndex":0},"schema":"https://github.com/citation-style-language/schema/raw/master/csl-citation.json"}</w:instrText>
      </w:r>
      <w:r w:rsidRPr="00CE7954">
        <w:fldChar w:fldCharType="separate"/>
      </w:r>
      <w:r w:rsidRPr="00D43C5A">
        <w:rPr>
          <w:noProof/>
        </w:rPr>
        <w:t>(Public Health England, 2017)</w:t>
      </w:r>
      <w:r w:rsidRPr="00CE7954">
        <w:fldChar w:fldCharType="end"/>
      </w:r>
      <w:r w:rsidRPr="00CE7954">
        <w:t>.</w:t>
      </w:r>
      <w:r>
        <w:t xml:space="preserve">  Just prior to the removal of the NHS App Libraries,</w:t>
      </w:r>
      <w:r w:rsidRPr="00B829B7">
        <w:rPr>
          <w:noProof/>
        </w:rPr>
        <w:t xml:space="preserve"> Bennion </w:t>
      </w:r>
      <w:r w:rsidRPr="00B829B7">
        <w:rPr>
          <w:i/>
          <w:noProof/>
        </w:rPr>
        <w:t>et al.</w:t>
      </w:r>
      <w:r>
        <w:t xml:space="preserve"> </w:t>
      </w:r>
      <w:r>
        <w:fldChar w:fldCharType="begin" w:fldLock="1"/>
      </w:r>
      <w:r>
        <w:instrText>ADDIN CSL_CITATION {"citationItems":[{"id":"ITEM-1","itemData":{"DOI":"10.1136/bmjopen-2016-014844","ISSN":"2044-6055","abstract":"AbstractObjective To document the range of web and smartphone apps used and recommended for stress, anxiety or depression by the National Health Service (NHS) in England.","author":[{"dropping-particle":"","family":"Bennion","given":"M R","non-dropping-particle":"","parse-names":false,"suffix":""},{"dropping-particle":"","family":"Hardy","given":"G","non-dropping-particle":"","parse-names":false,"suffix":""},{"dropping-particle":"","family":"Moore","given":"R K","non-dropping-particle":"","parse-names":false,"suffix":""},{"dropping-particle":"","family":"Millings","given":"A","non-dropping-particle":"","parse-names":false,"suffix":""}],"container-title":"BMJ Open","id":"ITEM-1","issue":"1","issued":{"date-parts":[["2017","1","23"]]},"page":"e014844","title":"E-therapies in England for stress, anxiety or depression: what is being used in the NHS? A survey of mental health services","type":"article-journal","volume":"7"},"uris":["http://www.mendeley.com/documents/?uuid=556ea185-6792-4d98-a23a-9fd6f0b2957c"]}],"mendeley":{"formattedCitation":"(Bennion &lt;i&gt;et al.&lt;/i&gt;, 2017)","manualFormatting":"(2017)","plainTextFormattedCitation":"(Bennion et al., 2017)","previouslyFormattedCitation":"(Bennion &lt;i&gt;et al.&lt;/i&gt;, 2017)"},"properties":{"noteIndex":0},"schema":"https://github.com/citation-style-language/schema/raw/master/csl-citation.json"}</w:instrText>
      </w:r>
      <w:r>
        <w:fldChar w:fldCharType="separate"/>
      </w:r>
      <w:r w:rsidRPr="00B829B7">
        <w:rPr>
          <w:noProof/>
        </w:rPr>
        <w:t>(2017)</w:t>
      </w:r>
      <w:r>
        <w:fldChar w:fldCharType="end"/>
      </w:r>
      <w:r>
        <w:t xml:space="preserve"> systematically surveyed app content, and together with strategic deployment of Freedom of Information requests, compiled a list of NHS used and recommended e</w:t>
      </w:r>
      <w:r>
        <w:noBreakHyphen/>
        <w:t xml:space="preserve">therapies (presented in </w:t>
      </w:r>
      <w:r w:rsidR="004C4A0A">
        <w:t>C</w:t>
      </w:r>
      <w:r>
        <w:t xml:space="preserve">hapter </w:t>
      </w:r>
      <w:r w:rsidR="004C4A0A">
        <w:t>two</w:t>
      </w:r>
      <w:r>
        <w:t xml:space="preserve">).  </w:t>
      </w:r>
      <w:r w:rsidRPr="00560F51">
        <w:t xml:space="preserve">This </w:t>
      </w:r>
      <w:r>
        <w:t>evidence was</w:t>
      </w:r>
      <w:r w:rsidRPr="00560F51">
        <w:t xml:space="preserve"> </w:t>
      </w:r>
      <w:r>
        <w:t xml:space="preserve">subsequently </w:t>
      </w:r>
      <w:r w:rsidRPr="00560F51">
        <w:t xml:space="preserve">used by both NHS England and NICE </w:t>
      </w:r>
      <w:r>
        <w:t xml:space="preserve">in the development of NICE’s process for </w:t>
      </w:r>
      <w:r w:rsidRPr="00560F51">
        <w:t>assessing digitally-enabled psychological therapies for use in I</w:t>
      </w:r>
      <w:r>
        <w:t xml:space="preserve">mproving </w:t>
      </w:r>
      <w:r w:rsidRPr="00560F51">
        <w:t>A</w:t>
      </w:r>
      <w:r>
        <w:t xml:space="preserve">ccess to </w:t>
      </w:r>
      <w:r w:rsidRPr="00560F51">
        <w:t>P</w:t>
      </w:r>
      <w:r>
        <w:t xml:space="preserve">sychological </w:t>
      </w:r>
      <w:r w:rsidRPr="00560F51">
        <w:t>T</w:t>
      </w:r>
      <w:r>
        <w:t>herapies (IAPT)</w:t>
      </w:r>
      <w:r w:rsidRPr="00560F51">
        <w:t xml:space="preserve"> services</w:t>
      </w:r>
      <w:r>
        <w:t xml:space="preserve"> (</w:t>
      </w:r>
      <w:r w:rsidRPr="00F2207B">
        <w:t xml:space="preserve">see Appendix </w:t>
      </w:r>
      <w:r w:rsidR="00F2207B">
        <w:t>B1</w:t>
      </w:r>
      <w:r>
        <w:t>).</w:t>
      </w:r>
    </w:p>
    <w:p w14:paraId="7662CDA5" w14:textId="5257DF76" w:rsidR="00F1508E" w:rsidRPr="000620DD" w:rsidRDefault="00F1508E" w:rsidP="00F1508E">
      <w:pPr>
        <w:rPr>
          <w:rFonts w:eastAsia="Times New Roman" w:cs="Arial"/>
          <w:lang w:eastAsia="en-GB"/>
        </w:rPr>
      </w:pPr>
      <w:r w:rsidRPr="00CE7954">
        <w:t xml:space="preserve">Clearly, there is tension </w:t>
      </w:r>
      <w:r>
        <w:t xml:space="preserve">(and often a pronounced time lag) </w:t>
      </w:r>
      <w:r w:rsidRPr="00CE7954">
        <w:t xml:space="preserve">between the speed at which an </w:t>
      </w:r>
      <w:r>
        <w:t>e</w:t>
      </w:r>
      <w:r>
        <w:noBreakHyphen/>
        <w:t>therapy</w:t>
      </w:r>
      <w:r w:rsidRPr="00CE7954">
        <w:t xml:space="preserve"> can be developed and disseminated and the evidence base regarding its safety, feasibility, </w:t>
      </w:r>
      <w:r>
        <w:t xml:space="preserve">acceptability, </w:t>
      </w:r>
      <w:r w:rsidRPr="00CE7954">
        <w:t xml:space="preserve">effectiveness and efficacy. </w:t>
      </w:r>
      <w:r>
        <w:t xml:space="preserve"> </w:t>
      </w:r>
      <w:r>
        <w:rPr>
          <w:rFonts w:eastAsia="Times New Roman" w:cs="Arial"/>
        </w:rPr>
        <w:t>There are</w:t>
      </w:r>
      <w:r w:rsidRPr="000620DD">
        <w:rPr>
          <w:rFonts w:eastAsia="Times New Roman" w:cs="Arial"/>
        </w:rPr>
        <w:t xml:space="preserve"> Medical Research Council guidelines </w:t>
      </w:r>
      <w:r>
        <w:rPr>
          <w:rFonts w:eastAsia="Times" w:cs="Arial"/>
        </w:rPr>
        <w:fldChar w:fldCharType="begin" w:fldLock="1"/>
      </w:r>
      <w:r>
        <w:rPr>
          <w:rFonts w:eastAsia="Times" w:cs="Arial"/>
        </w:rPr>
        <w:instrText>ADDIN CSL_CITATION {"citationItems":[{"id":"ITEM-1","itemData":{"DOI":"10.1136/bmj.a1655","ISSN":"1756-1833","PMID":"18824488","author":[{"dropping-particle":"","family":"Craig","given":"Peter","non-dropping-particle":"","parse-names":false,"suffix":""},{"dropping-particle":"","family":"Dieppe","given":"Paul","non-dropping-particle":"","parse-names":false,"suffix":""},{"dropping-particle":"","family":"Macintyre","given":"Sally","non-dropping-particle":"","parse-names":false,"suffix":""},{"dropping-particle":"","family":"Michie","given":"Susan","non-dropping-particle":"","parse-names":false,"suffix":""},{"dropping-particle":"","family":"Nazareth","given":"Irwin","non-dropping-particle":"","parse-names":false,"suffix":""},{"dropping-particle":"","family":"Petticrew","given":"Mark","non-dropping-particle":"","parse-names":false,"suffix":""},{"dropping-particle":"","family":"Medical Research Council Guidance","given":"","non-dropping-particle":"","parse-names":false,"suffix":""}],"container-title":"BMJ (Clinical research ed.)","id":"ITEM-1","issued":{"date-parts":[["2008","9","29"]]},"page":"a1655","publisher":"BMJ Publishing Group","title":"Developing and evaluating complex interventions: the new Medical Research Council guidance.","type":"article-journal","volume":"337"},"uris":["http://www.mendeley.com/documents/?uuid=670e32a9-59b2-3887-90e7-b58a15b2c007"]}],"mendeley":{"formattedCitation":"(Craig &lt;i&gt;et al.&lt;/i&gt;, 2008)","plainTextFormattedCitation":"(Craig et al., 2008)","previouslyFormattedCitation":"(Craig &lt;i&gt;et al.&lt;/i&gt;, 2008)"},"properties":{"noteIndex":0},"schema":"https://github.com/citation-style-language/schema/raw/master/csl-citation.json"}</w:instrText>
      </w:r>
      <w:r>
        <w:rPr>
          <w:rFonts w:eastAsia="Times" w:cs="Arial"/>
        </w:rPr>
        <w:fldChar w:fldCharType="separate"/>
      </w:r>
      <w:r w:rsidRPr="00D43C5A">
        <w:rPr>
          <w:rFonts w:eastAsia="Times" w:cs="Arial"/>
          <w:noProof/>
        </w:rPr>
        <w:t xml:space="preserve">(Craig </w:t>
      </w:r>
      <w:r w:rsidRPr="00D43C5A">
        <w:rPr>
          <w:rFonts w:eastAsia="Times" w:cs="Arial"/>
          <w:i/>
          <w:noProof/>
        </w:rPr>
        <w:t>et al.</w:t>
      </w:r>
      <w:r w:rsidRPr="00D43C5A">
        <w:rPr>
          <w:rFonts w:eastAsia="Times" w:cs="Arial"/>
          <w:noProof/>
        </w:rPr>
        <w:t>, 2008)</w:t>
      </w:r>
      <w:r>
        <w:rPr>
          <w:rFonts w:eastAsia="Times" w:cs="Arial"/>
        </w:rPr>
        <w:fldChar w:fldCharType="end"/>
      </w:r>
      <w:r>
        <w:rPr>
          <w:rFonts w:eastAsia="Times" w:cs="Arial"/>
        </w:rPr>
        <w:t xml:space="preserve"> </w:t>
      </w:r>
      <w:r w:rsidRPr="000620DD">
        <w:rPr>
          <w:rFonts w:eastAsia="Times New Roman" w:cs="Arial"/>
        </w:rPr>
        <w:t xml:space="preserve">for the development </w:t>
      </w:r>
      <w:r>
        <w:rPr>
          <w:rFonts w:eastAsia="Times New Roman" w:cs="Arial"/>
        </w:rPr>
        <w:t xml:space="preserve">and evaluation </w:t>
      </w:r>
      <w:r w:rsidRPr="000620DD">
        <w:rPr>
          <w:rFonts w:eastAsia="Times New Roman" w:cs="Arial"/>
        </w:rPr>
        <w:t xml:space="preserve">of complex </w:t>
      </w:r>
      <w:r>
        <w:rPr>
          <w:rFonts w:eastAsia="Times New Roman" w:cs="Arial"/>
        </w:rPr>
        <w:t xml:space="preserve">health </w:t>
      </w:r>
      <w:r w:rsidRPr="000620DD">
        <w:rPr>
          <w:rFonts w:eastAsia="Times New Roman" w:cs="Arial"/>
        </w:rPr>
        <w:t xml:space="preserve">interventions </w:t>
      </w:r>
      <w:r>
        <w:rPr>
          <w:rFonts w:eastAsia="Times New Roman" w:cs="Arial"/>
        </w:rPr>
        <w:t xml:space="preserve">(i.e. such as apps), but these appear to have been largely ignored by most app developers, possibly through ignorance rather than intent. </w:t>
      </w:r>
      <w:r w:rsidR="00554CB4">
        <w:rPr>
          <w:rFonts w:eastAsia="Times New Roman" w:cs="Arial"/>
        </w:rPr>
        <w:t xml:space="preserve"> </w:t>
      </w:r>
      <w:r>
        <w:rPr>
          <w:rFonts w:eastAsia="Times New Roman" w:cs="Arial"/>
        </w:rPr>
        <w:t>Therefore, u</w:t>
      </w:r>
      <w:r w:rsidRPr="00CE7954">
        <w:t xml:space="preserve">nlike </w:t>
      </w:r>
      <w:r>
        <w:t>other mental health treatments delivered in the NHS,</w:t>
      </w:r>
      <w:r w:rsidRPr="00CE7954">
        <w:t xml:space="preserve"> some </w:t>
      </w:r>
      <w:r>
        <w:t>e</w:t>
      </w:r>
      <w:r>
        <w:noBreakHyphen/>
        <w:t>therapies</w:t>
      </w:r>
      <w:r w:rsidRPr="00CE7954">
        <w:t xml:space="preserve"> seem to have leapfrogged the process of </w:t>
      </w:r>
      <w:r>
        <w:t xml:space="preserve">rigorous </w:t>
      </w:r>
      <w:r w:rsidRPr="00CE7954">
        <w:t>evaluation specified in the ‘hourg</w:t>
      </w:r>
      <w:r>
        <w:t xml:space="preserve">lass’ model </w:t>
      </w:r>
      <w:r>
        <w:fldChar w:fldCharType="begin" w:fldLock="1"/>
      </w:r>
      <w:r>
        <w:instrText>ADDIN CSL_CITATION {"citationItems":[{"id":"ITEM-1","itemData":{"DOI":"10.1002/jclp.21909","ISSN":"1097-4679","abstract":"Objective\\n\\nThe present study investigated the effectiveness and feasibility of a cognitive-behavioral group intervention for the treatment of body image disturbance in women with eating disorders.\\n\\n\\nMethod\\n\\nThe study used a multiple-baseline design and enrolled 38 participants with a range of eating disorders. The intervention targeted attitudinal and behavioral components of body image disturbance using psychoeducation, self-monitoring, systematic desensitization, and cognitive restructuring. Primary outcomes included multidimensional body image assessment (effectiveness) and treatment adherence and satisfaction (feasibility).\\n\\n\\nResults\\n\\nParticipants undergoing manualized group treatment reported significantly less body image disturbance than participants randomized to a waitlist control condition. However, differences disappeared after both groups had been through intervention. Participants also reported less depression and eating disorder pathology from baseline to posttreatment, however this difference was not considered statistically significant. Feasibility outcomes suggest the intervention was well received and highly acceptable to participants.\\n\\n\\nConclusions\\n\\nFindings emphasize the importance of adding an evidence-based body image component to standard eating disorder treatment. ©2012 Wiley Periodicals, Inc. J. Clin. Psychol. 00:1-13, 2012.","author":[{"dropping-particle":"","family":"Salkovskis","given":"P.","non-dropping-particle":"","parse-names":false,"suffix":""}],"container-title":"Research foundations for psychotherapy practice","id":"ITEM-1","issued":{"date-parts":[["1995"]]},"page":"191-228","title":"Demonstrating specific effects in cognitive and behavioural therapy","type":"chapter"},"uris":["http://www.mendeley.com/documents/?uuid=00551e06-6b87-48d7-971c-9223d0f12919"]}],"mendeley":{"formattedCitation":"(Salkovskis, 1995)","plainTextFormattedCitation":"(Salkovskis, 1995)","previouslyFormattedCitation":"(Salkovskis, 1995)"},"properties":{"noteIndex":0},"schema":"https://github.com/citation-style-language/schema/raw/master/csl-citation.json"}</w:instrText>
      </w:r>
      <w:r>
        <w:fldChar w:fldCharType="separate"/>
      </w:r>
      <w:r w:rsidRPr="00956BEB">
        <w:rPr>
          <w:noProof/>
        </w:rPr>
        <w:t>(Salkovskis, 1995)</w:t>
      </w:r>
      <w:r>
        <w:fldChar w:fldCharType="end"/>
      </w:r>
      <w:r>
        <w:t xml:space="preserve">.  In the hourglass model, new therapies are first examined in studies with high external validity (stage 1), before progressing onto randomised and controlled research trials with high internal validity (stage 2) prior to dissemination (i.e. evidence-based practice) and service-wide audit and evaluation at stage 3.  Randomised controlled trials (RCTs) are viewed as ‘gold standard’ in terms of therapeutic evaluation because of their high levels of internal validity </w:t>
      </w:r>
      <w:r>
        <w:fldChar w:fldCharType="begin" w:fldLock="1"/>
      </w:r>
      <w:r>
        <w:instrText>ADDIN CSL_CITATION {"citationItems":[{"id":"ITEM-1","itemData":{"DOI":"10.1056/NEJMms1604593","ISSN":"0028-4793","abstract":"Randomized, controlled trials have become the gold standard of medical knowledge. Yet their scientific and political history offers lessons about the complexity of medicine and disease and the economic and political forces shaping the production and circulation of knowledge.","author":[{"dropping-particle":"","family":"Bothwell","given":"Laura E.","non-dropping-particle":"","parse-names":false,"suffix":""},{"dropping-particle":"","family":"Greene","given":"Jeremy A.","non-dropping-particle":"","parse-names":false,"suffix":""},{"dropping-particle":"","family":"Podolsky","given":"Scott H.","non-dropping-particle":"","parse-names":false,"suffix":""},{"dropping-particle":"","family":"Jones","given":"David S.","non-dropping-particle":"","parse-names":false,"suffix":""}],"container-title":"New England Journal of Medicine","editor":[{"dropping-particle":"","family":"Malina","given":"Debra","non-dropping-particle":"","parse-names":false,"suffix":""}],"id":"ITEM-1","issue":"22","issued":{"date-parts":[["2016","6","2"]]},"page":"2175-2181","publisher":"Massachusetts Medical Society","title":"Assessing the Gold Standard — Lessons from the History of RCTs","type":"article-journal","volume":"374"},"uris":["http://www.mendeley.com/documents/?uuid=134a3f50-fa49-3587-880a-cb04aea6af7e"]}],"mendeley":{"formattedCitation":"(Bothwell &lt;i&gt;et al.&lt;/i&gt;, 2016)","plainTextFormattedCitation":"(Bothwell et al., 2016)","previouslyFormattedCitation":"(Bothwell &lt;i&gt;et al.&lt;/i&gt;, 2016)"},"properties":{"noteIndex":0},"schema":"https://github.com/citation-style-language/schema/raw/master/csl-citation.json"}</w:instrText>
      </w:r>
      <w:r>
        <w:fldChar w:fldCharType="separate"/>
      </w:r>
      <w:r w:rsidRPr="00956BEB">
        <w:rPr>
          <w:noProof/>
        </w:rPr>
        <w:t xml:space="preserve">(Bothwell </w:t>
      </w:r>
      <w:r w:rsidRPr="00956BEB">
        <w:rPr>
          <w:i/>
          <w:noProof/>
        </w:rPr>
        <w:t>et al.</w:t>
      </w:r>
      <w:r w:rsidRPr="00956BEB">
        <w:rPr>
          <w:noProof/>
        </w:rPr>
        <w:t>, 2016)</w:t>
      </w:r>
      <w:r>
        <w:fldChar w:fldCharType="end"/>
      </w:r>
      <w:r>
        <w:t>.  This study therefore chose to focus solely on RCTs of mental health apps in common use or recommended by the NHS.</w:t>
      </w:r>
      <w:r w:rsidRPr="00CE7954">
        <w:t xml:space="preserve"> </w:t>
      </w:r>
      <w:r>
        <w:t xml:space="preserve"> The central purpose of this review is to</w:t>
      </w:r>
      <w:r w:rsidRPr="00CE7954">
        <w:t xml:space="preserve"> </w:t>
      </w:r>
      <w:r>
        <w:t>therefore summarise the evidence base for the efficacy of e</w:t>
      </w:r>
      <w:r>
        <w:noBreakHyphen/>
        <w:t>therapy with adults</w:t>
      </w:r>
      <w:r w:rsidRPr="0011380B">
        <w:t xml:space="preserve"> </w:t>
      </w:r>
      <w:r>
        <w:t>and older adults in order to better inform the commissioning and use of e</w:t>
      </w:r>
      <w:r>
        <w:noBreakHyphen/>
        <w:t xml:space="preserve">therapies in clinical services.  No previous </w:t>
      </w:r>
      <w:proofErr w:type="gramStart"/>
      <w:r>
        <w:t>meta</w:t>
      </w:r>
      <w:proofErr w:type="gramEnd"/>
      <w:r>
        <w:t xml:space="preserve"> analyses of the effectiveness </w:t>
      </w:r>
      <w:r w:rsidRPr="00CE7954">
        <w:t xml:space="preserve">of NHS </w:t>
      </w:r>
      <w:r>
        <w:t>recommended e</w:t>
      </w:r>
      <w:r>
        <w:noBreakHyphen/>
        <w:t>therapies</w:t>
      </w:r>
      <w:r w:rsidRPr="00CE7954">
        <w:t xml:space="preserve"> </w:t>
      </w:r>
      <w:r>
        <w:t>for</w:t>
      </w:r>
      <w:r w:rsidRPr="00CE7954">
        <w:t xml:space="preserve"> </w:t>
      </w:r>
      <w:r>
        <w:t xml:space="preserve">anxiety and depression </w:t>
      </w:r>
      <w:r w:rsidRPr="00CE7954">
        <w:t xml:space="preserve">has </w:t>
      </w:r>
      <w:r>
        <w:t xml:space="preserve">been attempted and studies with older adult samples have been included to ensure breadth of application.  LI interventions typically treat common mental health problems (i.e. anxiety disorders and depression; </w:t>
      </w:r>
      <w:r w:rsidRPr="00E325A1">
        <w:rPr>
          <w:rFonts w:cs="Arial"/>
          <w:color w:val="231F20"/>
        </w:rPr>
        <w:fldChar w:fldCharType="begin" w:fldLock="1"/>
      </w:r>
      <w:r>
        <w:rPr>
          <w:rFonts w:cs="Arial"/>
          <w:color w:val="231F20"/>
        </w:rPr>
        <w:instrText>ADDIN CSL_CITATION {"citationItems":[{"id":"ITEM-1","itemData":{"DOI":"10.1111/etap.12067","abstract":"Foreword This guide was produced following an Improving Access to Psychological Therapies (IAPT) Conference held at the Queens Hotel in Leeds in February 2009. The conference had been organised in response to feedback from services and those attending training courses expressing a need for expert guidance on the use of self-help materials given the wide range of different materials and media all purporting to offer helpful advice and information to people about a range of problems and disorders. A conference was organised with expert researchers and practitioners who had experience of developing self-help materials in order to discuss whether guidance should be forthcoming and in which form it should take. Rather than endorsing particular self-help materials that are available, the conference focused on attempting to derive a set of criteria by which both practitioners and people might be able to assess the utility and effectiveness of particular materials. It was agreed that these principles might provide the basis for a 'Good Practice Guide' about how to choose and use self-help materials.","author":[{"dropping-particle":"","family":"Turpin","given":"Graham","non-dropping-particle":"","parse-names":false,"suffix":""}],"id":"ITEM-1","issue":"March","issued":{"date-parts":[["2010"]]},"page":"1-39","title":"Good practice guidance on the use of self-help materials within IAPT services","type":"article-journal","volume":"March"},"uris":["http://www.mendeley.com/documents/?uuid=a5ce6a58-b237-448a-b522-8e7942169861"]}],"mendeley":{"formattedCitation":"(Turpin, 2010)","manualFormatting":"Turpin, 2010","plainTextFormattedCitation":"(Turpin, 2010)","previouslyFormattedCitation":"(Turpin, 2010)"},"properties":{"noteIndex":0},"schema":"https://github.com/citation-style-language/schema/raw/master/csl-citation.json"}</w:instrText>
      </w:r>
      <w:r w:rsidRPr="00E325A1">
        <w:rPr>
          <w:rFonts w:cs="Arial"/>
          <w:color w:val="231F20"/>
        </w:rPr>
        <w:fldChar w:fldCharType="separate"/>
      </w:r>
      <w:r w:rsidRPr="00E325A1">
        <w:rPr>
          <w:rFonts w:cs="Arial"/>
          <w:noProof/>
          <w:color w:val="231F20"/>
        </w:rPr>
        <w:t>Turpin, 2010</w:t>
      </w:r>
      <w:r w:rsidRPr="00E325A1">
        <w:rPr>
          <w:rFonts w:cs="Arial"/>
          <w:color w:val="231F20"/>
        </w:rPr>
        <w:fldChar w:fldCharType="end"/>
      </w:r>
      <w:r>
        <w:t xml:space="preserve">) and therefore this review is focal to the evaluation of clinical outcomes for apps for the management of anxiety and depression.  </w:t>
      </w:r>
      <w:r w:rsidRPr="00CE7954">
        <w:t xml:space="preserve">Thus, the </w:t>
      </w:r>
      <w:r>
        <w:t xml:space="preserve">primary </w:t>
      </w:r>
      <w:r w:rsidRPr="00CE7954">
        <w:t xml:space="preserve">aim </w:t>
      </w:r>
      <w:r>
        <w:t>of</w:t>
      </w:r>
      <w:r w:rsidRPr="00CE7954">
        <w:t xml:space="preserve"> this study </w:t>
      </w:r>
      <w:r>
        <w:t>was</w:t>
      </w:r>
      <w:r w:rsidRPr="00CE7954">
        <w:t xml:space="preserve"> to </w:t>
      </w:r>
      <w:r>
        <w:t xml:space="preserve">quantify and synthesise </w:t>
      </w:r>
      <w:r w:rsidRPr="00CE7954">
        <w:t xml:space="preserve">the </w:t>
      </w:r>
      <w:r>
        <w:t>clinical trial evidence base for NHS recommended e</w:t>
      </w:r>
      <w:r>
        <w:noBreakHyphen/>
        <w:t>therapies, via calculating effect sizes and associated numbers need to treat.  Given the acknowledged issues concerning the non-adoption and drop-out of providing e</w:t>
      </w:r>
      <w:r>
        <w:noBreakHyphen/>
        <w:t xml:space="preserve">therapies </w:t>
      </w:r>
      <w:r>
        <w:fldChar w:fldCharType="begin" w:fldLock="1"/>
      </w:r>
      <w:r>
        <w:instrText>ADDIN CSL_CITATION {"citationItems":[{"id":"ITEM-1","itemData":{"DOI":"10.1017/S0033291708004224","ISSN":"0033-2917","abstract":"&lt;div class=\"abstract\" data-abstract-type=\"normal\"&gt;&lt;sec id='sec_001'&gt;&lt;span class=\"bold\"&gt;Background&lt;/span&gt;&lt;p&gt;Studies of cognitive behavioural therapy delivered by computer (cCBT) show clinical efficacy for treating anxiety and depression, but have not focused on barriers to uptake. Potential barriers include adverse consequences, accessibility and acceptability.&lt;/p&gt;&lt;/sec&gt;&lt;sec id='sec_a002'&gt;&lt;span class=\"bold\"&gt;Method&lt;/span&gt;&lt;p&gt;An integrated systematic review was conducted of quantitative and qualitative studies and surveys from multiple electronic databases where computers delivered cCBT for anxiety or depression.&lt;/p&gt;&lt;/sec&gt;&lt;sec secType='results' id='sec_a003'&gt;&lt;span class=\"bold\"&gt;Results&lt;/span&gt;&lt;p&gt;Substantial numbers of potential participants are lost prior to trials commencing with little explanation. Among trial participants, drop-outs may be higher in the cCBT groups (odds ratio 2.03, 95% confidence interval 0.81–5.09). Only a median of 56% completed a full course of cCBT and personal circumstance was a more common cause of drop-out than difficulties with the technology or social background. Risk was rarely assessed in the majority of programs. Significant staff time was needed to support clients. Therapists were more negative about cCBT than clients.&lt;/p&gt;&lt;/sec&gt;&lt;sec secType='conclusion' id='sec_a004'&gt;&lt;span class=\"bold\"&gt;Conclusions&lt;/span&gt;&lt;p&gt;While cCBT is likely to be an effective and acceptable intervention for some people, there are barriers to its uptake that will substantially limit its impact if not addressed. These included investigating the outcome and attitudes of those who do not make it as far as cCBT trials and why so few finish a full course of cCBT.&lt;/p&gt;&lt;/sec&gt;&lt;/div&gt;","author":[{"dropping-particle":"","family":"Waller","given":"R.","non-dropping-particle":"","parse-names":false,"suffix":""},{"dropping-particle":"","family":"Gilbody","given":"S.","non-dropping-particle":"","parse-names":false,"suffix":""}],"container-title":"Psychological Medicine","id":"ITEM-1","issue":"05","issued":{"date-parts":[["2009","5","24"]]},"page":"705","publisher":"Cambridge University Press","title":"Barriers to the uptake of computerized cognitive behavioural therapy: a systematic review of the quantitative and qualitative evidence","type":"article-journal","volume":"39"},"uris":["http://www.mendeley.com/documents/?uuid=5f7e3e04-77eb-3a2a-9282-103f3ff9b729"]},{"id":"ITEM-2","itemData":{"DOI":"10.2196/jmir.1642","ISSN":"1438-8871","PMID":"21163776","abstract":"BACKGROUND Online self-help interventions for problem drinkers show promising results, but the effectiveness of online therapy with active involvement of a therapist via the Internet only has not been examined. OBJECTIVE The objective of our study was to evaluate an e-therapy program with active therapeutic involvement for problem drinkers, with the hypotheses that e-therapy would (1) reduce weekly alcohol consumption, and (2) improve health status. Reasons for dropout were also systematically investigated. METHOD In an open randomized controlled trial, Dutch-speaking problem drinkers in the general population were randomly assigned (in blocks of 8, according to a computer-generated random list) to the 3-month e-therapy program (n = 78) or the waiting list control group (n = 78). The e-therapy program consisted of a structured 2-part online treatment program in which the participant and the therapist communicated asynchronously, via the Internet only. Participants in the waiting list control group received \"no-reply\" email messages once every 2 weeks. The primary outcome measures were (1) the difference in the score on weekly alcohol consumption, and (2) the proportion of participants drinking under the problem drinking limit. Intention-to-treat analyses were performed using multiple imputations to deal with loss to follow-up. A dropout questionnaire was sent to anyone who did not complete the 3-month assessment. Reasons for dropout were independently assessed by the first and third author. RESULTS Of the 156 individuals who were randomly assigned, 102 (65%) completed assessment at 3 months. In the intention-to-treat analyses, the e-therapy group (n = 78) showed a significantly greater decrease in alcohol consumption than those in the control group (n = 78) at 3 months. The e-therapy group decreased their mean weekly alcohol consumption by 28.8 units compared with 3.1 units in the control group, a difference in means of 25.6 units on a weekly basis (95% confidence interval 15.69-35.80, P &lt; .001). The between-group effect size (pooled SD) was large (d = 1.21). The results also showed that 68% (53/78) of the e-therapy group was drinking less than 15 (females) or 22 (males) units a week, compared with 15% (12/78) in the control group (OR 12.0, number needed to treat 1.9, P &lt; .001). Dropout analysis showed that the main reasons for dropouts (n = 54) were personal reasons unrelated to the e-therapy program, discomfort with the treatment protocol, and satisfa…","author":[{"dropping-particle":"","family":"Postel","given":"Marloes G","non-dropping-particle":"","parse-names":false,"suffix":""},{"dropping-particle":"","family":"Haan","given":"Hein A","non-dropping-particle":"de","parse-names":false,"suffix":""},{"dropping-particle":"","family":"Huurne","given":"Elke D","non-dropping-particle":"ter","parse-names":false,"suffix":""},{"dropping-particle":"","family":"Becker","given":"Eni S","non-dropping-particle":"","parse-names":false,"suffix":""},{"dropping-particle":"","family":"Jong","given":"Cor AJ","non-dropping-particle":"de","parse-names":false,"suffix":""}],"container-title":"Journal of Medical Internet Research","id":"ITEM-2","issue":"4","issued":{"date-parts":[["2010","12","16"]]},"page":"e68","title":"Effectiveness of a Web-based Intervention for Problem Drinkers and Reasons for Dropout: Randomized Controlled Trial","type":"article-journal","volume":"12"},"uris":["http://www.mendeley.com/documents/?uuid=856eefce-aa69-3724-ac0f-858442a738c7"]},{"id":"ITEM-3","itemData":{"DOI":"10.1007/s10567-010-0069-9","ISSN":"1096-4037","author":[{"dropping-particle":"","family":"Richardson","given":"Thomas","non-dropping-particle":"","parse-names":false,"suffix":""},{"dropping-particle":"","family":"Stallard","given":"Paul","non-dropping-particle":"","parse-names":false,"suffix":""},{"dropping-particle":"","family":"Velleman","given":"Sophie","non-dropping-particle":"","parse-names":false,"suffix":""}],"container-title":"Clinical Child and Family Psychology Review","id":"ITEM-3","issue":"3","issued":{"date-parts":[["2010","9","9"]]},"page":"275-290","publisher":"Springer US","title":"Computerised Cognitive Behavioural Therapy for the Prevention and Treatment of Depression and Anxiety in Children and Adolescents: A Systematic Review","type":"article-journal","volume":"13"},"uris":["http://www.mendeley.com/documents/?uuid=9b305b20-7992-3b46-8be0-91f32c99c1cd"]}],"mendeley":{"formattedCitation":"(Waller and Gilbody, 2009; Postel &lt;i&gt;et al.&lt;/i&gt;, 2010; Richardson, Stallard and Velleman, 2010)","plainTextFormattedCitation":"(Waller and Gilbody, 2009; Postel et al., 2010; Richardson, Stallard and Velleman, 2010)","previouslyFormattedCitation":"(Waller and Gilbody, 2009; Postel &lt;i&gt;et al.&lt;/i&gt;, 2010; Richardson, Stallard and Velleman, 2010)"},"properties":{"noteIndex":0},"schema":"https://github.com/citation-style-language/schema/raw/master/csl-citation.json"}</w:instrText>
      </w:r>
      <w:r>
        <w:fldChar w:fldCharType="separate"/>
      </w:r>
      <w:r w:rsidRPr="0039233C">
        <w:rPr>
          <w:noProof/>
        </w:rPr>
        <w:t xml:space="preserve">(Waller and Gilbody, 2009; Postel </w:t>
      </w:r>
      <w:r w:rsidRPr="0039233C">
        <w:rPr>
          <w:i/>
          <w:noProof/>
        </w:rPr>
        <w:t>et al.</w:t>
      </w:r>
      <w:r w:rsidRPr="0039233C">
        <w:rPr>
          <w:noProof/>
        </w:rPr>
        <w:t>, 2010; Richardson, Stallard and Velleman, 2010)</w:t>
      </w:r>
      <w:r>
        <w:fldChar w:fldCharType="end"/>
      </w:r>
      <w:r>
        <w:t>, a secondary aim of the current review was to summarise dropout rates from e</w:t>
      </w:r>
      <w:r>
        <w:noBreakHyphen/>
        <w:t>therapies.  Finally, this research sought to investigate the impact of potential moderating factors (such as e</w:t>
      </w:r>
      <w:r>
        <w:noBreakHyphen/>
        <w:t xml:space="preserve">therapy duration) via </w:t>
      </w:r>
      <w:r w:rsidRPr="00CE7954">
        <w:t>subgroup and meta-regression analyses</w:t>
      </w:r>
      <w:r>
        <w:t>.</w:t>
      </w:r>
    </w:p>
    <w:p w14:paraId="4778292E" w14:textId="77777777" w:rsidR="00F1508E" w:rsidRPr="008906D6" w:rsidRDefault="00F1508E" w:rsidP="008906D6">
      <w:pPr>
        <w:pStyle w:val="Heading2"/>
      </w:pPr>
      <w:bookmarkStart w:id="218" w:name="_Toc530660494"/>
      <w:bookmarkStart w:id="219" w:name="_Toc3538095"/>
      <w:bookmarkStart w:id="220" w:name="_Hlk515983003"/>
      <w:r w:rsidRPr="008906D6">
        <w:t>Methods</w:t>
      </w:r>
      <w:bookmarkEnd w:id="218"/>
      <w:bookmarkEnd w:id="219"/>
    </w:p>
    <w:p w14:paraId="67D09576" w14:textId="102491B4" w:rsidR="00F1508E" w:rsidRPr="00020CE9" w:rsidRDefault="00F1508E" w:rsidP="008906D6">
      <w:r w:rsidRPr="00020CE9">
        <w:t>The systematic review and meta-analysis followed the PRISMA statement</w:t>
      </w:r>
      <w:r>
        <w:t xml:space="preserve"> </w:t>
      </w:r>
      <w:r>
        <w:fldChar w:fldCharType="begin" w:fldLock="1"/>
      </w:r>
      <w:r>
        <w:instrText>ADDIN CSL_CITATION {"citationItems":[{"id":"ITEM-1","itemData":{"DOI":"10.1136/BMJ.B2535","ISSN":"1756-1833","PMID":"19622551","abstract":"David Moher and colleagues introduce PRISMA, an update of the QUOROM guidelines for reporting systematic reviews and meta-analyses\n\nSystematic reviews and meta-analyses have become increasingly important in health care. Clinicians read them to keep up to date with their specialty,1 2 and they are often used as a starting point for developing clinical practice guidelines. Granting agencies may require a systematic review to ensure there is justification for further research,3 and some medical journals are moving in this direction.4 As with all research, the value of a systematic review depends on what was done, what was found, and the clarity of reporting. As with other publications, the reporting quality of systematic reviews varies, limiting readers’ ability to assess the strengths and weaknesses of those reviews.\n\nSeveral early studies evaluated the quality of review reports. In 1987 Mulrow examined 50 review articles published in four leading medical journals in 1985 and 1986 and found that none met all eight explicit scientific criteria, such as a quality assessment of included studies.5 In 1987 Sacks and colleagues evaluated the adequacy of reporting of 83 meta-analyses on 23 characteristics in six domains.6 Reporting was generally poor; between one and 14 characteristics were adequately reported (mean 7.7, standard deviation 2.7). A 1996 update of this study found little improvement.7\n\nIn 1996, to address the suboptimal reporting of meta-analyses, an international group developed a guidance called the QUOROM statement (QUality Of Reporting Of Meta-analyses), which focused on the reporting of meta-analyses of randomised controlled trials.8 In this article, we summarise a revision of these guidelines, renamed PRISMA (Preferred Reporting Items for Systematic reviews and Meta-Analyses), which have been updated to address several conceptual and practical advances in the science of systematic reviews (see box).\n\n#### Conceptual issues in the evolution from QUOROM to PRISMA\n\n##### Completing a systematic review is an iterative process\n\nThe conduct of a systematic …","author":[{"dropping-particle":"","family":"Moher","given":"David","non-dropping-particle":"","parse-names":false,"suffix":""},{"dropping-particle":"","family":"Liberati","given":"Alessandro","non-dropping-particle":"","parse-names":false,"suffix":""},{"dropping-particle":"","family":"Tetzlaff","given":"Jennifer","non-dropping-particle":"","parse-names":false,"suffix":""},{"dropping-particle":"","family":"Altman","given":"Douglas G","non-dropping-particle":"","parse-names":false,"suffix":""},{"dropping-particle":"","family":"PRISMA Group","given":"","non-dropping-particle":"","parse-names":false,"suffix":""}],"container-title":"BMJ (Clinical research ed.)","id":"ITEM-1","issued":{"date-parts":[["2009","7","21"]]},"page":"b2535","publisher":"British Medical Journal Publishing Group","title":"Preferred reporting items for systematic reviews and meta-analyses: the PRISMA statement.","type":"article-journal","volume":"339"},"uris":["http://www.mendeley.com/documents/?uuid=9b858f01-da28-3808-824b-669f20495af6"]}],"mendeley":{"formattedCitation":"(Moher &lt;i&gt;et al.&lt;/i&gt;, 2009)","plainTextFormattedCitation":"(Moher et al., 2009)","previouslyFormattedCitation":"(Moher &lt;i&gt;et al.&lt;/i&gt;, 2009)"},"properties":{"noteIndex":0},"schema":"https://github.com/citation-style-language/schema/raw/master/csl-citation.json"}</w:instrText>
      </w:r>
      <w:r>
        <w:fldChar w:fldCharType="separate"/>
      </w:r>
      <w:r w:rsidRPr="00D43C5A">
        <w:rPr>
          <w:noProof/>
        </w:rPr>
        <w:t xml:space="preserve">(Moher </w:t>
      </w:r>
      <w:r w:rsidRPr="00D43C5A">
        <w:rPr>
          <w:i/>
          <w:noProof/>
        </w:rPr>
        <w:t>et al.</w:t>
      </w:r>
      <w:r w:rsidRPr="00D43C5A">
        <w:rPr>
          <w:noProof/>
        </w:rPr>
        <w:t>, 2009)</w:t>
      </w:r>
      <w:r>
        <w:fldChar w:fldCharType="end"/>
      </w:r>
      <w:r w:rsidRPr="00020CE9">
        <w:t xml:space="preserve"> for transparent and comprehensive reporting of methodology and results.</w:t>
      </w:r>
      <w:r>
        <w:t xml:space="preserve">  The systematic review was focal to the clinical trial </w:t>
      </w:r>
      <w:r>
        <w:lastRenderedPageBreak/>
        <w:t xml:space="preserve">evidence base of e-therapies offered by the NHS and is there considered a </w:t>
      </w:r>
      <w:r w:rsidRPr="00DE63FD">
        <w:t>‘</w:t>
      </w:r>
      <w:r w:rsidRPr="00DE63FD">
        <w:rPr>
          <w:rStyle w:val="Strong"/>
          <w:b w:val="0"/>
        </w:rPr>
        <w:t xml:space="preserve">targeted </w:t>
      </w:r>
      <w:r w:rsidRPr="003D1C49">
        <w:rPr>
          <w:rStyle w:val="Strong"/>
          <w:b w:val="0"/>
        </w:rPr>
        <w:t>literature review</w:t>
      </w:r>
      <w:r w:rsidRPr="00DE63FD">
        <w:rPr>
          <w:rStyle w:val="Strong"/>
          <w:b w:val="0"/>
        </w:rPr>
        <w:t>’</w:t>
      </w:r>
      <w:r>
        <w:t xml:space="preserve"> due to being based on a clearly formulated question and then using explicit methods to identify, select, critically appraise, qualitatively analyse and interpret key relevant research.</w:t>
      </w:r>
    </w:p>
    <w:p w14:paraId="4802C235" w14:textId="77777777" w:rsidR="00F1508E" w:rsidRPr="008906D6" w:rsidRDefault="00F1508E" w:rsidP="008906D6">
      <w:pPr>
        <w:pStyle w:val="Heading3"/>
      </w:pPr>
      <w:bookmarkStart w:id="221" w:name="_Toc530660495"/>
      <w:bookmarkStart w:id="222" w:name="_Toc3538096"/>
      <w:r w:rsidRPr="008906D6">
        <w:t>Search Strategy</w:t>
      </w:r>
      <w:bookmarkEnd w:id="221"/>
      <w:bookmarkEnd w:id="222"/>
    </w:p>
    <w:p w14:paraId="2CE14C23" w14:textId="7A1A518F" w:rsidR="00F1508E" w:rsidRPr="00020CE9" w:rsidRDefault="00F1508E" w:rsidP="00F1508E">
      <w:r>
        <w:t>Each of the</w:t>
      </w:r>
      <w:r w:rsidRPr="00AF55AE">
        <w:t xml:space="preserve"> </w:t>
      </w:r>
      <w:r>
        <w:t>51 NHS e</w:t>
      </w:r>
      <w:r>
        <w:noBreakHyphen/>
        <w:t>therapies identified by</w:t>
      </w:r>
      <w:r w:rsidRPr="00540B67">
        <w:rPr>
          <w:noProof/>
        </w:rPr>
        <w:t xml:space="preserve"> Bennion </w:t>
      </w:r>
      <w:r w:rsidRPr="00540B67">
        <w:rPr>
          <w:i/>
          <w:noProof/>
        </w:rPr>
        <w:t>et al.</w:t>
      </w:r>
      <w:r>
        <w:t xml:space="preserve"> </w:t>
      </w:r>
      <w:r>
        <w:fldChar w:fldCharType="begin" w:fldLock="1"/>
      </w:r>
      <w:r>
        <w:instrText>ADDIN CSL_CITATION {"citationItems":[{"id":"ITEM-1","itemData":{"DOI":"10.1136/bmjopen-2016-014844","ISSN":"2044-6055","abstract":"AbstractObjective To document the range of web and smartphone apps used and recommended for stress, anxiety or depression by the National Health Service (NHS) in England.","author":[{"dropping-particle":"","family":"Bennion","given":"M R","non-dropping-particle":"","parse-names":false,"suffix":""},{"dropping-particle":"","family":"Hardy","given":"G","non-dropping-particle":"","parse-names":false,"suffix":""},{"dropping-particle":"","family":"Moore","given":"R K","non-dropping-particle":"","parse-names":false,"suffix":""},{"dropping-particle":"","family":"Millings","given":"A","non-dropping-particle":"","parse-names":false,"suffix":""}],"container-title":"BMJ Open","id":"ITEM-1","issue":"1","issued":{"date-parts":[["2017","1","23"]]},"page":"e014844","title":"E-therapies in England for stress, anxiety or depression: what is being used in the NHS? A survey of mental health services","type":"article-journal","volume":"7"},"uris":["http://www.mendeley.com/documents/?uuid=556ea185-6792-4d98-a23a-9fd6f0b2957c"]}],"mendeley":{"formattedCitation":"(Bennion &lt;i&gt;et al.&lt;/i&gt;, 2017)","manualFormatting":"(2017)","plainTextFormattedCitation":"(Bennion et al., 2017)","previouslyFormattedCitation":"(Bennion &lt;i&gt;et al.&lt;/i&gt;, 2017)"},"properties":{"noteIndex":0},"schema":"https://github.com/citation-style-language/schema/raw/master/csl-citation.json"}</w:instrText>
      </w:r>
      <w:r>
        <w:fldChar w:fldCharType="separate"/>
      </w:r>
      <w:r w:rsidRPr="00540B67">
        <w:rPr>
          <w:noProof/>
        </w:rPr>
        <w:t>(2017)</w:t>
      </w:r>
      <w:r>
        <w:fldChar w:fldCharType="end"/>
      </w:r>
      <w:r>
        <w:t xml:space="preserve"> were used as part of a</w:t>
      </w:r>
      <w:r w:rsidRPr="00020CE9">
        <w:t xml:space="preserve"> search</w:t>
      </w:r>
      <w:r>
        <w:t xml:space="preserve"> term comprised of the e</w:t>
      </w:r>
      <w:r>
        <w:noBreakHyphen/>
        <w:t>therapy</w:t>
      </w:r>
      <w:r w:rsidRPr="00020CE9">
        <w:t xml:space="preserve"> name and its type (Website/App) for example “Beating the Blues” AND “Website”</w:t>
      </w:r>
      <w:r w:rsidR="00F131E3">
        <w:t xml:space="preserve"> (see Appendix </w:t>
      </w:r>
      <w:r w:rsidR="00F131E3" w:rsidRPr="00C501FD">
        <w:rPr>
          <w:color w:val="000000" w:themeColor="text1"/>
        </w:rPr>
        <w:t>B2)</w:t>
      </w:r>
      <w:r w:rsidRPr="00C501FD">
        <w:rPr>
          <w:color w:val="000000" w:themeColor="text1"/>
        </w:rPr>
        <w:t xml:space="preserve">.  Electronic searches by the primary reviewer were conducted on the following databases: </w:t>
      </w:r>
      <w:proofErr w:type="spellStart"/>
      <w:r w:rsidRPr="00C501FD">
        <w:rPr>
          <w:color w:val="000000" w:themeColor="text1"/>
        </w:rPr>
        <w:t>PsycINFO</w:t>
      </w:r>
      <w:proofErr w:type="spellEnd"/>
      <w:r w:rsidRPr="00C501FD">
        <w:rPr>
          <w:color w:val="000000" w:themeColor="text1"/>
        </w:rPr>
        <w:t xml:space="preserve">, Web of Science, </w:t>
      </w:r>
      <w:proofErr w:type="gramStart"/>
      <w:r w:rsidRPr="00C501FD">
        <w:rPr>
          <w:color w:val="000000" w:themeColor="text1"/>
        </w:rPr>
        <w:t>PubMed</w:t>
      </w:r>
      <w:proofErr w:type="gramEnd"/>
      <w:r w:rsidR="003741E5" w:rsidRPr="00C501FD">
        <w:rPr>
          <w:color w:val="000000" w:themeColor="text1"/>
        </w:rPr>
        <w:t xml:space="preserve"> on the 25</w:t>
      </w:r>
      <w:r w:rsidR="003741E5" w:rsidRPr="00C501FD">
        <w:rPr>
          <w:color w:val="000000" w:themeColor="text1"/>
          <w:vertAlign w:val="superscript"/>
        </w:rPr>
        <w:t>th</w:t>
      </w:r>
      <w:r w:rsidR="003741E5" w:rsidRPr="00C501FD">
        <w:rPr>
          <w:color w:val="000000" w:themeColor="text1"/>
        </w:rPr>
        <w:t xml:space="preserve"> of November 2016</w:t>
      </w:r>
      <w:r w:rsidRPr="00C501FD">
        <w:rPr>
          <w:color w:val="000000" w:themeColor="text1"/>
        </w:rPr>
        <w:t xml:space="preserve">.  </w:t>
      </w:r>
      <w:r>
        <w:t xml:space="preserve">The articles collected from these searches were combined with those collected via the app developer survey carried out in </w:t>
      </w:r>
      <w:r w:rsidR="004C4A0A">
        <w:t>C</w:t>
      </w:r>
      <w:r>
        <w:t xml:space="preserve">hapter </w:t>
      </w:r>
      <w:r w:rsidR="004C4A0A">
        <w:t>three</w:t>
      </w:r>
      <w:r>
        <w:t xml:space="preserve"> by the primary reviewer to ensure grey literature disclosed by developers was included.  Any queries concerning study eligibility were resolved through meetings with research supervisors.</w:t>
      </w:r>
    </w:p>
    <w:p w14:paraId="5A32AF3C" w14:textId="53F417FD" w:rsidR="00F1508E" w:rsidRPr="008906D6" w:rsidRDefault="00F1508E" w:rsidP="008906D6">
      <w:pPr>
        <w:pStyle w:val="Heading3"/>
      </w:pPr>
      <w:bookmarkStart w:id="223" w:name="_Toc530660496"/>
      <w:bookmarkStart w:id="224" w:name="_Toc3538097"/>
      <w:r w:rsidRPr="008906D6">
        <w:t xml:space="preserve">Eligibility </w:t>
      </w:r>
      <w:r w:rsidR="002C02C3">
        <w:t>C</w:t>
      </w:r>
      <w:r w:rsidRPr="008906D6">
        <w:t>riteria</w:t>
      </w:r>
      <w:bookmarkEnd w:id="223"/>
      <w:bookmarkEnd w:id="224"/>
    </w:p>
    <w:p w14:paraId="65796670" w14:textId="3B637F91" w:rsidR="00F1508E" w:rsidRDefault="00F1508E" w:rsidP="00F1508E">
      <w:r w:rsidRPr="00020CE9">
        <w:t xml:space="preserve">Only English-language articles were included.  </w:t>
      </w:r>
      <w:r>
        <w:t>Studies were included if and only if they were a randomized controlled trial (RCT</w:t>
      </w:r>
      <w:r w:rsidRPr="00020CE9">
        <w:t xml:space="preserve">) </w:t>
      </w:r>
      <w:r>
        <w:t xml:space="preserve">examining the efficacy </w:t>
      </w:r>
      <w:r w:rsidRPr="00020CE9">
        <w:t xml:space="preserve">of </w:t>
      </w:r>
      <w:r>
        <w:t>an e</w:t>
      </w:r>
      <w:r>
        <w:noBreakHyphen/>
        <w:t>therapy</w:t>
      </w:r>
      <w:r w:rsidRPr="00020CE9">
        <w:t xml:space="preserve"> </w:t>
      </w:r>
      <w:r>
        <w:t>to</w:t>
      </w:r>
      <w:r w:rsidRPr="00020CE9">
        <w:t xml:space="preserve"> adults </w:t>
      </w:r>
      <w:r>
        <w:t xml:space="preserve">with </w:t>
      </w:r>
      <w:r w:rsidRPr="00020CE9">
        <w:t>depression, anxiety or stress</w:t>
      </w:r>
      <w:r>
        <w:t>, and published in a peer reviewed journal</w:t>
      </w:r>
      <w:r w:rsidRPr="00020CE9">
        <w:t xml:space="preserve">. </w:t>
      </w:r>
      <w:r>
        <w:t xml:space="preserve"> </w:t>
      </w:r>
      <w:proofErr w:type="gramStart"/>
      <w:r>
        <w:t xml:space="preserve">Comparator conditions that were eligible for inclusion included waitlists/TAU and other active </w:t>
      </w:r>
      <w:r w:rsidRPr="00C501FD">
        <w:rPr>
          <w:color w:val="000000" w:themeColor="text1"/>
        </w:rPr>
        <w:t>therapies</w:t>
      </w:r>
      <w:r w:rsidR="00EE2D9D" w:rsidRPr="00C501FD">
        <w:rPr>
          <w:color w:val="000000" w:themeColor="text1"/>
        </w:rPr>
        <w:t>.</w:t>
      </w:r>
      <w:proofErr w:type="gramEnd"/>
      <w:r w:rsidR="00FB398B" w:rsidRPr="00C501FD">
        <w:rPr>
          <w:color w:val="000000" w:themeColor="text1"/>
        </w:rPr>
        <w:t xml:space="preserve"> </w:t>
      </w:r>
      <w:r w:rsidR="00EE2D9D" w:rsidRPr="00C501FD">
        <w:rPr>
          <w:color w:val="000000" w:themeColor="text1"/>
        </w:rPr>
        <w:t xml:space="preserve"> C</w:t>
      </w:r>
      <w:r w:rsidR="00FB398B" w:rsidRPr="00C501FD">
        <w:rPr>
          <w:color w:val="000000" w:themeColor="text1"/>
        </w:rPr>
        <w:t xml:space="preserve">lassifications </w:t>
      </w:r>
      <w:r w:rsidR="00EE2D9D" w:rsidRPr="00C501FD">
        <w:rPr>
          <w:color w:val="000000" w:themeColor="text1"/>
        </w:rPr>
        <w:t xml:space="preserve">of passive controls </w:t>
      </w:r>
      <w:r w:rsidR="00FB398B" w:rsidRPr="00C501FD">
        <w:rPr>
          <w:color w:val="000000" w:themeColor="text1"/>
        </w:rPr>
        <w:t>were based upon</w:t>
      </w:r>
      <w:r w:rsidR="00E06263" w:rsidRPr="00C501FD">
        <w:rPr>
          <w:color w:val="000000" w:themeColor="text1"/>
        </w:rPr>
        <w:t xml:space="preserve"> </w:t>
      </w:r>
      <w:r w:rsidR="00EE2D9D" w:rsidRPr="00C501FD">
        <w:rPr>
          <w:color w:val="000000" w:themeColor="text1"/>
        </w:rPr>
        <w:t xml:space="preserve">Higgins </w:t>
      </w:r>
      <w:r w:rsidR="00EE2D9D" w:rsidRPr="00C501FD">
        <w:rPr>
          <w:color w:val="000000" w:themeColor="text1"/>
        </w:rPr>
        <w:fldChar w:fldCharType="begin" w:fldLock="1"/>
      </w:r>
      <w:r w:rsidR="00232ED9" w:rsidRPr="00C501FD">
        <w:rPr>
          <w:color w:val="000000" w:themeColor="text1"/>
        </w:rPr>
        <w:instrText>ADDIN CSL_CITATION {"citationItems":[{"id":"ITEM-1","itemData":{"DOI":"10.1002/9780470712184.ch5","ISBN":"9780470057964","ISSN":"10147448","PMID":"24886533","abstract":"Higgins JPT, Green S (editors). Cochrane Handbook for Systematic Reviews of Interventions Version 5.1.0 updated March 2011. The Cochrane Collaboration, 2011. Available from www.cochrane-handbook.org.","author":[{"dropping-particle":"","family":"Higgins","given":"JPT","non-dropping-particle":"","parse-names":false,"suffix":""}],"container-title":"The Cochrane Collaboration","id":"ITEM-1","issue":"September","issued":{"date-parts":[["2011"]]},"number-of-pages":"2-3","title":"Cochrane Handbook for systematic reviews of interventions version","type":"book"},"uris":["http://www.mendeley.com/documents/?uuid=f5f868f1-9370-4ae5-b9b3-1e1886ff07a2"]}],"mendeley":{"formattedCitation":"(Higgins, 2011)","manualFormatting":"(2011)","plainTextFormattedCitation":"(Higgins, 2011)","previouslyFormattedCitation":"(Higgins, 2011)"},"properties":{"noteIndex":0},"schema":"https://github.com/citation-style-language/schema/raw/master/csl-citation.json"}</w:instrText>
      </w:r>
      <w:r w:rsidR="00EE2D9D" w:rsidRPr="00C501FD">
        <w:rPr>
          <w:color w:val="000000" w:themeColor="text1"/>
        </w:rPr>
        <w:fldChar w:fldCharType="separate"/>
      </w:r>
      <w:r w:rsidR="00EE2D9D" w:rsidRPr="00C501FD">
        <w:rPr>
          <w:noProof/>
          <w:color w:val="000000" w:themeColor="text1"/>
        </w:rPr>
        <w:t>(2011)</w:t>
      </w:r>
      <w:r w:rsidR="00EE2D9D" w:rsidRPr="00C501FD">
        <w:rPr>
          <w:color w:val="000000" w:themeColor="text1"/>
        </w:rPr>
        <w:fldChar w:fldCharType="end"/>
      </w:r>
      <w:r w:rsidR="00EE2D9D" w:rsidRPr="00C501FD">
        <w:rPr>
          <w:color w:val="000000" w:themeColor="text1"/>
        </w:rPr>
        <w:t xml:space="preserve"> in which 'standard care (TAU) and waiting list controls' are defined as inactive</w:t>
      </w:r>
      <w:r w:rsidRPr="00C501FD">
        <w:rPr>
          <w:color w:val="000000" w:themeColor="text1"/>
        </w:rPr>
        <w:t xml:space="preserve">. </w:t>
      </w:r>
      <w:r w:rsidR="00554CB4" w:rsidRPr="00C501FD">
        <w:rPr>
          <w:color w:val="000000" w:themeColor="text1"/>
        </w:rPr>
        <w:t xml:space="preserve"> </w:t>
      </w:r>
      <w:r w:rsidRPr="00C501FD">
        <w:rPr>
          <w:color w:val="000000" w:themeColor="text1"/>
        </w:rPr>
        <w:t xml:space="preserve">No restrictions were placed on diagnosis or any validated clinical outcome measure. </w:t>
      </w:r>
      <w:r w:rsidR="00554CB4" w:rsidRPr="00C501FD">
        <w:rPr>
          <w:color w:val="000000" w:themeColor="text1"/>
        </w:rPr>
        <w:t xml:space="preserve"> </w:t>
      </w:r>
      <w:r w:rsidRPr="00C501FD">
        <w:rPr>
          <w:color w:val="000000" w:themeColor="text1"/>
        </w:rPr>
        <w:t>RCTs of interventions delivered solely or in part via an NHS e</w:t>
      </w:r>
      <w:r w:rsidRPr="00C501FD">
        <w:rPr>
          <w:color w:val="000000" w:themeColor="text1"/>
        </w:rPr>
        <w:noBreakHyphen/>
        <w:t>therapy matched this definition.  Unpublished studies were excluded.</w:t>
      </w:r>
      <w:r w:rsidR="00F76600" w:rsidRPr="00C501FD">
        <w:rPr>
          <w:color w:val="000000" w:themeColor="text1"/>
        </w:rPr>
        <w:t xml:space="preserve">  The grey literature from the previous chapter was </w:t>
      </w:r>
      <w:r w:rsidR="00104CAC" w:rsidRPr="00C501FD">
        <w:rPr>
          <w:color w:val="000000" w:themeColor="text1"/>
        </w:rPr>
        <w:t>not included in</w:t>
      </w:r>
      <w:r w:rsidR="00F76600" w:rsidRPr="00C501FD">
        <w:rPr>
          <w:color w:val="000000" w:themeColor="text1"/>
        </w:rPr>
        <w:t xml:space="preserve"> the </w:t>
      </w:r>
      <w:r w:rsidR="00104CAC" w:rsidRPr="00C501FD">
        <w:rPr>
          <w:color w:val="000000" w:themeColor="text1"/>
        </w:rPr>
        <w:t xml:space="preserve">review </w:t>
      </w:r>
      <w:r w:rsidR="00F76600" w:rsidRPr="00C501FD">
        <w:rPr>
          <w:color w:val="000000" w:themeColor="text1"/>
        </w:rPr>
        <w:t xml:space="preserve">as it did not add </w:t>
      </w:r>
      <w:r w:rsidR="00104CAC" w:rsidRPr="00C501FD">
        <w:rPr>
          <w:color w:val="000000" w:themeColor="text1"/>
        </w:rPr>
        <w:t>provide</w:t>
      </w:r>
      <w:r w:rsidR="00F76600" w:rsidRPr="00C501FD">
        <w:rPr>
          <w:color w:val="000000" w:themeColor="text1"/>
        </w:rPr>
        <w:t xml:space="preserve"> </w:t>
      </w:r>
      <w:r w:rsidR="00104CAC" w:rsidRPr="00C501FD">
        <w:rPr>
          <w:color w:val="000000" w:themeColor="text1"/>
        </w:rPr>
        <w:t xml:space="preserve">any </w:t>
      </w:r>
      <w:r w:rsidR="00F76600" w:rsidRPr="00C501FD">
        <w:rPr>
          <w:color w:val="000000" w:themeColor="text1"/>
        </w:rPr>
        <w:t>additional findings.</w:t>
      </w:r>
    </w:p>
    <w:p w14:paraId="7D5BC820" w14:textId="516F17EB" w:rsidR="00F1508E" w:rsidRPr="008906D6" w:rsidRDefault="00F1508E" w:rsidP="008906D6">
      <w:pPr>
        <w:pStyle w:val="Heading3"/>
      </w:pPr>
      <w:bookmarkStart w:id="225" w:name="_Toc530660497"/>
      <w:bookmarkStart w:id="226" w:name="_Toc3538098"/>
      <w:r w:rsidRPr="008906D6">
        <w:t xml:space="preserve">Outcome </w:t>
      </w:r>
      <w:r w:rsidR="002C02C3">
        <w:t>M</w:t>
      </w:r>
      <w:r w:rsidRPr="008906D6">
        <w:t>easures</w:t>
      </w:r>
      <w:bookmarkEnd w:id="225"/>
      <w:bookmarkEnd w:id="226"/>
    </w:p>
    <w:p w14:paraId="451973FA" w14:textId="77777777" w:rsidR="00F1508E" w:rsidRDefault="00F1508E" w:rsidP="00F1508E">
      <w:r>
        <w:t xml:space="preserve">The primary outcome measured were </w:t>
      </w:r>
      <w:r>
        <w:rPr>
          <w:color w:val="000000"/>
          <w:shd w:val="clear" w:color="auto" w:fill="FFFFFF"/>
        </w:rPr>
        <w:t>patient-reported outcomes (PROs)</w:t>
      </w:r>
      <w:r>
        <w:t xml:space="preserve"> of depression/anxiety/stress taken at post-treatment and follow-up where available.  Under circumstances where multiple measures were used the most widely used and well validated were prioritised.  D</w:t>
      </w:r>
      <w:r w:rsidRPr="00DF7669">
        <w:t>rop-out rate</w:t>
      </w:r>
      <w:r>
        <w:t>s from e-therapies were the secondary outcome measure</w:t>
      </w:r>
      <w:r w:rsidRPr="00DA3893">
        <w:t>.</w:t>
      </w:r>
    </w:p>
    <w:p w14:paraId="7C831D80" w14:textId="3A53B027" w:rsidR="00F1508E" w:rsidRPr="008906D6" w:rsidRDefault="00F1508E" w:rsidP="008906D6">
      <w:pPr>
        <w:pStyle w:val="Heading3"/>
      </w:pPr>
      <w:bookmarkStart w:id="227" w:name="_Toc530660498"/>
      <w:bookmarkStart w:id="228" w:name="_Toc3538099"/>
      <w:r w:rsidRPr="008906D6">
        <w:t xml:space="preserve">Data </w:t>
      </w:r>
      <w:r w:rsidR="002C02C3">
        <w:t>E</w:t>
      </w:r>
      <w:r w:rsidRPr="008906D6">
        <w:t>xtraction</w:t>
      </w:r>
      <w:bookmarkEnd w:id="227"/>
      <w:bookmarkEnd w:id="228"/>
    </w:p>
    <w:p w14:paraId="4D0FB5FA" w14:textId="103A3558" w:rsidR="00F1508E" w:rsidRPr="00020CE9" w:rsidRDefault="00F1508E" w:rsidP="00F1508E">
      <w:r>
        <w:t xml:space="preserve">A priority data extraction tool was designed for the purposes of the study.  </w:t>
      </w:r>
      <w:r w:rsidRPr="00020CE9">
        <w:t xml:space="preserve">Data was extracted according to the following criteria: a) study information (sample size, mean age of participants, diagnostic information or relevant inclusion criteria, study length and trial quality); b) intervention features (regularity of instructed use, </w:t>
      </w:r>
      <w:r>
        <w:t>e</w:t>
      </w:r>
      <w:r>
        <w:noBreakHyphen/>
        <w:t>therapy</w:t>
      </w:r>
      <w:r w:rsidRPr="00020CE9">
        <w:t xml:space="preserve"> program summary, any additional intervention componen</w:t>
      </w:r>
      <w:r>
        <w:t xml:space="preserve">t </w:t>
      </w:r>
      <w:r w:rsidRPr="00020CE9">
        <w:t>details of the control condition); c) outcomes for depression</w:t>
      </w:r>
      <w:r>
        <w:t xml:space="preserve">, </w:t>
      </w:r>
      <w:r w:rsidRPr="00020CE9">
        <w:t>anxiety</w:t>
      </w:r>
      <w:r>
        <w:t xml:space="preserve"> and stress </w:t>
      </w:r>
      <w:r w:rsidRPr="00020CE9">
        <w:t>symptoms (changes in total depression</w:t>
      </w:r>
      <w:r>
        <w:t xml:space="preserve">, </w:t>
      </w:r>
      <w:r w:rsidRPr="00020CE9">
        <w:t>anxiety</w:t>
      </w:r>
      <w:r>
        <w:t xml:space="preserve"> and stress </w:t>
      </w:r>
      <w:r w:rsidRPr="00020CE9">
        <w:t xml:space="preserve">symptoms between baseline, termination of treatment and follow-up) with control comparisons; d) primary outcome measure (i.e. for studies which used more than one measure of depression/anxiety/stress, the most </w:t>
      </w:r>
      <w:r>
        <w:t xml:space="preserve">well validated and </w:t>
      </w:r>
      <w:r w:rsidRPr="00020CE9">
        <w:t xml:space="preserve">widely implemented </w:t>
      </w:r>
      <w:r>
        <w:t>measure in other e</w:t>
      </w:r>
      <w:r>
        <w:noBreakHyphen/>
        <w:t xml:space="preserve">therapy trials were selected).  </w:t>
      </w:r>
      <w:r w:rsidRPr="00020CE9">
        <w:t xml:space="preserve">Studies were coded for </w:t>
      </w:r>
      <w:r>
        <w:t xml:space="preserve">both </w:t>
      </w:r>
      <w:r w:rsidRPr="00020CE9">
        <w:t xml:space="preserve">trial and practice factors including </w:t>
      </w:r>
      <w:r>
        <w:t xml:space="preserve">type of </w:t>
      </w:r>
      <w:r w:rsidRPr="00020CE9">
        <w:t>passive control (waitlist, treatment-as-usual;</w:t>
      </w:r>
      <w:r>
        <w:t xml:space="preserve"> </w:t>
      </w:r>
      <w:r w:rsidRPr="00020CE9">
        <w:t>TAU)</w:t>
      </w:r>
      <w:r>
        <w:t xml:space="preserve"> </w:t>
      </w:r>
      <w:r w:rsidRPr="00020CE9">
        <w:t xml:space="preserve">and </w:t>
      </w:r>
      <w:r w:rsidRPr="00020CE9">
        <w:lastRenderedPageBreak/>
        <w:t xml:space="preserve">active control (active treatment). </w:t>
      </w:r>
      <w:r w:rsidR="00554CB4">
        <w:t xml:space="preserve"> </w:t>
      </w:r>
      <w:r w:rsidRPr="00020CE9">
        <w:t xml:space="preserve">Follow-up data were extracted to </w:t>
      </w:r>
      <w:r>
        <w:t xml:space="preserve">assess the durability of any therapeutic impact. </w:t>
      </w:r>
      <w:r w:rsidRPr="00020CE9">
        <w:t xml:space="preserve"> </w:t>
      </w:r>
      <w:r>
        <w:t>E</w:t>
      </w:r>
      <w:r>
        <w:noBreakHyphen/>
        <w:t xml:space="preserve">therapies were also coded based on </w:t>
      </w:r>
      <w:r w:rsidRPr="00FC63AC">
        <w:rPr>
          <w:noProof/>
        </w:rPr>
        <w:t xml:space="preserve">Newman </w:t>
      </w:r>
      <w:r w:rsidRPr="00FC63AC">
        <w:rPr>
          <w:i/>
          <w:noProof/>
        </w:rPr>
        <w:t>et al.</w:t>
      </w:r>
      <w:r>
        <w:rPr>
          <w:noProof/>
        </w:rPr>
        <w:t xml:space="preserve"> </w:t>
      </w:r>
      <w:r>
        <w:fldChar w:fldCharType="begin" w:fldLock="1"/>
      </w:r>
      <w:r w:rsidR="000B6CC8">
        <w:instrText>ADDIN CSL_CITATION {"citationItems":[{"id":"ITEM-1","itemData":{"DOI":"10.1016/j.cpr.2010.09.008","ISSN":"02727358","PMID":"21130939","abstract":"Technology-based self-help and minimal contact therapies have been proposed as effective and low-cost interventions for anxiety and mood disorders. The present article reviews the literature published before 2010 on these treatments for anxiety and depression using self-help and decreased therapist-contact interventions. Treatment studies are examined by disorder as well as amount of therapist contact, ranging from self-administered therapy and predominantly self-help interventions to minimal contact therapy where the therapist is actively involved in treatment but to a lesser degree than traditional therapy and predominantly therapist-administered treatments involving regular contact with a therapist for a typical number of sessions. In the treatment of anxiety disorders, it is concluded that self-administered and predominantly self-help interventions are most effective for motivated clients. Conversely, minimal-contact therapies have demonstrated efficacy for the greatest variety of anxiety diagnoses when accounting for both attrition and compliance. Additionally, predominantly self-help computer-based cognitive and behavioral interventions are efficacious in the treatment of subthreshold mood disorders. However, therapist-assisted treatments remain optimal in the treatment of clinical levels of depression. Although the most efficacious amount of therapist contact varies by disorder, computerized treatments have been shown to be a less-intensive, cost-effective way to deliver empirically validated treatments for a variety of psychological problems.","author":[{"dropping-particle":"","family":"Newman","given":"Michelle G.","non-dropping-particle":"","parse-names":false,"suffix":""},{"dropping-particle":"","family":"Szkodny","given":"Lauren E.","non-dropping-particle":"","parse-names":false,"suffix":""},{"dropping-particle":"","family":"Llera","given":"Sandra J.","non-dropping-particle":"","parse-names":false,"suffix":""},{"dropping-particle":"","family":"Przeworski","given":"Amy","non-dropping-particle":"","parse-names":false,"suffix":""}],"container-title":"Clinical Psychology Review","id":"ITEM-1","issue":"1","issued":{"date-parts":[["2011","2"]]},"page":"89-103","title":"A review of technology-assisted self-help and minimal contact therapies for anxiety and depression: Is human contact necessary for therapeutic efficacy?","type":"article-journal","volume":"31"},"uris":["http://www.mendeley.com/documents/?uuid=8d48bfcb-dbd8-3053-af4d-d45be50265ac"]}],"mendeley":{"formattedCitation":"(Newman &lt;i&gt;et al.&lt;/i&gt;, 2011a)","manualFormatting":"(2011)","plainTextFormattedCitation":"(Newman et al., 2011a)","previouslyFormattedCitation":"(Newman &lt;i&gt;et al.&lt;/i&gt;, 2011a)"},"properties":{"noteIndex":0},"schema":"https://github.com/citation-style-language/schema/raw/master/csl-citation.json"}</w:instrText>
      </w:r>
      <w:r>
        <w:fldChar w:fldCharType="separate"/>
      </w:r>
      <w:r w:rsidRPr="00FC63AC">
        <w:rPr>
          <w:noProof/>
        </w:rPr>
        <w:t>(2011)</w:t>
      </w:r>
      <w:r>
        <w:fldChar w:fldCharType="end"/>
      </w:r>
      <w:r>
        <w:t xml:space="preserve"> self-help </w:t>
      </w:r>
      <w:r w:rsidRPr="009A0D75">
        <w:t>typology</w:t>
      </w:r>
      <w:r>
        <w:t>: m</w:t>
      </w:r>
      <w:r w:rsidRPr="00580330">
        <w:t>inimal-contact therapy</w:t>
      </w:r>
      <w:r>
        <w:t>, p</w:t>
      </w:r>
      <w:r w:rsidRPr="00580330">
        <w:t>redominantly self-help</w:t>
      </w:r>
      <w:r>
        <w:t>, p</w:t>
      </w:r>
      <w:r w:rsidRPr="00580330">
        <w:t>redominantly therapist administered treatment</w:t>
      </w:r>
      <w:r>
        <w:t xml:space="preserve"> or s</w:t>
      </w:r>
      <w:r w:rsidRPr="00580330">
        <w:t>elf-administered therapy</w:t>
      </w:r>
      <w:r>
        <w:t>.  T</w:t>
      </w:r>
      <w:r w:rsidRPr="00020CE9">
        <w:t>he percentage of treatment responders was calculated using an intention-to-treat analysis</w:t>
      </w:r>
      <w:r>
        <w:t>.</w:t>
      </w:r>
      <w:r w:rsidRPr="00020CE9">
        <w:t xml:space="preserve"> </w:t>
      </w:r>
      <w:r>
        <w:t xml:space="preserve"> D</w:t>
      </w:r>
      <w:r w:rsidRPr="00DF7669">
        <w:t xml:space="preserve">rop-out rate </w:t>
      </w:r>
      <w:r>
        <w:t>was defined as the</w:t>
      </w:r>
      <w:r w:rsidRPr="00DF7669">
        <w:t xml:space="preserve"> </w:t>
      </w:r>
      <w:r w:rsidRPr="00DA3893">
        <w:t>percentage of participants that did not finish the intervention, control or other therapy conditions.</w:t>
      </w:r>
      <w:r w:rsidRPr="001013F4">
        <w:t xml:space="preserve"> </w:t>
      </w:r>
      <w:r w:rsidR="00554CB4">
        <w:t xml:space="preserve"> </w:t>
      </w:r>
      <w:r w:rsidRPr="00DA3893">
        <w:t>Non-completers were identified based on definition within each study.</w:t>
      </w:r>
    </w:p>
    <w:p w14:paraId="6EC52909" w14:textId="77777777" w:rsidR="00F1508E" w:rsidRPr="008906D6" w:rsidRDefault="00F1508E" w:rsidP="008906D6">
      <w:pPr>
        <w:pStyle w:val="Heading3"/>
      </w:pPr>
      <w:bookmarkStart w:id="229" w:name="_Toc530660499"/>
      <w:bookmarkStart w:id="230" w:name="_Toc3538100"/>
      <w:r w:rsidRPr="008906D6">
        <w:t>Within-Study Quality and Risk of Bias</w:t>
      </w:r>
      <w:bookmarkEnd w:id="229"/>
      <w:bookmarkEnd w:id="230"/>
    </w:p>
    <w:p w14:paraId="1CC429B8" w14:textId="18640B4D" w:rsidR="00F1508E" w:rsidRDefault="00F1508E" w:rsidP="00F1508E">
      <w:r w:rsidRPr="002F2CF7">
        <w:t>Bias was assessed in two separate ways</w:t>
      </w:r>
      <w:r w:rsidR="00554CB4">
        <w:t xml:space="preserve">.  </w:t>
      </w:r>
      <w:r w:rsidRPr="002F2CF7">
        <w:t>Firstly, the Cochrane risk of bias tool</w:t>
      </w:r>
      <w:r>
        <w:t xml:space="preserve"> </w:t>
      </w:r>
      <w:r>
        <w:fldChar w:fldCharType="begin" w:fldLock="1"/>
      </w:r>
      <w:r>
        <w:instrText>ADDIN CSL_CITATION {"citationItems":[{"id":"ITEM-1","itemData":{"DOI":"10.1136/BMJ.D5928","ISSN":"1756-1833","PMID":"22008217","abstract":"Flaws in the design, conduct, analysis, and reporting of randomised trials can cause the effect of an intervention to be underestimated or overestimated. The Cochrane Collaboration’s tool for assessing risk of bias aims to make the process clearer and more accurate\n\nRandomised trials, and systematic reviews of such trials, provide the most reliable evidence about the effects of healthcare interventions. Provided that there are enough participants, randomisation should ensure that participants in the intervention and comparison groups are similar with respect to both known and unknown prognostic factors. Differences in outcomes of interest between the different groups can then in principle be ascribed to the causal effect of the intervention.1\n\nCausal inferences from randomised trials can, however, be undermined by flaws in design, conduct, analyses, and reporting, leading to underestimation or overestimation of the true intervention effect (bias).2 However, it is usually impossible to know the extent to which biases have affected the results of a particular trial.\n\nSystematic reviews aim to collate and synthesise all studies that meet prespecified eligibility criteria3 using methods that attempt to minimise bias. To obtain reliable conclusions, review authors must carefully consider the potential limitations of the included studies. The notion of study “quality” is not well defined but relates to the extent to which its design, conduct, analysis, and presentation were appropriate to answer its research question. Many tools for assessing the quality of randomised trials are available, including scales (which score the trials) and checklists (which assess trials without producing a score).4 5 6 7 Until recently, Cochrane reviews used a variety of these tools, mainly checklists.8 In 2005 the Cochrane Collaboration’s methods groups embarked on a new strategy for assessing the quality of randomised trials. In this paper we describe the collaboration’s new risk of bias …","author":[{"dropping-particle":"","family":"Higgins","given":"Julian P T","non-dropping-particle":"","parse-names":false,"suffix":""},{"dropping-particle":"","family":"Altman","given":"Douglas G","non-dropping-particle":"","parse-names":false,"suffix":""},{"dropping-particle":"","family":"Gøtzsche","given":"Peter C","non-dropping-particle":"","parse-names":false,"suffix":""},{"dropping-particle":"","family":"Jüni","given":"Peter","non-dropping-particle":"","parse-names":false,"suffix":""},{"dropping-particle":"","family":"Moher","given":"David","non-dropping-particle":"","parse-names":false,"suffix":""},{"dropping-particle":"","family":"Oxman","given":"Andrew D","non-dropping-particle":"","parse-names":false,"suffix":""},{"dropping-particle":"","family":"Savovic","given":"Jelena","non-dropping-particle":"","parse-names":false,"suffix":""},{"dropping-particle":"","family":"Schulz","given":"Kenneth F","non-dropping-particle":"","parse-names":false,"suffix":""},{"dropping-particle":"","family":"Weeks","given":"Laura","non-dropping-particle":"","parse-names":false,"suffix":""},{"dropping-particle":"","family":"Sterne","given":"Jonathan A C","non-dropping-particle":"","parse-names":false,"suffix":""},{"dropping-particle":"","family":"Cochrane Bias Methods Group","given":"","non-dropping-particle":"","parse-names":false,"suffix":""},{"dropping-particle":"","family":"Cochrane Statistical Methods Group","given":"","non-dropping-particle":"","parse-names":false,"suffix":""}],"container-title":"BMJ (Clinical research ed.)","id":"ITEM-1","issued":{"date-parts":[["2011","10","18"]]},"page":"d5928","publisher":"British Medical Journal Publishing Group","title":"The Cochrane Collaboration's tool for assessing risk of bias in randomised trials.","type":"article-journal","volume":"343"},"uris":["http://www.mendeley.com/documents/?uuid=1ca01e01-ea2d-36c4-9ceb-c1fa082dc370"]}],"mendeley":{"formattedCitation":"(Higgins &lt;i&gt;et al.&lt;/i&gt;, 2011)","plainTextFormattedCitation":"(Higgins et al., 2011)","previouslyFormattedCitation":"(Higgins &lt;i&gt;et al.&lt;/i&gt;, 2011)"},"properties":{"noteIndex":0},"schema":"https://github.com/citation-style-language/schema/raw/master/csl-citation.json"}</w:instrText>
      </w:r>
      <w:r>
        <w:fldChar w:fldCharType="separate"/>
      </w:r>
      <w:r w:rsidRPr="00D43C5A">
        <w:rPr>
          <w:noProof/>
        </w:rPr>
        <w:t xml:space="preserve">(Higgins </w:t>
      </w:r>
      <w:r w:rsidRPr="00D43C5A">
        <w:rPr>
          <w:i/>
          <w:noProof/>
        </w:rPr>
        <w:t>et al.</w:t>
      </w:r>
      <w:r w:rsidRPr="00D43C5A">
        <w:rPr>
          <w:noProof/>
        </w:rPr>
        <w:t>, 2011)</w:t>
      </w:r>
      <w:r>
        <w:fldChar w:fldCharType="end"/>
      </w:r>
      <w:r w:rsidRPr="002F2CF7">
        <w:t xml:space="preserve"> </w:t>
      </w:r>
      <w:r>
        <w:t xml:space="preserve">was used to assess </w:t>
      </w:r>
      <w:r w:rsidRPr="002F2CF7">
        <w:t>study quality</w:t>
      </w:r>
      <w:r>
        <w:t xml:space="preserve"> (see </w:t>
      </w:r>
      <w:r>
        <w:fldChar w:fldCharType="begin"/>
      </w:r>
      <w:r>
        <w:instrText xml:space="preserve"> REF _Ref530650023 \h  \* MERGEFORMAT </w:instrText>
      </w:r>
      <w:r>
        <w:fldChar w:fldCharType="separate"/>
      </w:r>
      <w:r w:rsidR="00574650">
        <w:t xml:space="preserve">Table </w:t>
      </w:r>
      <w:r w:rsidR="00574650">
        <w:rPr>
          <w:noProof/>
        </w:rPr>
        <w:t>4.1</w:t>
      </w:r>
      <w:r>
        <w:fldChar w:fldCharType="end"/>
      </w:r>
      <w:r>
        <w:t xml:space="preserve"> and </w:t>
      </w:r>
      <w:r>
        <w:fldChar w:fldCharType="begin"/>
      </w:r>
      <w:r>
        <w:instrText xml:space="preserve"> REF _Ref530650039 \h </w:instrText>
      </w:r>
      <w:r>
        <w:fldChar w:fldCharType="separate"/>
      </w:r>
      <w:r w:rsidR="00574650">
        <w:t xml:space="preserve">Figure </w:t>
      </w:r>
      <w:r w:rsidR="00574650">
        <w:rPr>
          <w:noProof/>
        </w:rPr>
        <w:t>4</w:t>
      </w:r>
      <w:r w:rsidR="00574650">
        <w:t>.</w:t>
      </w:r>
      <w:r w:rsidR="00574650">
        <w:rPr>
          <w:noProof/>
        </w:rPr>
        <w:t>1</w:t>
      </w:r>
      <w:r>
        <w:fldChar w:fldCharType="end"/>
      </w:r>
      <w:r>
        <w:t>)</w:t>
      </w:r>
      <w:r w:rsidRPr="002F2CF7">
        <w:t>, and from that, determine risk of within-study bias</w:t>
      </w:r>
      <w:r w:rsidR="00554CB4">
        <w:t xml:space="preserve">.  </w:t>
      </w:r>
      <w:r w:rsidRPr="002F2CF7">
        <w:t xml:space="preserve">Secondly, funnel plots </w:t>
      </w:r>
      <w:r>
        <w:t xml:space="preserve">were used </w:t>
      </w:r>
      <w:r w:rsidRPr="002F2CF7">
        <w:t>to assess risk of publication bias</w:t>
      </w:r>
      <w:r>
        <w:t xml:space="preserve"> (described below), with associated statistical analysis (e.g. Egger’s regression test and </w:t>
      </w:r>
      <w:proofErr w:type="spellStart"/>
      <w:r>
        <w:t>Begg’s</w:t>
      </w:r>
      <w:proofErr w:type="spellEnd"/>
      <w:r>
        <w:t xml:space="preserve"> rank correlation method).  </w:t>
      </w:r>
    </w:p>
    <w:p w14:paraId="2C813D9A" w14:textId="262ED6DC" w:rsidR="00F1508E" w:rsidRPr="008906D6" w:rsidRDefault="00F1508E" w:rsidP="008906D6">
      <w:pPr>
        <w:pStyle w:val="Heading4"/>
      </w:pPr>
      <w:r w:rsidRPr="008906D6">
        <w:t xml:space="preserve">Study </w:t>
      </w:r>
      <w:r w:rsidR="002C02C3">
        <w:t>Q</w:t>
      </w:r>
      <w:r w:rsidRPr="008906D6">
        <w:t xml:space="preserve">uality </w:t>
      </w:r>
      <w:r w:rsidR="002C02C3">
        <w:t>A</w:t>
      </w:r>
      <w:r w:rsidRPr="008906D6">
        <w:t xml:space="preserve">ssessment </w:t>
      </w:r>
    </w:p>
    <w:p w14:paraId="4FDD95C0" w14:textId="11A5030D" w:rsidR="00F1508E" w:rsidRPr="007C1C18" w:rsidRDefault="00F1508E" w:rsidP="00F1508E">
      <w:r w:rsidRPr="005C4F0E">
        <w:t xml:space="preserve">Quality scores for each paper were calculated by the author </w:t>
      </w:r>
      <w:r w:rsidRPr="005C4F0E">
        <w:rPr>
          <w:rFonts w:cstheme="minorHAnsi"/>
        </w:rPr>
        <w:t>(</w:t>
      </w:r>
      <w:proofErr w:type="spellStart"/>
      <w:r w:rsidRPr="005C4F0E">
        <w:rPr>
          <w:rFonts w:cstheme="minorHAnsi"/>
        </w:rPr>
        <w:t>rater</w:t>
      </w:r>
      <w:proofErr w:type="spellEnd"/>
      <w:r w:rsidRPr="005C4F0E">
        <w:rPr>
          <w:rFonts w:cstheme="minorHAnsi"/>
        </w:rPr>
        <w:t xml:space="preserve"> 1).  Nine papers were then randomly allocated to two additional </w:t>
      </w:r>
      <w:proofErr w:type="spellStart"/>
      <w:r w:rsidRPr="005C4F0E">
        <w:rPr>
          <w:rFonts w:cstheme="minorHAnsi"/>
        </w:rPr>
        <w:t>raters</w:t>
      </w:r>
      <w:proofErr w:type="spellEnd"/>
      <w:r w:rsidRPr="005C4F0E">
        <w:rPr>
          <w:rFonts w:cstheme="minorHAnsi"/>
        </w:rPr>
        <w:t xml:space="preserve"> (</w:t>
      </w:r>
      <w:proofErr w:type="spellStart"/>
      <w:r w:rsidRPr="005C4F0E">
        <w:rPr>
          <w:rFonts w:cstheme="minorHAnsi"/>
        </w:rPr>
        <w:t>rater</w:t>
      </w:r>
      <w:proofErr w:type="spellEnd"/>
      <w:r w:rsidRPr="005C4F0E">
        <w:rPr>
          <w:rFonts w:cstheme="minorHAnsi"/>
        </w:rPr>
        <w:t xml:space="preserve"> 2; PhD student and </w:t>
      </w:r>
      <w:proofErr w:type="spellStart"/>
      <w:r w:rsidRPr="005C4F0E">
        <w:rPr>
          <w:rFonts w:cstheme="minorHAnsi"/>
        </w:rPr>
        <w:t>rater</w:t>
      </w:r>
      <w:proofErr w:type="spellEnd"/>
      <w:r w:rsidRPr="005C4F0E">
        <w:rPr>
          <w:rFonts w:cstheme="minorHAnsi"/>
        </w:rPr>
        <w:t xml:space="preserve"> 3; research supervisor).</w:t>
      </w:r>
      <w:r w:rsidR="00554CB4">
        <w:rPr>
          <w:rFonts w:cstheme="minorHAnsi"/>
        </w:rPr>
        <w:t xml:space="preserve">  </w:t>
      </w:r>
      <w:r w:rsidRPr="005C4F0E">
        <w:rPr>
          <w:rFonts w:cstheme="minorHAnsi"/>
          <w:bCs/>
        </w:rPr>
        <w:t>Cohen's kappa</w:t>
      </w:r>
      <w:r w:rsidRPr="005C4F0E">
        <w:rPr>
          <w:rFonts w:cstheme="minorHAnsi"/>
          <w:b/>
          <w:bCs/>
        </w:rPr>
        <w:t xml:space="preserve"> </w:t>
      </w:r>
      <w:r w:rsidRPr="005C4F0E">
        <w:rPr>
          <w:rFonts w:cstheme="minorHAnsi"/>
          <w:bCs/>
        </w:rPr>
        <w:t>coefficient</w:t>
      </w:r>
      <w:r w:rsidRPr="005C4F0E">
        <w:rPr>
          <w:rFonts w:cstheme="minorHAnsi"/>
        </w:rPr>
        <w:t xml:space="preserve"> (</w:t>
      </w:r>
      <w:r w:rsidRPr="005C4F0E">
        <w:rPr>
          <w:rFonts w:cstheme="minorHAnsi"/>
          <w:bCs/>
          <w:i/>
          <w:iCs/>
        </w:rPr>
        <w:t>κ</w:t>
      </w:r>
      <w:r w:rsidRPr="005C4F0E">
        <w:rPr>
          <w:rFonts w:cstheme="minorHAnsi"/>
        </w:rPr>
        <w:t xml:space="preserve">) was used to measure the inter-rater agreement on risk of bias overall scores between </w:t>
      </w:r>
      <w:proofErr w:type="spellStart"/>
      <w:r w:rsidRPr="005C4F0E">
        <w:rPr>
          <w:rFonts w:cstheme="minorHAnsi"/>
        </w:rPr>
        <w:t>rater</w:t>
      </w:r>
      <w:proofErr w:type="spellEnd"/>
      <w:r w:rsidRPr="005C4F0E">
        <w:rPr>
          <w:rFonts w:cstheme="minorHAnsi"/>
        </w:rPr>
        <w:t xml:space="preserve"> 1 and </w:t>
      </w:r>
      <w:proofErr w:type="spellStart"/>
      <w:r w:rsidRPr="005C4F0E">
        <w:rPr>
          <w:rFonts w:cstheme="minorHAnsi"/>
        </w:rPr>
        <w:t>rater</w:t>
      </w:r>
      <w:proofErr w:type="spellEnd"/>
      <w:r w:rsidRPr="005C4F0E">
        <w:rPr>
          <w:rFonts w:cstheme="minorHAnsi"/>
        </w:rPr>
        <w:t xml:space="preserve"> 2 and </w:t>
      </w:r>
      <w:proofErr w:type="spellStart"/>
      <w:r w:rsidRPr="005C4F0E">
        <w:rPr>
          <w:rFonts w:cstheme="minorHAnsi"/>
        </w:rPr>
        <w:t>rater</w:t>
      </w:r>
      <w:proofErr w:type="spellEnd"/>
      <w:r w:rsidRPr="005C4F0E">
        <w:rPr>
          <w:rFonts w:cstheme="minorHAnsi"/>
        </w:rPr>
        <w:t xml:space="preserve"> 1 and </w:t>
      </w:r>
      <w:proofErr w:type="spellStart"/>
      <w:r w:rsidRPr="005C4F0E">
        <w:rPr>
          <w:rFonts w:cstheme="minorHAnsi"/>
        </w:rPr>
        <w:t>rater</w:t>
      </w:r>
      <w:proofErr w:type="spellEnd"/>
      <w:r w:rsidRPr="005C4F0E">
        <w:rPr>
          <w:rFonts w:cstheme="minorHAnsi"/>
        </w:rPr>
        <w:t xml:space="preserve"> 3.  Kappa results were interpreted using the Landis and Koch (1977) categories; kappa values &lt; 0 as indicating no agreement, 0–0.20 as slight, 0.21–0.40 as fair, 0.41–0.60 as moderate, 0.61–0.80 as substantial and 0.81–1 as almost perfect agreement</w:t>
      </w:r>
      <w:r w:rsidRPr="00567E99">
        <w:rPr>
          <w:rFonts w:cstheme="minorHAnsi"/>
          <w:sz w:val="24"/>
          <w:szCs w:val="24"/>
        </w:rPr>
        <w:t>.</w:t>
      </w:r>
      <w:r w:rsidR="00554CB4">
        <w:rPr>
          <w:rFonts w:cstheme="minorHAnsi"/>
          <w:sz w:val="24"/>
          <w:szCs w:val="24"/>
        </w:rPr>
        <w:t xml:space="preserve">  </w:t>
      </w:r>
      <w:r w:rsidRPr="00F319E3">
        <w:t xml:space="preserve">There was </w:t>
      </w:r>
      <w:r>
        <w:t>moderate</w:t>
      </w:r>
      <w:r w:rsidRPr="00F319E3">
        <w:t xml:space="preserve"> agreement between </w:t>
      </w:r>
      <w:r>
        <w:t xml:space="preserve">rate 1 and </w:t>
      </w:r>
      <w:proofErr w:type="spellStart"/>
      <w:r>
        <w:t>rater</w:t>
      </w:r>
      <w:proofErr w:type="spellEnd"/>
      <w:r>
        <w:t xml:space="preserve"> 2</w:t>
      </w:r>
      <w:r w:rsidRPr="00690641">
        <w:t>, κ = .</w:t>
      </w:r>
      <w:r>
        <w:t>501, p &lt; .001 and fair</w:t>
      </w:r>
      <w:r w:rsidRPr="00F319E3">
        <w:t xml:space="preserve"> agreement between </w:t>
      </w:r>
      <w:proofErr w:type="spellStart"/>
      <w:r>
        <w:t>rater</w:t>
      </w:r>
      <w:proofErr w:type="spellEnd"/>
      <w:r>
        <w:t xml:space="preserve"> 1 and </w:t>
      </w:r>
      <w:proofErr w:type="spellStart"/>
      <w:r>
        <w:t>rater</w:t>
      </w:r>
      <w:proofErr w:type="spellEnd"/>
      <w:r>
        <w:t xml:space="preserve"> 3</w:t>
      </w:r>
      <w:r w:rsidRPr="00690641">
        <w:t>, κ = .</w:t>
      </w:r>
      <w:r>
        <w:t>388</w:t>
      </w:r>
      <w:r w:rsidRPr="00690641">
        <w:t>, p &lt; .001.</w:t>
      </w:r>
    </w:p>
    <w:p w14:paraId="02C6D08E" w14:textId="77777777" w:rsidR="00F1508E" w:rsidRDefault="00F1508E" w:rsidP="00F1508E">
      <w:pPr>
        <w:rPr>
          <w:sz w:val="24"/>
          <w:szCs w:val="24"/>
        </w:rPr>
        <w:sectPr w:rsidR="00F1508E" w:rsidSect="00452C07">
          <w:pgSz w:w="11906" w:h="16838"/>
          <w:pgMar w:top="851" w:right="851" w:bottom="851" w:left="1134" w:header="708" w:footer="708" w:gutter="0"/>
          <w:cols w:space="708"/>
          <w:docGrid w:linePitch="360"/>
        </w:sectPr>
      </w:pPr>
    </w:p>
    <w:p w14:paraId="24505926" w14:textId="35B2DAD3" w:rsidR="00F1508E" w:rsidRDefault="00F1508E" w:rsidP="00F1508E">
      <w:pPr>
        <w:pStyle w:val="Caption"/>
      </w:pPr>
      <w:bookmarkStart w:id="231" w:name="_Ref530650023"/>
      <w:bookmarkStart w:id="232" w:name="_Toc530759486"/>
      <w:proofErr w:type="gramStart"/>
      <w:r>
        <w:lastRenderedPageBreak/>
        <w:t xml:space="preserve">Table </w:t>
      </w:r>
      <w:r w:rsidR="007E7BB7">
        <w:fldChar w:fldCharType="begin"/>
      </w:r>
      <w:r w:rsidR="007E7BB7">
        <w:instrText xml:space="preserve"> STYLEREF 1 \s </w:instrText>
      </w:r>
      <w:r w:rsidR="007E7BB7">
        <w:fldChar w:fldCharType="separate"/>
      </w:r>
      <w:r w:rsidR="00574650">
        <w:rPr>
          <w:noProof/>
        </w:rPr>
        <w:t>4</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r w:rsidR="00574650">
        <w:rPr>
          <w:noProof/>
        </w:rPr>
        <w:t>1</w:t>
      </w:r>
      <w:r w:rsidR="007E7BB7">
        <w:fldChar w:fldCharType="end"/>
      </w:r>
      <w:bookmarkEnd w:id="231"/>
      <w:r>
        <w:t xml:space="preserve"> </w:t>
      </w:r>
      <w:r>
        <w:rPr>
          <w:rFonts w:cs="Arial"/>
          <w:szCs w:val="24"/>
        </w:rPr>
        <w:t xml:space="preserve">Cochrane risk of bias assessment </w:t>
      </w:r>
      <w:r>
        <w:t>of</w:t>
      </w:r>
      <w:r w:rsidRPr="00E66340">
        <w:t xml:space="preserve"> </w:t>
      </w:r>
      <w:r>
        <w:t xml:space="preserve">included </w:t>
      </w:r>
      <w:r w:rsidRPr="00E66340">
        <w:t>studies</w:t>
      </w:r>
      <w:bookmarkEnd w:id="232"/>
    </w:p>
    <w:tbl>
      <w:tblPr>
        <w:tblStyle w:val="TableGrid"/>
        <w:tblW w:w="5000" w:type="pct"/>
        <w:tblLook w:val="04A0" w:firstRow="1" w:lastRow="0" w:firstColumn="1" w:lastColumn="0" w:noHBand="0" w:noVBand="1"/>
      </w:tblPr>
      <w:tblGrid>
        <w:gridCol w:w="7983"/>
        <w:gridCol w:w="1012"/>
        <w:gridCol w:w="1012"/>
        <w:gridCol w:w="1013"/>
        <w:gridCol w:w="1013"/>
        <w:gridCol w:w="1013"/>
        <w:gridCol w:w="1013"/>
        <w:gridCol w:w="1010"/>
      </w:tblGrid>
      <w:tr w:rsidR="00F1508E" w:rsidRPr="00DF37E1" w14:paraId="4935EAB0" w14:textId="77777777" w:rsidTr="00D075F6">
        <w:tc>
          <w:tcPr>
            <w:tcW w:w="2648" w:type="pct"/>
            <w:tcBorders>
              <w:left w:val="nil"/>
              <w:bottom w:val="single" w:sz="4" w:space="0" w:color="auto"/>
              <w:right w:val="nil"/>
            </w:tcBorders>
            <w:vAlign w:val="center"/>
          </w:tcPr>
          <w:p w14:paraId="3978C8BE" w14:textId="77777777" w:rsidR="00F1508E" w:rsidRPr="0070389D" w:rsidRDefault="00F1508E" w:rsidP="00D075F6">
            <w:pPr>
              <w:pStyle w:val="NoSpacing"/>
              <w:rPr>
                <w:b/>
              </w:rPr>
            </w:pPr>
            <w:r w:rsidRPr="0070389D">
              <w:rPr>
                <w:b/>
              </w:rPr>
              <w:t>Study</w:t>
            </w:r>
          </w:p>
        </w:tc>
        <w:tc>
          <w:tcPr>
            <w:tcW w:w="336" w:type="pct"/>
            <w:tcBorders>
              <w:left w:val="nil"/>
              <w:bottom w:val="single" w:sz="4" w:space="0" w:color="auto"/>
              <w:right w:val="nil"/>
            </w:tcBorders>
            <w:vAlign w:val="center"/>
          </w:tcPr>
          <w:p w14:paraId="69B9F4DE" w14:textId="77777777" w:rsidR="00F1508E" w:rsidRPr="0070389D" w:rsidRDefault="00F1508E" w:rsidP="00D075F6">
            <w:pPr>
              <w:pStyle w:val="NoSpacing"/>
              <w:jc w:val="center"/>
              <w:rPr>
                <w:b/>
              </w:rPr>
            </w:pPr>
            <w:r w:rsidRPr="0070389D">
              <w:rPr>
                <w:b/>
              </w:rPr>
              <w:t>1</w:t>
            </w:r>
          </w:p>
        </w:tc>
        <w:tc>
          <w:tcPr>
            <w:tcW w:w="336" w:type="pct"/>
            <w:tcBorders>
              <w:left w:val="nil"/>
              <w:bottom w:val="single" w:sz="4" w:space="0" w:color="auto"/>
              <w:right w:val="nil"/>
            </w:tcBorders>
            <w:vAlign w:val="center"/>
          </w:tcPr>
          <w:p w14:paraId="1DF3CC4E" w14:textId="77777777" w:rsidR="00F1508E" w:rsidRPr="0070389D" w:rsidRDefault="00F1508E" w:rsidP="00D075F6">
            <w:pPr>
              <w:pStyle w:val="NoSpacing"/>
              <w:jc w:val="center"/>
              <w:rPr>
                <w:b/>
              </w:rPr>
            </w:pPr>
            <w:r w:rsidRPr="0070389D">
              <w:rPr>
                <w:b/>
              </w:rPr>
              <w:t>2</w:t>
            </w:r>
          </w:p>
        </w:tc>
        <w:tc>
          <w:tcPr>
            <w:tcW w:w="336" w:type="pct"/>
            <w:tcBorders>
              <w:left w:val="nil"/>
              <w:bottom w:val="single" w:sz="4" w:space="0" w:color="auto"/>
              <w:right w:val="nil"/>
            </w:tcBorders>
            <w:vAlign w:val="center"/>
          </w:tcPr>
          <w:p w14:paraId="2CF19624" w14:textId="77777777" w:rsidR="00F1508E" w:rsidRPr="0070389D" w:rsidRDefault="00F1508E" w:rsidP="00D075F6">
            <w:pPr>
              <w:pStyle w:val="NoSpacing"/>
              <w:jc w:val="center"/>
              <w:rPr>
                <w:b/>
              </w:rPr>
            </w:pPr>
            <w:r w:rsidRPr="0070389D">
              <w:rPr>
                <w:b/>
              </w:rPr>
              <w:t>3</w:t>
            </w:r>
          </w:p>
        </w:tc>
        <w:tc>
          <w:tcPr>
            <w:tcW w:w="336" w:type="pct"/>
            <w:tcBorders>
              <w:left w:val="nil"/>
              <w:bottom w:val="single" w:sz="4" w:space="0" w:color="auto"/>
              <w:right w:val="nil"/>
            </w:tcBorders>
          </w:tcPr>
          <w:p w14:paraId="4B19B9B2" w14:textId="77777777" w:rsidR="00F1508E" w:rsidRPr="0070389D" w:rsidRDefault="00F1508E" w:rsidP="00D075F6">
            <w:pPr>
              <w:pStyle w:val="NoSpacing"/>
              <w:jc w:val="center"/>
              <w:rPr>
                <w:b/>
              </w:rPr>
            </w:pPr>
            <w:r w:rsidRPr="0070389D">
              <w:rPr>
                <w:b/>
              </w:rPr>
              <w:t>4</w:t>
            </w:r>
          </w:p>
        </w:tc>
        <w:tc>
          <w:tcPr>
            <w:tcW w:w="336" w:type="pct"/>
            <w:tcBorders>
              <w:left w:val="nil"/>
              <w:bottom w:val="single" w:sz="4" w:space="0" w:color="auto"/>
              <w:right w:val="nil"/>
            </w:tcBorders>
            <w:vAlign w:val="center"/>
          </w:tcPr>
          <w:p w14:paraId="34F5BA9B" w14:textId="77777777" w:rsidR="00F1508E" w:rsidRPr="0070389D" w:rsidRDefault="00F1508E" w:rsidP="00D075F6">
            <w:pPr>
              <w:pStyle w:val="NoSpacing"/>
              <w:jc w:val="center"/>
              <w:rPr>
                <w:b/>
              </w:rPr>
            </w:pPr>
            <w:r w:rsidRPr="0070389D">
              <w:rPr>
                <w:b/>
              </w:rPr>
              <w:t>5</w:t>
            </w:r>
          </w:p>
        </w:tc>
        <w:tc>
          <w:tcPr>
            <w:tcW w:w="336" w:type="pct"/>
            <w:tcBorders>
              <w:left w:val="nil"/>
              <w:bottom w:val="single" w:sz="4" w:space="0" w:color="auto"/>
              <w:right w:val="nil"/>
            </w:tcBorders>
            <w:vAlign w:val="center"/>
          </w:tcPr>
          <w:p w14:paraId="52049716" w14:textId="77777777" w:rsidR="00F1508E" w:rsidRPr="0070389D" w:rsidRDefault="00F1508E" w:rsidP="00D075F6">
            <w:pPr>
              <w:pStyle w:val="NoSpacing"/>
              <w:jc w:val="center"/>
              <w:rPr>
                <w:b/>
              </w:rPr>
            </w:pPr>
            <w:r w:rsidRPr="0070389D">
              <w:rPr>
                <w:b/>
              </w:rPr>
              <w:t>6</w:t>
            </w:r>
          </w:p>
        </w:tc>
        <w:tc>
          <w:tcPr>
            <w:tcW w:w="335" w:type="pct"/>
            <w:tcBorders>
              <w:left w:val="nil"/>
              <w:bottom w:val="single" w:sz="4" w:space="0" w:color="auto"/>
              <w:right w:val="nil"/>
            </w:tcBorders>
            <w:vAlign w:val="center"/>
          </w:tcPr>
          <w:p w14:paraId="15250B79" w14:textId="77777777" w:rsidR="00F1508E" w:rsidRPr="0070389D" w:rsidRDefault="00F1508E" w:rsidP="00D075F6">
            <w:pPr>
              <w:pStyle w:val="NoSpacing"/>
              <w:jc w:val="center"/>
              <w:rPr>
                <w:b/>
              </w:rPr>
            </w:pPr>
            <w:r w:rsidRPr="0070389D">
              <w:rPr>
                <w:b/>
              </w:rPr>
              <w:t>7</w:t>
            </w:r>
          </w:p>
        </w:tc>
      </w:tr>
      <w:tr w:rsidR="00F1508E" w:rsidRPr="00DF37E1" w14:paraId="2BDA8047" w14:textId="77777777" w:rsidTr="00D075F6">
        <w:tc>
          <w:tcPr>
            <w:tcW w:w="2648" w:type="pct"/>
            <w:tcBorders>
              <w:top w:val="single" w:sz="4" w:space="0" w:color="auto"/>
              <w:left w:val="nil"/>
              <w:bottom w:val="nil"/>
              <w:right w:val="nil"/>
            </w:tcBorders>
            <w:vAlign w:val="center"/>
          </w:tcPr>
          <w:p w14:paraId="34793196" w14:textId="7C18FB3B" w:rsidR="00F1508E" w:rsidRPr="00DF37E1" w:rsidRDefault="00F1508E" w:rsidP="00D075F6">
            <w:pPr>
              <w:pStyle w:val="NoSpacing"/>
            </w:pPr>
            <w:r w:rsidRPr="00DF37E1">
              <w:fldChar w:fldCharType="begin" w:fldLock="1"/>
            </w:r>
            <w:r w:rsidR="00E21233">
              <w:instrText>ADDIN CSL_CITATION {"citationItems":[{"id":"ITEM-1","itemData":{"DOI":"10.2196/jmir.2307","ISBN":"1438-8871","ISSN":"14388871","PMID":"23669884","abstract":"Background: Face-to-face cognitive behavioral therapy (CBT) and interpersonal psychotherapy (IPT) are both effective treatments for depressive disorders, but access is limited. Online CBT interventions have demonstrated efficacy in decreasing depressive symptoms and can facilitate the dissemination of therapies among the public. However, the efficacy of Internet-delivered IPT is as yet unknown. Objetives: This study examines whether IPT is effective, noninferior to, and as feasible as CBT when delivered online to spontaneous visitors of an online therapy website. Methods: An automated, 3-arm, fully self-guided, online noninferiority trial compared 2 new treatments (IPT: n=620; CBT: n=610) to an active control treatment (MoodGYM: n=613) over a 4-week period in the general population. Outcomes were assessed using online self-report questionnaires, the Center for Epidemiological Studies Depression scale (CES-D) and the Client Satisfaction Questionnaire (CSQ-8) completed immediately following treatment (posttest) and at 6-month follow-up. Results: Completers analyses showed a significant reduction in depressive symptoms at posttest and follow-up for both CBT and IPT, and were noninferior to MoodGYM. Within-group effect sizes were medium to large for all groups. There were no differences in clinical significant change between the programs. Reliable change was shown at posttest and follow-up for all programs, with consistently higher rates for CBT. Participants allocated to IPT showed significantly lower treatment satisfaction compared to CBT and MoodGYM. There was a dropout rate of 1294/1843 (70%) at posttest, highest for MoodGYM. Intention-to-treat analyses confirmed these findings. Conclusions: Despite a high dropout rate and lower satisfaction scores, this study suggests that Internet-delivered self-guided IPT is effective in reducing depressive symptoms, and may be noninferior to MoodGYM. The completion rates of IPT and CBT were higher than MoodGYM, indicating some progress in refining Internet-based self-help. Internet-delivered treatment options available for people suffering from depression now include IPT.","author":[{"dropping-particle":"","family":"Donker","given":"Tara","non-dropping-particle":"","parse-names":false,"suffix":""},{"dropping-particle":"","family":"Bennett","given":"Kylie","non-dropping-particle":"","parse-names":false,"suffix":""},{"dropping-particle":"","family":"Bennett","given":"Anthony","non-dropping-particle":"","parse-names":false,"suffix":""},{"dropping-particle":"","family":"Mackinnon","given":"Andrew","non-dropping-particle":"","parse-names":false,"suffix":""},{"dropping-particle":"","family":"Straten","given":"Annemieke","non-dropping-particle":"van","parse-names":false,"suffix":""},{"dropping-particle":"","family":"Cuijpers","given":"Pim","non-dropping-particle":"","parse-names":false,"suffix":""},{"dropping-particle":"","family":"Christensen","given":"Helen","non-dropping-particle":"","parse-names":false,"suffix":""},{"dropping-particle":"","family":"Griffiths","given":"Kathleen M.","non-dropping-particle":"","parse-names":false,"suffix":""}],"container-title":"Journal of Medical Internet Research","id":"ITEM-1","issue":"5","issued":{"date-parts":[["2013","1"]]},"page":"1-16","title":"Internet-delivered interpersonal psychotherapy versus internet-delivered cognitive behavioral therapy for adults with depressive symptoms: Randomized controlled noninferiority trial","type":"article-journal","volume":"15"},"uris":["http://www.mendeley.com/documents/?uuid=182f4688-b9ff-48e1-8cc9-11cd05d5e329"]}],"mendeley":{"formattedCitation":"(Donker, Bennett, &lt;i&gt;et al.&lt;/i&gt;, 2013)","manualFormatting":"Donker et al. (2013)","plainTextFormattedCitation":"(Donker, Bennett, et al., 2013)","previouslyFormattedCitation":"(Donker, Bennett, &lt;i&gt;et al.&lt;/i&gt;, 2013)"},"properties":{"noteIndex":0},"schema":"https://github.com/citation-style-language/schema/raw/master/csl-citation.json"}</w:instrText>
            </w:r>
            <w:r w:rsidRPr="00DF37E1">
              <w:fldChar w:fldCharType="separate"/>
            </w:r>
            <w:r w:rsidRPr="00DF37E1">
              <w:rPr>
                <w:noProof/>
              </w:rPr>
              <w:t>Donker et al. (2013)</w:t>
            </w:r>
            <w:r w:rsidRPr="00DF37E1">
              <w:fldChar w:fldCharType="end"/>
            </w:r>
          </w:p>
        </w:tc>
        <w:tc>
          <w:tcPr>
            <w:tcW w:w="336" w:type="pct"/>
            <w:tcBorders>
              <w:top w:val="single" w:sz="4" w:space="0" w:color="auto"/>
              <w:left w:val="nil"/>
              <w:bottom w:val="nil"/>
              <w:right w:val="nil"/>
            </w:tcBorders>
            <w:vAlign w:val="center"/>
          </w:tcPr>
          <w:p w14:paraId="2870248E" w14:textId="77777777" w:rsidR="00F1508E" w:rsidRPr="00DF37E1" w:rsidRDefault="00F1508E" w:rsidP="00D075F6">
            <w:pPr>
              <w:pStyle w:val="NoSpacing"/>
              <w:jc w:val="center"/>
            </w:pPr>
            <w:r w:rsidRPr="00DF37E1">
              <w:rPr>
                <w:noProof/>
                <w:lang w:eastAsia="en-GB"/>
              </w:rPr>
              <w:drawing>
                <wp:inline distT="0" distB="0" distL="0" distR="0" wp14:anchorId="6C224337" wp14:editId="79799614">
                  <wp:extent cx="218962" cy="21896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single" w:sz="4" w:space="0" w:color="auto"/>
              <w:left w:val="nil"/>
              <w:bottom w:val="nil"/>
              <w:right w:val="nil"/>
            </w:tcBorders>
            <w:vAlign w:val="center"/>
          </w:tcPr>
          <w:p w14:paraId="713725FD" w14:textId="77777777" w:rsidR="00F1508E" w:rsidRPr="00DF37E1" w:rsidRDefault="00F1508E" w:rsidP="00D075F6">
            <w:pPr>
              <w:pStyle w:val="NoSpacing"/>
              <w:jc w:val="center"/>
            </w:pPr>
            <w:r w:rsidRPr="00DF37E1">
              <w:rPr>
                <w:noProof/>
                <w:lang w:eastAsia="en-GB"/>
              </w:rPr>
              <w:drawing>
                <wp:inline distT="0" distB="0" distL="0" distR="0" wp14:anchorId="487F7C45" wp14:editId="5DCF3869">
                  <wp:extent cx="218962" cy="21896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single" w:sz="4" w:space="0" w:color="auto"/>
              <w:left w:val="nil"/>
              <w:bottom w:val="nil"/>
              <w:right w:val="nil"/>
            </w:tcBorders>
            <w:vAlign w:val="center"/>
          </w:tcPr>
          <w:p w14:paraId="6BB942E9" w14:textId="77777777" w:rsidR="00F1508E" w:rsidRPr="00DF37E1" w:rsidRDefault="00F1508E" w:rsidP="00D075F6">
            <w:pPr>
              <w:pStyle w:val="NoSpacing"/>
              <w:jc w:val="center"/>
            </w:pPr>
            <w:r w:rsidRPr="00DF37E1">
              <w:rPr>
                <w:noProof/>
                <w:lang w:eastAsia="en-GB"/>
              </w:rPr>
              <w:drawing>
                <wp:inline distT="0" distB="0" distL="0" distR="0" wp14:anchorId="71B3E9B6" wp14:editId="1E19D598">
                  <wp:extent cx="218962" cy="21896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single" w:sz="4" w:space="0" w:color="auto"/>
              <w:left w:val="nil"/>
              <w:bottom w:val="nil"/>
              <w:right w:val="nil"/>
            </w:tcBorders>
          </w:tcPr>
          <w:p w14:paraId="3D48C2FB"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6023E00A" wp14:editId="5B56C5D5">
                  <wp:extent cx="218962" cy="218962"/>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single" w:sz="4" w:space="0" w:color="auto"/>
              <w:left w:val="nil"/>
              <w:bottom w:val="nil"/>
              <w:right w:val="nil"/>
            </w:tcBorders>
            <w:vAlign w:val="center"/>
          </w:tcPr>
          <w:p w14:paraId="2B6CE509" w14:textId="77777777" w:rsidR="00F1508E" w:rsidRPr="00DF37E1" w:rsidRDefault="00F1508E" w:rsidP="00D075F6">
            <w:pPr>
              <w:pStyle w:val="NoSpacing"/>
              <w:jc w:val="center"/>
            </w:pPr>
            <w:r w:rsidRPr="00DF37E1">
              <w:rPr>
                <w:noProof/>
                <w:lang w:eastAsia="en-GB"/>
              </w:rPr>
              <w:drawing>
                <wp:inline distT="0" distB="0" distL="0" distR="0" wp14:anchorId="2AF0734B" wp14:editId="6583C1D6">
                  <wp:extent cx="218962" cy="218962"/>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single" w:sz="4" w:space="0" w:color="auto"/>
              <w:left w:val="nil"/>
              <w:bottom w:val="nil"/>
              <w:right w:val="nil"/>
            </w:tcBorders>
            <w:vAlign w:val="center"/>
          </w:tcPr>
          <w:p w14:paraId="0B9B598C" w14:textId="77777777" w:rsidR="00F1508E" w:rsidRPr="00DF37E1" w:rsidRDefault="00F1508E" w:rsidP="00D075F6">
            <w:pPr>
              <w:pStyle w:val="NoSpacing"/>
              <w:jc w:val="center"/>
            </w:pPr>
            <w:r w:rsidRPr="00DF37E1">
              <w:rPr>
                <w:noProof/>
                <w:lang w:eastAsia="en-GB"/>
              </w:rPr>
              <w:drawing>
                <wp:inline distT="0" distB="0" distL="0" distR="0" wp14:anchorId="0AB0146C" wp14:editId="200C395F">
                  <wp:extent cx="218962" cy="218962"/>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single" w:sz="4" w:space="0" w:color="auto"/>
              <w:left w:val="nil"/>
              <w:bottom w:val="nil"/>
              <w:right w:val="nil"/>
            </w:tcBorders>
            <w:vAlign w:val="center"/>
          </w:tcPr>
          <w:p w14:paraId="61C70A14" w14:textId="77777777" w:rsidR="00F1508E" w:rsidRPr="00DF37E1" w:rsidRDefault="00F1508E" w:rsidP="00D075F6">
            <w:pPr>
              <w:pStyle w:val="NoSpacing"/>
              <w:jc w:val="center"/>
            </w:pPr>
            <w:r w:rsidRPr="00DF37E1">
              <w:rPr>
                <w:noProof/>
                <w:lang w:eastAsia="en-GB"/>
              </w:rPr>
              <w:drawing>
                <wp:inline distT="0" distB="0" distL="0" distR="0" wp14:anchorId="1001A597" wp14:editId="2A3A4E8D">
                  <wp:extent cx="218962" cy="21896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r w:rsidR="00F1508E" w:rsidRPr="00DF37E1" w14:paraId="15D3F827" w14:textId="77777777" w:rsidTr="00D075F6">
        <w:tc>
          <w:tcPr>
            <w:tcW w:w="2648" w:type="pct"/>
            <w:tcBorders>
              <w:top w:val="nil"/>
              <w:left w:val="nil"/>
              <w:bottom w:val="nil"/>
              <w:right w:val="nil"/>
            </w:tcBorders>
            <w:vAlign w:val="center"/>
          </w:tcPr>
          <w:p w14:paraId="7877E38E" w14:textId="77777777" w:rsidR="00F1508E" w:rsidRPr="00DF37E1" w:rsidRDefault="00F1508E" w:rsidP="00D075F6">
            <w:pPr>
              <w:pStyle w:val="NoSpacing"/>
            </w:pPr>
            <w:r w:rsidRPr="00DF37E1">
              <w:fldChar w:fldCharType="begin" w:fldLock="1"/>
            </w:r>
            <w:r>
              <w:instrText>ADDIN CSL_CITATION {"citationItems":[{"id":"ITEM-1","itemData":{"DOI":"10.1371/journal.pone.0028099","ISBN":"1932-6203","ISSN":"19326203","PMID":"22140514","abstract":"BACKGROUND: Telephone helplines are frequently and repeatedly used by individuals with chronic mental health problems and web interventions may be an effective tool for reducing depression in this population. AIM: To evaluate the effectiveness of a 6 week, web-based cognitive behaviour therapy (CBT) intervention with and without proactive weekly telephone tracking in the reduction of depression in callers to a helpline service. METHOD: 155 callers to a national helpline service with moderate to high psychological distress were recruited and randomised to receive either Internet CBT plus weekly telephone follow-up; Internet CBT only; weekly telephone follow-up only; or treatment as usual. RESULTS: Depression was lower in participants in the web intervention conditions both with and without telephone tracking compared to the treatment as usual condition both at post intervention and at 6 month follow-up. Telephone tracking provided by a lay telephone counsellor did not confer any additional advantage in terms of symptom reduction or adherence. CONCLUSIONS: A web-based CBT program is effective both with and without telephone tracking for reducing depression in callers to a national helpline. TRIAL REGISTRATION: Controlled-Trials.comISRCTN93903959.","author":[{"dropping-particle":"","family":"Farrer","given":"Louise","non-dropping-particle":"","parse-names":false,"suffix":""},{"dropping-particle":"","family":"Christensen","given":"Helen","non-dropping-particle":"","parse-names":false,"suffix":""},{"dropping-particle":"","family":"Griffiths","given":"Kathleen M.","non-dropping-particle":"","parse-names":false,"suffix":""},{"dropping-particle":"","family":"Mackinnon","given":"Andrew","non-dropping-particle":"","parse-names":false,"suffix":""}],"container-title":"PLoS ONE","id":"ITEM-1","issue":"11","issued":{"date-parts":[["2011"]]},"page":"e28099","title":"Internet-based CBT for depression with and without telephone tracking in a national helpline: Randomised controlled trial","type":"article-journal","volume":"6"},"uris":["http://www.mendeley.com/documents/?uuid=f6a5aca4-d101-41c7-ba25-c23d5e561494"]}],"mendeley":{"formattedCitation":"(Farrer &lt;i&gt;et al.&lt;/i&gt;, 2011)","manualFormatting":"Farrer, Christensen, Griffiths, &amp; Mackinnon (2011)","plainTextFormattedCitation":"(Farrer et al., 2011)","previouslyFormattedCitation":"(Farrer &lt;i&gt;et al.&lt;/i&gt;, 2011)"},"properties":{"noteIndex":0},"schema":"https://github.com/citation-style-language/schema/raw/master/csl-citation.json"}</w:instrText>
            </w:r>
            <w:r w:rsidRPr="00DF37E1">
              <w:fldChar w:fldCharType="separate"/>
            </w:r>
            <w:r w:rsidRPr="00DF37E1">
              <w:rPr>
                <w:noProof/>
              </w:rPr>
              <w:t>Farrer, Christensen, Griffiths, &amp; Mackinnon (2011)</w:t>
            </w:r>
            <w:r w:rsidRPr="00DF37E1">
              <w:fldChar w:fldCharType="end"/>
            </w:r>
          </w:p>
        </w:tc>
        <w:tc>
          <w:tcPr>
            <w:tcW w:w="336" w:type="pct"/>
            <w:tcBorders>
              <w:top w:val="nil"/>
              <w:left w:val="nil"/>
              <w:bottom w:val="nil"/>
              <w:right w:val="nil"/>
            </w:tcBorders>
            <w:vAlign w:val="center"/>
          </w:tcPr>
          <w:p w14:paraId="2A61AE88" w14:textId="77777777" w:rsidR="00F1508E" w:rsidRPr="00DF37E1" w:rsidRDefault="00F1508E" w:rsidP="00D075F6">
            <w:pPr>
              <w:pStyle w:val="NoSpacing"/>
              <w:jc w:val="center"/>
            </w:pPr>
            <w:r w:rsidRPr="00DF37E1">
              <w:rPr>
                <w:noProof/>
                <w:lang w:eastAsia="en-GB"/>
              </w:rPr>
              <w:drawing>
                <wp:inline distT="0" distB="0" distL="0" distR="0" wp14:anchorId="19E42FA5" wp14:editId="62049E29">
                  <wp:extent cx="218962" cy="218962"/>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00715946" w14:textId="77777777" w:rsidR="00F1508E" w:rsidRPr="00DF37E1" w:rsidRDefault="00F1508E" w:rsidP="00D075F6">
            <w:pPr>
              <w:pStyle w:val="NoSpacing"/>
              <w:jc w:val="center"/>
            </w:pPr>
            <w:r w:rsidRPr="00DF37E1">
              <w:rPr>
                <w:noProof/>
                <w:lang w:eastAsia="en-GB"/>
              </w:rPr>
              <w:drawing>
                <wp:inline distT="0" distB="0" distL="0" distR="0" wp14:anchorId="66348733" wp14:editId="0833967C">
                  <wp:extent cx="218962" cy="21896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177A78F2" w14:textId="77777777" w:rsidR="00F1508E" w:rsidRPr="00DF37E1" w:rsidRDefault="00F1508E" w:rsidP="00D075F6">
            <w:pPr>
              <w:pStyle w:val="NoSpacing"/>
              <w:jc w:val="center"/>
            </w:pPr>
            <w:r w:rsidRPr="00DF37E1">
              <w:rPr>
                <w:noProof/>
                <w:lang w:eastAsia="en-GB"/>
              </w:rPr>
              <w:drawing>
                <wp:inline distT="0" distB="0" distL="0" distR="0" wp14:anchorId="3E20B630" wp14:editId="07FA308C">
                  <wp:extent cx="218962" cy="21896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tcPr>
          <w:p w14:paraId="507E9D54"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24252DEC" wp14:editId="415F8004">
                  <wp:extent cx="218962" cy="21896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24667473" w14:textId="77777777" w:rsidR="00F1508E" w:rsidRPr="00DF37E1" w:rsidRDefault="00F1508E" w:rsidP="00D075F6">
            <w:pPr>
              <w:pStyle w:val="NoSpacing"/>
              <w:jc w:val="center"/>
            </w:pPr>
            <w:r w:rsidRPr="00DF37E1">
              <w:rPr>
                <w:noProof/>
                <w:lang w:eastAsia="en-GB"/>
              </w:rPr>
              <w:drawing>
                <wp:inline distT="0" distB="0" distL="0" distR="0" wp14:anchorId="07BEE5A9" wp14:editId="417D2D75">
                  <wp:extent cx="218962" cy="218962"/>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098E222B" w14:textId="77777777" w:rsidR="00F1508E" w:rsidRPr="00DF37E1" w:rsidRDefault="00F1508E" w:rsidP="00D075F6">
            <w:pPr>
              <w:pStyle w:val="NoSpacing"/>
              <w:jc w:val="center"/>
            </w:pPr>
            <w:r w:rsidRPr="00DF37E1">
              <w:rPr>
                <w:noProof/>
                <w:lang w:eastAsia="en-GB"/>
              </w:rPr>
              <w:drawing>
                <wp:inline distT="0" distB="0" distL="0" distR="0" wp14:anchorId="7A45A9A8" wp14:editId="5D8A8F29">
                  <wp:extent cx="218962" cy="21896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nil"/>
              <w:left w:val="nil"/>
              <w:bottom w:val="nil"/>
              <w:right w:val="nil"/>
            </w:tcBorders>
            <w:vAlign w:val="center"/>
          </w:tcPr>
          <w:p w14:paraId="2CC17C8D" w14:textId="77777777" w:rsidR="00F1508E" w:rsidRPr="00DF37E1" w:rsidRDefault="00F1508E" w:rsidP="00D075F6">
            <w:pPr>
              <w:pStyle w:val="NoSpacing"/>
              <w:jc w:val="center"/>
            </w:pPr>
            <w:r w:rsidRPr="00DF37E1">
              <w:rPr>
                <w:noProof/>
                <w:lang w:eastAsia="en-GB"/>
              </w:rPr>
              <w:drawing>
                <wp:inline distT="0" distB="0" distL="0" distR="0" wp14:anchorId="27A2FEEC" wp14:editId="331A7435">
                  <wp:extent cx="218962" cy="21896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r w:rsidR="00F1508E" w:rsidRPr="00DF37E1" w14:paraId="7AD4D530" w14:textId="77777777" w:rsidTr="00D075F6">
        <w:tc>
          <w:tcPr>
            <w:tcW w:w="2648" w:type="pct"/>
            <w:tcBorders>
              <w:top w:val="nil"/>
              <w:left w:val="nil"/>
              <w:bottom w:val="nil"/>
              <w:right w:val="nil"/>
            </w:tcBorders>
            <w:vAlign w:val="center"/>
          </w:tcPr>
          <w:p w14:paraId="7FE3BC37" w14:textId="77777777" w:rsidR="00F1508E" w:rsidRPr="00DF37E1" w:rsidRDefault="00F1508E" w:rsidP="00D075F6">
            <w:pPr>
              <w:pStyle w:val="NoSpacing"/>
            </w:pPr>
            <w:r w:rsidRPr="00DF37E1">
              <w:fldChar w:fldCharType="begin" w:fldLock="1"/>
            </w:r>
            <w:r>
              <w:instrText>ADDIN CSL_CITATION {"citationItems":[{"id":"ITEM-1","itemData":{"DOI":"10.1136/bmj.h5627","ISBN":"1756-1833","ISSN":"1756-1833","PMID":"26559241","abstract":"Study question How effective is supported computerised cognitive behaviour therapy (cCBT) as an adjunct to usual primary care for adults with depression?\\nMethods This was a pragmatic, multicentre, three arm, parallel randomised controlled trial with simple randomisation. Treatment allocation was not blinded. Participants were adults with symptoms of depression (score ≥10 on nine item patient health questionnaire, PHQ-9) who were randomised to receive a commercially produced cCBT programme (“Beating the Blues”) or a free to use cCBT programme (MoodGYM) in addition to usual GP care. Participants were supported and encouraged to complete the programme via weekly telephone calls. Control participants were offered usual GP care, with no constraints on the range of treatments that could be accessed. The primary outcome was severity of depression assessed with the PHQ-9 at four months. Secondary outcomes included health related quality of life (measured by SF-36) and psychological wellbeing (measured by CORE-OM) at four, 12, and 24 months and depression at 12 and 24 months.\\nStudy answer and limitations Participants offered commercial or free to use cCBT experienced no additional improvement in depression compared with usual GP care at four months (odds ratio 1.19 (95% confidence interval 0.75 to 1.88) for Beating the Blues v usual GP care; 0.98 (0.62 to 1.56) for MoodGYM v usual GP care). There was no evidence of an overall difference between either programme compared with usual GP care (0.99 (0.57 to 1.70) and 0.68 (0.42 to 1.10), respectively) at any time point. Commercially provided cCBT conferred no additional benefit over free to use cCBT or usual GP care at any follow-up point. Uptake and use of cCBT was low, despite regular telephone support. Nearly a quarter of participants (24%) had dropped out by four months. The study did not have enough power to detect small differences so these cannot be ruled out. Findings cannot be generalised to cCBT offered with a much higher level of guidance and support.\\nWhat this study adds Supported cCBT does not substantially improve depression outcomes compared with usual GP care alone. In this study, neither a commercially available nor free to use computerised CBT intervention was superior to usual GP care.\\nFunding, competing interests, data sharing Commissioned and funded by the UK National Institute for Health Research (NIHR) Health Technology Assessment (HTA) programme (project No 06/43/05). The authors have no …","author":[{"dropping-particle":"","family":"Gilbody","given":"Simon","non-dropping-particle":"","parse-names":false,"suffix":""},{"dropping-particle":"","family":"Littlewood","given":"Elizabeth","non-dropping-particle":"","parse-names":false,"suffix":""},{"dropping-particle":"","family":"Hewitt","given":"Catherine","non-dropping-particle":"","parse-names":false,"suffix":""},{"dropping-particle":"","family":"Brierley","given":"Gwen","non-dropping-particle":"","parse-names":false,"suffix":""},{"dropping-particle":"","family":"Tharmanathan","given":"Puvan","non-dropping-particle":"","parse-names":false,"suffix":""},{"dropping-particle":"","family":"Araya","given":"Ricardo","non-dropping-particle":"","parse-names":false,"suffix":""},{"dropping-particle":"","family":"Barkham","given":"Michael","non-dropping-particle":"","parse-names":false,"suffix":""},{"dropping-particle":"","family":"Bower","given":"Peter","non-dropping-particle":"","parse-names":false,"suffix":""},{"dropping-particle":"","family":"Cooper","given":"Cindy","non-dropping-particle":"","parse-names":false,"suffix":""},{"dropping-particle":"","family":"Gask","given":"Linda","non-dropping-particle":"","parse-names":false,"suffix":""},{"dropping-particle":"","family":"Kessler","given":"David","non-dropping-particle":"","parse-names":false,"suffix":""},{"dropping-particle":"","family":"Lester","given":"Helen","non-dropping-particle":"","parse-names":false,"suffix":""},{"dropping-particle":"","family":"Lovell","given":"Karina","non-dropping-particle":"","parse-names":false,"suffix":""},{"dropping-particle":"","family":"Parry","given":"Glenys","non-dropping-particle":"","parse-names":false,"suffix":""},{"dropping-particle":"","family":"Richards","given":"David A","non-dropping-particle":"","parse-names":false,"suffix":""},{"dropping-particle":"","family":"Andersen","given":"Phil","non-dropping-particle":"","parse-names":false,"suffix":""},{"dropping-particle":"","family":"Brabyn","given":"Sally","non-dropping-particle":"","parse-names":false,"suffix":""},{"dropping-particle":"","family":"Knowles","given":"Sarah","non-dropping-particle":"","parse-names":false,"suffix":""},{"dropping-particle":"","family":"Shepherd","given":"Charles","non-dropping-particle":"","parse-names":false,"suffix":""},{"dropping-particle":"","family":"Tallon","given":"Debbie","non-dropping-particle":"","parse-names":false,"suffix":""},{"dropping-particle":"","family":"White","given":"David","non-dropping-particle":"","parse-names":false,"suffix":""}],"container-title":"Bmj","id":"ITEM-1","issued":{"date-parts":[["2015"]]},"page":"h5627","title":"Computerised cognitive behaviour therapy (cCBT) as treatment for depression in primary care (REEACT trial): large scale pragmatic randomised controlled trial","type":"article-journal","volume":"351"},"uris":["http://www.mendeley.com/documents/?uuid=d2df6197-3949-43e6-a5c7-08809e4cbc2e"]}],"mendeley":{"formattedCitation":"(Gilbody &lt;i&gt;et al.&lt;/i&gt;, 2015)","manualFormatting":"Gilbody et al. (2015)","plainTextFormattedCitation":"(Gilbody et al., 2015)","previouslyFormattedCitation":"(Gilbody &lt;i&gt;et al.&lt;/i&gt;, 2015)"},"properties":{"noteIndex":0},"schema":"https://github.com/citation-style-language/schema/raw/master/csl-citation.json"}</w:instrText>
            </w:r>
            <w:r w:rsidRPr="00DF37E1">
              <w:fldChar w:fldCharType="separate"/>
            </w:r>
            <w:r w:rsidRPr="00DF37E1">
              <w:rPr>
                <w:noProof/>
              </w:rPr>
              <w:t>Gilbody et al. (2015)</w:t>
            </w:r>
            <w:r w:rsidRPr="00DF37E1">
              <w:fldChar w:fldCharType="end"/>
            </w:r>
          </w:p>
        </w:tc>
        <w:tc>
          <w:tcPr>
            <w:tcW w:w="336" w:type="pct"/>
            <w:tcBorders>
              <w:top w:val="nil"/>
              <w:left w:val="nil"/>
              <w:bottom w:val="nil"/>
              <w:right w:val="nil"/>
            </w:tcBorders>
            <w:vAlign w:val="center"/>
          </w:tcPr>
          <w:p w14:paraId="5EB89831" w14:textId="77777777" w:rsidR="00F1508E" w:rsidRPr="00DF37E1" w:rsidRDefault="00F1508E" w:rsidP="00D075F6">
            <w:pPr>
              <w:pStyle w:val="NoSpacing"/>
              <w:jc w:val="center"/>
            </w:pPr>
            <w:r w:rsidRPr="00DF37E1">
              <w:rPr>
                <w:noProof/>
                <w:lang w:eastAsia="en-GB"/>
              </w:rPr>
              <w:drawing>
                <wp:inline distT="0" distB="0" distL="0" distR="0" wp14:anchorId="18E8F23E" wp14:editId="3BA1F7F6">
                  <wp:extent cx="218962" cy="21896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6AB386B6" w14:textId="77777777" w:rsidR="00F1508E" w:rsidRPr="00DF37E1" w:rsidRDefault="00F1508E" w:rsidP="00D075F6">
            <w:pPr>
              <w:pStyle w:val="NoSpacing"/>
              <w:jc w:val="center"/>
            </w:pPr>
            <w:r w:rsidRPr="00DF37E1">
              <w:rPr>
                <w:noProof/>
                <w:lang w:eastAsia="en-GB"/>
              </w:rPr>
              <w:drawing>
                <wp:inline distT="0" distB="0" distL="0" distR="0" wp14:anchorId="4FB25E20" wp14:editId="08D1CF97">
                  <wp:extent cx="218962" cy="21896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0443D813" w14:textId="77777777" w:rsidR="00F1508E" w:rsidRPr="00DF37E1" w:rsidRDefault="00F1508E" w:rsidP="00D075F6">
            <w:pPr>
              <w:pStyle w:val="NoSpacing"/>
              <w:jc w:val="center"/>
            </w:pPr>
            <w:r w:rsidRPr="00DF37E1">
              <w:rPr>
                <w:noProof/>
                <w:lang w:eastAsia="en-GB"/>
              </w:rPr>
              <w:drawing>
                <wp:inline distT="0" distB="0" distL="0" distR="0" wp14:anchorId="74157EC9" wp14:editId="77ADE84A">
                  <wp:extent cx="218962" cy="21896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tcPr>
          <w:p w14:paraId="39C51038"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65B56813" wp14:editId="7B669137">
                  <wp:extent cx="218962" cy="218962"/>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580BFA7A" w14:textId="77777777" w:rsidR="00F1508E" w:rsidRPr="00DF37E1" w:rsidRDefault="00F1508E" w:rsidP="00D075F6">
            <w:pPr>
              <w:pStyle w:val="NoSpacing"/>
              <w:jc w:val="center"/>
            </w:pPr>
            <w:r w:rsidRPr="00DF37E1">
              <w:rPr>
                <w:noProof/>
                <w:lang w:eastAsia="en-GB"/>
              </w:rPr>
              <w:drawing>
                <wp:inline distT="0" distB="0" distL="0" distR="0" wp14:anchorId="28DDF5E6" wp14:editId="662F4966">
                  <wp:extent cx="218962" cy="21896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5E94F4C2" w14:textId="77777777" w:rsidR="00F1508E" w:rsidRPr="00DF37E1" w:rsidRDefault="00F1508E" w:rsidP="00D075F6">
            <w:pPr>
              <w:pStyle w:val="NoSpacing"/>
              <w:jc w:val="center"/>
            </w:pPr>
            <w:r w:rsidRPr="00DF37E1">
              <w:rPr>
                <w:noProof/>
                <w:lang w:eastAsia="en-GB"/>
              </w:rPr>
              <w:drawing>
                <wp:inline distT="0" distB="0" distL="0" distR="0" wp14:anchorId="3F1FCDE2" wp14:editId="422A2C4C">
                  <wp:extent cx="218962" cy="21896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nil"/>
              <w:left w:val="nil"/>
              <w:bottom w:val="nil"/>
              <w:right w:val="nil"/>
            </w:tcBorders>
            <w:vAlign w:val="center"/>
          </w:tcPr>
          <w:p w14:paraId="137E9989" w14:textId="77777777" w:rsidR="00F1508E" w:rsidRPr="00DF37E1" w:rsidRDefault="00F1508E" w:rsidP="00D075F6">
            <w:pPr>
              <w:pStyle w:val="NoSpacing"/>
              <w:jc w:val="center"/>
            </w:pPr>
            <w:r w:rsidRPr="00DF37E1">
              <w:rPr>
                <w:noProof/>
                <w:lang w:eastAsia="en-GB"/>
              </w:rPr>
              <w:drawing>
                <wp:inline distT="0" distB="0" distL="0" distR="0" wp14:anchorId="66F2273D" wp14:editId="72D841DF">
                  <wp:extent cx="218962" cy="21896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r w:rsidR="00F1508E" w:rsidRPr="00DF37E1" w14:paraId="02BA8000" w14:textId="77777777" w:rsidTr="00D075F6">
        <w:tc>
          <w:tcPr>
            <w:tcW w:w="2648" w:type="pct"/>
            <w:tcBorders>
              <w:top w:val="nil"/>
              <w:left w:val="nil"/>
              <w:bottom w:val="nil"/>
              <w:right w:val="nil"/>
            </w:tcBorders>
            <w:vAlign w:val="center"/>
          </w:tcPr>
          <w:p w14:paraId="52038A06" w14:textId="77777777" w:rsidR="00F1508E" w:rsidRPr="00DF37E1" w:rsidRDefault="00F1508E" w:rsidP="00D075F6">
            <w:pPr>
              <w:pStyle w:val="NoSpacing"/>
            </w:pPr>
            <w:r w:rsidRPr="00DF37E1">
              <w:fldChar w:fldCharType="begin" w:fldLock="1"/>
            </w:r>
            <w:r>
              <w:instrText>ADDIN CSL_CITATION {"citationItems":[{"id":"ITEM-1","itemData":{"DOI":"10.1093/occmed/kqh077","ISBN":"0962-7480","ISSN":"09627480","PMID":"15289593","abstract":"BACKGROUND: Emotional distress has major implications for employees and employers. Cognitive behavioural therapy (CBT) is a recommended treatment, but demand outstrips supply. CBT is well suited to computerization. Most employee assistance programmes have not been systematically evaluated and computerized CBT has not previously been studied in the workplace.\\n\\nAIMS: To evaluate the effect of an 8 week computerized cognitive behavioural therapy programme, 'Beating The Blues', on emotional distress in employees with recent stress-related absenteeism, and to explore the reasons for non-participation.\\n\\nMETHODS: An open, randomized trial in a London NHS occupational health department. Forty-eight public sector employees, with 10 or more cumulative days stress-related absenteeism in the last 6 months, randomized equally to 'Beating The Blues' plus conventional care, or conventional care alone. Main outcome measures were Hospital Anxiety and Depression Scale and Attributional Style Questionnaire scores at end of treatment and 1, 3 and 6 months later; and reasons for non-participation.\\n\\nRESULTS: At end of treatment and 1 month later, adjusted mean depression scores and adjusted mean negative attributional style scores were significantly lower in the intervention group. One month post-treatment, adjusted mean anxiety scores were also significantly lower in the intervention group. The differences were not statistically significant at 3 and 6 months post-treatment. Non-participation was common and related to access problems, preference for other treatments, time commitment, scepticism about the intervention and the employer connection.\\n\\nCONCLUSIONS: 'Beating The Blues' may accelerate psychological recovery in employees with recent stress-related absenteeism. Greater flexibility and accessibility might improve uptake.","author":[{"dropping-particle":"","family":"Grime","given":"Paul R.","non-dropping-particle":"","parse-names":false,"suffix":""}],"container-title":"Occupational Medicine","id":"ITEM-1","issue":"5","issued":{"date-parts":[["2004"]]},"page":"353-359","title":"Computerized cognitive behavioural therapy at work: A randomized controlled trial in employees with recent stress-related absenteeism","type":"article-journal","volume":"54"},"uris":["http://www.mendeley.com/documents/?uuid=48d45dcc-2fa1-4d6f-934f-134fac93abfa"]}],"mendeley":{"formattedCitation":"(Grime, 2004)","manualFormatting":"Grime (2004)","plainTextFormattedCitation":"(Grime, 2004)","previouslyFormattedCitation":"(Grime, 2004)"},"properties":{"noteIndex":0},"schema":"https://github.com/citation-style-language/schema/raw/master/csl-citation.json"}</w:instrText>
            </w:r>
            <w:r w:rsidRPr="00DF37E1">
              <w:fldChar w:fldCharType="separate"/>
            </w:r>
            <w:r w:rsidRPr="00DF37E1">
              <w:rPr>
                <w:noProof/>
              </w:rPr>
              <w:t>Grime (2004)</w:t>
            </w:r>
            <w:r w:rsidRPr="00DF37E1">
              <w:fldChar w:fldCharType="end"/>
            </w:r>
          </w:p>
        </w:tc>
        <w:tc>
          <w:tcPr>
            <w:tcW w:w="336" w:type="pct"/>
            <w:tcBorders>
              <w:top w:val="nil"/>
              <w:left w:val="nil"/>
              <w:bottom w:val="nil"/>
              <w:right w:val="nil"/>
            </w:tcBorders>
            <w:vAlign w:val="center"/>
          </w:tcPr>
          <w:p w14:paraId="6CD2DE1F" w14:textId="77777777" w:rsidR="00F1508E" w:rsidRPr="00DF37E1" w:rsidRDefault="00F1508E" w:rsidP="00D075F6">
            <w:pPr>
              <w:pStyle w:val="NoSpacing"/>
              <w:jc w:val="center"/>
            </w:pPr>
            <w:r w:rsidRPr="00DF37E1">
              <w:rPr>
                <w:noProof/>
                <w:lang w:eastAsia="en-GB"/>
              </w:rPr>
              <w:drawing>
                <wp:inline distT="0" distB="0" distL="0" distR="0" wp14:anchorId="6D640BBC" wp14:editId="322311BA">
                  <wp:extent cx="218962" cy="21896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70A03236" w14:textId="77777777" w:rsidR="00F1508E" w:rsidRPr="00DF37E1" w:rsidRDefault="00F1508E" w:rsidP="00D075F6">
            <w:pPr>
              <w:pStyle w:val="NoSpacing"/>
              <w:jc w:val="center"/>
            </w:pPr>
            <w:r w:rsidRPr="00DF37E1">
              <w:rPr>
                <w:noProof/>
                <w:lang w:eastAsia="en-GB"/>
              </w:rPr>
              <w:drawing>
                <wp:inline distT="0" distB="0" distL="0" distR="0" wp14:anchorId="066BCBBD" wp14:editId="7073C9DB">
                  <wp:extent cx="218962" cy="21896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4CB331A2" w14:textId="77777777" w:rsidR="00F1508E" w:rsidRPr="00DF37E1" w:rsidRDefault="00F1508E" w:rsidP="00D075F6">
            <w:pPr>
              <w:pStyle w:val="NoSpacing"/>
              <w:jc w:val="center"/>
            </w:pPr>
            <w:r w:rsidRPr="00DF37E1">
              <w:rPr>
                <w:noProof/>
                <w:lang w:eastAsia="en-GB"/>
              </w:rPr>
              <w:drawing>
                <wp:inline distT="0" distB="0" distL="0" distR="0" wp14:anchorId="2513B93E" wp14:editId="00B63B8C">
                  <wp:extent cx="218962" cy="218962"/>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tcPr>
          <w:p w14:paraId="118402F9"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6A1709ED" wp14:editId="10E4BF6A">
                  <wp:extent cx="218962" cy="218962"/>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1072CC3F" w14:textId="77777777" w:rsidR="00F1508E" w:rsidRPr="00DF37E1" w:rsidRDefault="00F1508E" w:rsidP="00D075F6">
            <w:pPr>
              <w:pStyle w:val="NoSpacing"/>
              <w:jc w:val="center"/>
            </w:pPr>
            <w:r w:rsidRPr="00DF37E1">
              <w:rPr>
                <w:noProof/>
                <w:lang w:eastAsia="en-GB"/>
              </w:rPr>
              <w:drawing>
                <wp:inline distT="0" distB="0" distL="0" distR="0" wp14:anchorId="328FFD2E" wp14:editId="58F0A5FA">
                  <wp:extent cx="218962" cy="218962"/>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1F1252CC" w14:textId="77777777" w:rsidR="00F1508E" w:rsidRPr="00DF37E1" w:rsidRDefault="00F1508E" w:rsidP="00D075F6">
            <w:pPr>
              <w:pStyle w:val="NoSpacing"/>
              <w:jc w:val="center"/>
            </w:pPr>
            <w:r w:rsidRPr="00DF37E1">
              <w:rPr>
                <w:noProof/>
                <w:lang w:eastAsia="en-GB"/>
              </w:rPr>
              <w:drawing>
                <wp:inline distT="0" distB="0" distL="0" distR="0" wp14:anchorId="231C409D" wp14:editId="0DE783E1">
                  <wp:extent cx="218962" cy="218962"/>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nil"/>
              <w:left w:val="nil"/>
              <w:bottom w:val="nil"/>
              <w:right w:val="nil"/>
            </w:tcBorders>
            <w:vAlign w:val="center"/>
          </w:tcPr>
          <w:p w14:paraId="1CFF21A5" w14:textId="77777777" w:rsidR="00F1508E" w:rsidRPr="00DF37E1" w:rsidRDefault="00F1508E" w:rsidP="00D075F6">
            <w:pPr>
              <w:pStyle w:val="NoSpacing"/>
              <w:jc w:val="center"/>
            </w:pPr>
            <w:r w:rsidRPr="00DF37E1">
              <w:rPr>
                <w:noProof/>
                <w:lang w:eastAsia="en-GB"/>
              </w:rPr>
              <w:drawing>
                <wp:inline distT="0" distB="0" distL="0" distR="0" wp14:anchorId="05BB151A" wp14:editId="7525290F">
                  <wp:extent cx="218962" cy="218962"/>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r w:rsidR="00F1508E" w:rsidRPr="00DF37E1" w14:paraId="4323CDC7" w14:textId="77777777" w:rsidTr="00D075F6">
        <w:tc>
          <w:tcPr>
            <w:tcW w:w="2648" w:type="pct"/>
            <w:tcBorders>
              <w:top w:val="nil"/>
              <w:left w:val="nil"/>
              <w:bottom w:val="nil"/>
              <w:right w:val="nil"/>
            </w:tcBorders>
            <w:vAlign w:val="center"/>
          </w:tcPr>
          <w:p w14:paraId="47CD374C" w14:textId="77777777" w:rsidR="00F1508E" w:rsidRPr="00DF37E1" w:rsidRDefault="00F1508E" w:rsidP="00D075F6">
            <w:pPr>
              <w:pStyle w:val="NoSpacing"/>
            </w:pPr>
            <w:r w:rsidRPr="00DF37E1">
              <w:fldChar w:fldCharType="begin" w:fldLock="1"/>
            </w:r>
            <w:r>
              <w:instrText>ADDIN CSL_CITATION {"citationItems":[{"id":"ITEM-1","itemData":{"DOI":"10.1007/s10902-014-9589-1","ISBN":"1389-4978","ISSN":"15737780","abstract":"Smartphones are revolutionizing approaches to wellbeing investment. Those seeking greater happiness can engage with thousands of downloadable self-help applica- tions instantly, yet their effectiveness remains largely unknown. This investigation explored the viability of delivering a positive psychological intervention in application format to authentic happiness seekers. A smartphone-based randomized-controlled trial was conducted with a diverse self-selecting pool, randomly assigned to engage with an empirically supported mindfulness intervention (n = 57) or a control intervention (n = 64) for 10 days. The study explored smartphone methodology, the importance of empirically based content for wellbeing enhancement and the extent to which user expe- rience related to wellbeing gains. Results of repeated measures ANOVAs showed statis- tically significant increases in positive affect with a medium effect size and reduced depressive symptoms with a small effect size, although no statistically significant differ- ences in satisfaction with life, flourishing or negative affect were found. No statistically significant gains were observed in the control condition. Ratings of task enjoyment were positively correlated (Pearson’s r) with positive affect increase. Findings support the viability of smartphone-based interventions to significantly enhance elements of wellbeing, underscoring the importance of application content and the role of person-activity fit. This investigation presents implications for happiness seeking strategies in the real world whilst showcasing a dynamic method of intervention delivery that can benefit future research and practice. If the greatest mission of positive psychology is to enhance global flourishing, the potential of smartphone-based interventions may play a vital role.","author":[{"dropping-particle":"","family":"Howells","given":"Annika","non-dropping-particle":"","parse-names":false,"suffix":""},{"dropping-particle":"","family":"Ivtzan","given":"Itai","non-dropping-particle":"","parse-names":false,"suffix":""},{"dropping-particle":"","family":"Eiroa-Orosa","given":"Francisco Jose","non-dropping-particle":"","parse-names":false,"suffix":""}],"container-title":"Journal of Happiness Studies","id":"ITEM-1","issue":"1","issued":{"date-parts":[["2014"]]},"page":"163-185","title":"Putting the 'app' in Happiness: A Randomised Controlled Trial of a Smartphone-Based Mindfulness Intervention to Enhance Wellbeing","type":"article-journal","volume":"17"},"uris":["http://www.mendeley.com/documents/?uuid=ffb8e51b-d98e-40d9-8f97-9c4c5832b929"]}],"mendeley":{"formattedCitation":"(Howells, Ivtzan and Eiroa-Orosa, 2014)","manualFormatting":"Howells, Ivtzan and Eiroa-Orosa (2014","plainTextFormattedCitation":"(Howells, Ivtzan and Eiroa-Orosa, 2014)","previouslyFormattedCitation":"(Howells, Ivtzan and Eiroa-Orosa, 2014)"},"properties":{"noteIndex":0},"schema":"https://github.com/citation-style-language/schema/raw/master/csl-citation.json"}</w:instrText>
            </w:r>
            <w:r w:rsidRPr="00DF37E1">
              <w:fldChar w:fldCharType="separate"/>
            </w:r>
            <w:r w:rsidRPr="00DF37E1">
              <w:rPr>
                <w:noProof/>
              </w:rPr>
              <w:t>Howells, Ivtzan and Eiroa-Orosa (2014</w:t>
            </w:r>
            <w:r w:rsidRPr="00DF37E1">
              <w:fldChar w:fldCharType="end"/>
            </w:r>
            <w:r w:rsidRPr="00DF37E1">
              <w:t>)</w:t>
            </w:r>
          </w:p>
        </w:tc>
        <w:tc>
          <w:tcPr>
            <w:tcW w:w="336" w:type="pct"/>
            <w:tcBorders>
              <w:top w:val="nil"/>
              <w:left w:val="nil"/>
              <w:bottom w:val="nil"/>
              <w:right w:val="nil"/>
            </w:tcBorders>
            <w:vAlign w:val="center"/>
          </w:tcPr>
          <w:p w14:paraId="26CF3A67" w14:textId="77777777" w:rsidR="00F1508E" w:rsidRPr="00DF37E1" w:rsidRDefault="00F1508E" w:rsidP="00D075F6">
            <w:pPr>
              <w:pStyle w:val="NoSpacing"/>
              <w:jc w:val="center"/>
            </w:pPr>
            <w:r w:rsidRPr="00DF37E1">
              <w:rPr>
                <w:noProof/>
                <w:lang w:eastAsia="en-GB"/>
              </w:rPr>
              <w:drawing>
                <wp:inline distT="0" distB="0" distL="0" distR="0" wp14:anchorId="2DA52182" wp14:editId="330331D9">
                  <wp:extent cx="218962" cy="218962"/>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77003916" w14:textId="77777777" w:rsidR="00F1508E" w:rsidRPr="00DF37E1" w:rsidRDefault="00F1508E" w:rsidP="00D075F6">
            <w:pPr>
              <w:pStyle w:val="NoSpacing"/>
              <w:jc w:val="center"/>
            </w:pPr>
            <w:r w:rsidRPr="00DF37E1">
              <w:rPr>
                <w:noProof/>
                <w:lang w:eastAsia="en-GB"/>
              </w:rPr>
              <w:drawing>
                <wp:inline distT="0" distB="0" distL="0" distR="0" wp14:anchorId="1C9C1F76" wp14:editId="2C6FAC3D">
                  <wp:extent cx="218962" cy="218962"/>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5E9AFF9F" w14:textId="77777777" w:rsidR="00F1508E" w:rsidRPr="00DF37E1" w:rsidRDefault="00F1508E" w:rsidP="00D075F6">
            <w:pPr>
              <w:pStyle w:val="NoSpacing"/>
              <w:jc w:val="center"/>
            </w:pPr>
            <w:r w:rsidRPr="00DF37E1">
              <w:rPr>
                <w:noProof/>
                <w:lang w:eastAsia="en-GB"/>
              </w:rPr>
              <w:drawing>
                <wp:inline distT="0" distB="0" distL="0" distR="0" wp14:anchorId="532F66BE" wp14:editId="5C8564E8">
                  <wp:extent cx="218962" cy="218962"/>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tcPr>
          <w:p w14:paraId="7B4D4FB3"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047D08FA" wp14:editId="4BCE197D">
                  <wp:extent cx="218962" cy="218962"/>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5FF7772B" w14:textId="77777777" w:rsidR="00F1508E" w:rsidRPr="00DF37E1" w:rsidRDefault="00F1508E" w:rsidP="00D075F6">
            <w:pPr>
              <w:pStyle w:val="NoSpacing"/>
              <w:jc w:val="center"/>
            </w:pPr>
            <w:r w:rsidRPr="00DF37E1">
              <w:rPr>
                <w:noProof/>
                <w:lang w:eastAsia="en-GB"/>
              </w:rPr>
              <w:drawing>
                <wp:inline distT="0" distB="0" distL="0" distR="0" wp14:anchorId="3CB4B2DE" wp14:editId="7B3EBC0C">
                  <wp:extent cx="218962" cy="218962"/>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33A39140" w14:textId="77777777" w:rsidR="00F1508E" w:rsidRPr="00DF37E1" w:rsidRDefault="00F1508E" w:rsidP="00D075F6">
            <w:pPr>
              <w:pStyle w:val="NoSpacing"/>
              <w:jc w:val="center"/>
            </w:pPr>
            <w:r w:rsidRPr="00DF37E1">
              <w:rPr>
                <w:noProof/>
                <w:lang w:eastAsia="en-GB"/>
              </w:rPr>
              <w:drawing>
                <wp:inline distT="0" distB="0" distL="0" distR="0" wp14:anchorId="30C10A8D" wp14:editId="78BE962A">
                  <wp:extent cx="218962" cy="218962"/>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nil"/>
              <w:left w:val="nil"/>
              <w:bottom w:val="nil"/>
              <w:right w:val="nil"/>
            </w:tcBorders>
            <w:vAlign w:val="center"/>
          </w:tcPr>
          <w:p w14:paraId="25081BEB" w14:textId="77777777" w:rsidR="00F1508E" w:rsidRPr="00DF37E1" w:rsidRDefault="00F1508E" w:rsidP="00D075F6">
            <w:pPr>
              <w:pStyle w:val="NoSpacing"/>
              <w:jc w:val="center"/>
            </w:pPr>
            <w:r w:rsidRPr="00DF37E1">
              <w:rPr>
                <w:noProof/>
                <w:lang w:eastAsia="en-GB"/>
              </w:rPr>
              <w:drawing>
                <wp:inline distT="0" distB="0" distL="0" distR="0" wp14:anchorId="4293CC62" wp14:editId="3B14A0A5">
                  <wp:extent cx="218962" cy="218962"/>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r w:rsidR="00F1508E" w:rsidRPr="00DF37E1" w14:paraId="1F5E6218" w14:textId="77777777" w:rsidTr="00D075F6">
        <w:tc>
          <w:tcPr>
            <w:tcW w:w="2648" w:type="pct"/>
            <w:tcBorders>
              <w:top w:val="nil"/>
              <w:left w:val="nil"/>
              <w:bottom w:val="nil"/>
              <w:right w:val="nil"/>
            </w:tcBorders>
            <w:vAlign w:val="center"/>
          </w:tcPr>
          <w:p w14:paraId="4F9A291A" w14:textId="77777777" w:rsidR="00F1508E" w:rsidRPr="00DF37E1" w:rsidRDefault="00F1508E" w:rsidP="00D075F6">
            <w:pPr>
              <w:pStyle w:val="NoSpacing"/>
            </w:pPr>
            <w:r w:rsidRPr="00DF37E1">
              <w:fldChar w:fldCharType="begin" w:fldLock="1"/>
            </w:r>
            <w:r>
              <w:instrText>ADDIN CSL_CITATION {"citationItems":[{"id":"ITEM-1","itemData":{"DOI":"10.2196/jmir.2714","ISBN":"1438-8871 (Electronic)\\r1438-8871 (Linking)","ISSN":"14388871","PMID":"23916965","abstract":"Background: Most patients with mild to moderate depression receive treatment in primary care, but despite guideline recommendations, structured psychological interventions are infrequently delivered. Research supports the effectiveness of Internet-based treatment for depression; however, few trials have studied the effect of the MoodGYM program plus therapist support. The use of such interventions could improve the delivery of treatment in primary care. Objective: To evaluate the effectiveness and acceptability of a guided Web-based intervention for mild to moderate depression, which could be suitable for implementation in general practice. Methods: Participants (N=106) aged between 18 and 65 years were recruited from primary care and randomly allocated to a treatment condition comprising 6 weeks of therapist-assisted Web-based cognitive behavioral therapy (CBT), or to a 6-week delayed treatment condition. The intervention included the Norwegian version of the MoodGYM program, brief face-to-face support from a psychologist, and reminder emails. The primary outcome measure, depression symptoms, was measured by the Beck Depression Inventory-II (BDI-II). Secondary outcome measures included the Beck Anxiety Inventory (BAI), the Hospital Anxiety and Depression Scale (HADS), the Satisfaction with Life Scale (SWLS), and the EuroQol Group 5-Dimension Self-Report Questionnaire (EQ-5D). All outcomes were based on self-report and were assessed at baseline, postintervention, and at 6-month follow-up. Results: Postintervention measures were completed by 37 (71%) and 47 (87%) of the 52 participants in the intervention and 54 participants in the delayed treatment group, respectively. Linear mixed-models analyses revealed a significant difference in time trends between the groups for the BDI-II, (P=.002), for HADS depression and anxiety subscales (P&lt;.001 and P=.001, respectively), and for the SWLS (P&lt;.001). No differential group effects were found for the BAI and the EQ-5D. In comparison to the control group, significantly more participants in the intervention group experienced recovery from depression as measured by the BDI-II. Of the 52 participants in the treatment program, 31 (60%) adhered to the program, and overall treatment satisfaction was high. The reduction of depression and anxiety symptoms was largely maintained at 6-month follow-up, and positive gains in life satisfaction were partly maintained. Concöusions: The intervention combining MoodGYM and brief the…","author":[{"dropping-particle":"","family":"Høifødt","given":"Ragnhild Sørensen","non-dropping-particle":"","parse-names":false,"suffix":""},{"dropping-particle":"","family":"Lillevoll","given":"Kjersti R.","non-dropping-particle":"","parse-names":false,"suffix":""},{"dropping-particle":"","family":"Griffiths","given":"Kathleen M.","non-dropping-particle":"","parse-names":false,"suffix":""},{"dropping-particle":"","family":"Wilsgaard","given":"Tom","non-dropping-particle":"","parse-names":false,"suffix":""},{"dropping-particle":"","family":"Eisemann","given":"Martin","non-dropping-particle":"","parse-names":false,"suffix":""},{"dropping-particle":"","family":"Waterloo","given":"Knut","non-dropping-particle":"","parse-names":false,"suffix":""},{"dropping-particle":"","family":"Kolstrup","given":"Nils","non-dropping-particle":"","parse-names":false,"suffix":""}],"container-title":"Journal of Medical Internet Research","id":"ITEM-1","issue":"8","issued":{"date-parts":[["2013"]]},"page":"e153","title":"The clinical effectiveness of web-based cognitive behavioral therapy with face-to-face therapist support for depressed primary care patients: Randomized controlled trial","type":"article-journal","volume":"15"},"uris":["http://www.mendeley.com/documents/?uuid=19080642-73bf-4dae-8dea-fad94015cd09"]}],"mendeley":{"formattedCitation":"(Høifødt &lt;i&gt;et al.&lt;/i&gt;, 2013)","manualFormatting":"Høifødt et al. (2013)","plainTextFormattedCitation":"(Høifødt et al., 2013)","previouslyFormattedCitation":"(Høifødt &lt;i&gt;et al.&lt;/i&gt;, 2013)"},"properties":{"noteIndex":0},"schema":"https://github.com/citation-style-language/schema/raw/master/csl-citation.json"}</w:instrText>
            </w:r>
            <w:r w:rsidRPr="00DF37E1">
              <w:fldChar w:fldCharType="separate"/>
            </w:r>
            <w:r w:rsidRPr="00DF37E1">
              <w:rPr>
                <w:noProof/>
              </w:rPr>
              <w:t>Høifødt et al. (2013)</w:t>
            </w:r>
            <w:r w:rsidRPr="00DF37E1">
              <w:fldChar w:fldCharType="end"/>
            </w:r>
          </w:p>
        </w:tc>
        <w:tc>
          <w:tcPr>
            <w:tcW w:w="336" w:type="pct"/>
            <w:tcBorders>
              <w:top w:val="nil"/>
              <w:left w:val="nil"/>
              <w:bottom w:val="nil"/>
              <w:right w:val="nil"/>
            </w:tcBorders>
            <w:vAlign w:val="center"/>
          </w:tcPr>
          <w:p w14:paraId="6827B42B" w14:textId="77777777" w:rsidR="00F1508E" w:rsidRPr="00DF37E1" w:rsidRDefault="00F1508E" w:rsidP="00D075F6">
            <w:pPr>
              <w:pStyle w:val="NoSpacing"/>
              <w:jc w:val="center"/>
            </w:pPr>
            <w:r w:rsidRPr="00DF37E1">
              <w:rPr>
                <w:noProof/>
                <w:lang w:eastAsia="en-GB"/>
              </w:rPr>
              <w:drawing>
                <wp:inline distT="0" distB="0" distL="0" distR="0" wp14:anchorId="2163BA00" wp14:editId="09E36699">
                  <wp:extent cx="218962" cy="21896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5637BAC6" w14:textId="77777777" w:rsidR="00F1508E" w:rsidRPr="00DF37E1" w:rsidRDefault="00F1508E" w:rsidP="00D075F6">
            <w:pPr>
              <w:pStyle w:val="NoSpacing"/>
              <w:jc w:val="center"/>
            </w:pPr>
            <w:r w:rsidRPr="00DF37E1">
              <w:rPr>
                <w:noProof/>
                <w:lang w:eastAsia="en-GB"/>
              </w:rPr>
              <w:drawing>
                <wp:inline distT="0" distB="0" distL="0" distR="0" wp14:anchorId="73E3B1D4" wp14:editId="0129FF57">
                  <wp:extent cx="218962" cy="218962"/>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33052003" w14:textId="77777777" w:rsidR="00F1508E" w:rsidRPr="00DF37E1" w:rsidRDefault="00F1508E" w:rsidP="00D075F6">
            <w:pPr>
              <w:pStyle w:val="NoSpacing"/>
              <w:jc w:val="center"/>
            </w:pPr>
            <w:r w:rsidRPr="00DF37E1">
              <w:rPr>
                <w:noProof/>
                <w:lang w:eastAsia="en-GB"/>
              </w:rPr>
              <w:drawing>
                <wp:inline distT="0" distB="0" distL="0" distR="0" wp14:anchorId="433560AE" wp14:editId="71CAD644">
                  <wp:extent cx="218962" cy="218962"/>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tcPr>
          <w:p w14:paraId="66A9E403"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0D8AD8F4" wp14:editId="22B1D1FF">
                  <wp:extent cx="218962" cy="218962"/>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1E9D2786" w14:textId="77777777" w:rsidR="00F1508E" w:rsidRPr="00DF37E1" w:rsidRDefault="00F1508E" w:rsidP="00D075F6">
            <w:pPr>
              <w:pStyle w:val="NoSpacing"/>
              <w:jc w:val="center"/>
            </w:pPr>
            <w:r w:rsidRPr="00DF37E1">
              <w:rPr>
                <w:noProof/>
                <w:lang w:eastAsia="en-GB"/>
              </w:rPr>
              <w:drawing>
                <wp:inline distT="0" distB="0" distL="0" distR="0" wp14:anchorId="1AD1F6CF" wp14:editId="03F62E82">
                  <wp:extent cx="218962" cy="218962"/>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0E0210C1" w14:textId="77777777" w:rsidR="00F1508E" w:rsidRPr="00DF37E1" w:rsidRDefault="00F1508E" w:rsidP="00D075F6">
            <w:pPr>
              <w:pStyle w:val="NoSpacing"/>
              <w:jc w:val="center"/>
            </w:pPr>
            <w:r w:rsidRPr="00DF37E1">
              <w:rPr>
                <w:noProof/>
                <w:lang w:eastAsia="en-GB"/>
              </w:rPr>
              <w:drawing>
                <wp:inline distT="0" distB="0" distL="0" distR="0" wp14:anchorId="1662D366" wp14:editId="68549CEF">
                  <wp:extent cx="218962" cy="218962"/>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nil"/>
              <w:left w:val="nil"/>
              <w:bottom w:val="nil"/>
              <w:right w:val="nil"/>
            </w:tcBorders>
            <w:vAlign w:val="center"/>
          </w:tcPr>
          <w:p w14:paraId="00498420" w14:textId="77777777" w:rsidR="00F1508E" w:rsidRPr="00DF37E1" w:rsidRDefault="00F1508E" w:rsidP="00D075F6">
            <w:pPr>
              <w:pStyle w:val="NoSpacing"/>
              <w:jc w:val="center"/>
            </w:pPr>
            <w:r w:rsidRPr="00DF37E1">
              <w:rPr>
                <w:noProof/>
                <w:lang w:eastAsia="en-GB"/>
              </w:rPr>
              <w:drawing>
                <wp:inline distT="0" distB="0" distL="0" distR="0" wp14:anchorId="11157576" wp14:editId="7F47F446">
                  <wp:extent cx="218962" cy="218962"/>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r w:rsidR="00F1508E" w:rsidRPr="00DF37E1" w14:paraId="7C483671" w14:textId="77777777" w:rsidTr="00D075F6">
        <w:tc>
          <w:tcPr>
            <w:tcW w:w="2648" w:type="pct"/>
            <w:tcBorders>
              <w:top w:val="nil"/>
              <w:left w:val="nil"/>
              <w:bottom w:val="nil"/>
              <w:right w:val="nil"/>
            </w:tcBorders>
            <w:vAlign w:val="center"/>
          </w:tcPr>
          <w:p w14:paraId="02E5FB7B" w14:textId="77777777" w:rsidR="00F1508E" w:rsidRPr="00DF37E1" w:rsidRDefault="00F1508E" w:rsidP="00D075F6">
            <w:pPr>
              <w:pStyle w:val="NoSpacing"/>
            </w:pPr>
            <w:r w:rsidRPr="00DF37E1">
              <w:fldChar w:fldCharType="begin" w:fldLock="1"/>
            </w:r>
            <w:r>
              <w:instrText>ADDIN CSL_CITATION {"citationItems":[{"id":"ITEM-1","itemData":{"DOI":"10.1016/S0140-6736(09)61257-5","ISSN":"1474-547X","PMID":"19700005","abstract":"BACKGROUND: Despite strong evidence for its effectiveness, cognitive-behavioural therapy (CBT) remains difficult to access. Computerised programs have been developed to improve accessibility, but whether these interventions are responsive to individual needs is unknown. We investigated the effectiveness of CBT delivered online in real time by a therapist for patients with depression in primary care. METHODS: In this multicentre, randomised controlled trial, 297 individuals with a score of 14 or more on the Beck depression inventory (BDI) and a confirmed diagnosis of depression were recruited from 55 general practices in Bristol, London, and Warwickshire, UK. Participants were randomly assigned, by a computer-generated code, to online CBT in addition to usual care (intervention; n=149) or to usual care from their general practitioner while on an 8-month waiting list for online CBT (control; n=148). Participants, researchers involved in recruitment, and therapists were masked in advance to allocation. The primary outcome was recovery from depression (BDI score &lt;10) at 4 months. Analysis was by intention to treat. This trial is registered, number ISRCTN 45444578. FINDINGS: 113 participants in the intervention group and 97 in the control group completed 4-month follow-up. 43 (38%) patients recovered from depression (BDI score &lt;10) in the intervention group versus 23 (24%) in the control group at 4 months (odds ratio 2.39, 95% CI 1.23-4.67; p=0.011), and 46 (42%) versus 26 (26%) at 8 months (2.07, 1.11-3.87; p=0.023). INTERPRETATION: CBT seems to be effective when delivered online in real time by a therapist, with benefits maintained over 8 months. This method of delivery could broaden access to CBT. FUNDING: BUPA Foundation.","author":[{"dropping-particle":"","family":"Kessler","given":"David","non-dropping-particle":"","parse-names":false,"suffix":""},{"dropping-particle":"","family":"Lewis","given":"Glyn","non-dropping-particle":"","parse-names":false,"suffix":""},{"dropping-particle":"","family":"Kaur","given":"Surinder","non-dropping-particle":"","parse-names":false,"suffix":""},{"dropping-particle":"","family":"Wiles","given":"Nicola","non-dropping-particle":"","parse-names":false,"suffix":""},{"dropping-particle":"","family":"King","given":"Michael","non-dropping-particle":"","parse-names":false,"suffix":""},{"dropping-particle":"","family":"Weich","given":"Scott","non-dropping-particle":"","parse-names":false,"suffix":""},{"dropping-particle":"","family":"Sharp","given":"Debbie J","non-dropping-particle":"","parse-names":false,"suffix":""},{"dropping-particle":"","family":"Araya","given":"Ricardo","non-dropping-particle":"","parse-names":false,"suffix":""},{"dropping-particle":"","family":"Hollinghurst","given":"Sandra","non-dropping-particle":"","parse-names":false,"suffix":""},{"dropping-particle":"","family":"Peters","given":"Tim J","non-dropping-particle":"","parse-names":false,"suffix":""}],"container-title":"Lancet","id":"ITEM-1","issue":"9690","issued":{"date-parts":[["2009","8","22"]]},"page":"628-34","publisher":"Elsevier Ltd","title":"Therapist-delivered Internet psychotherapy for depression in primary care: a randomised controlled trial.","type":"article-journal","volume":"374"},"uris":["http://www.mendeley.com/documents/?uuid=f23b1723-1727-4adc-bf14-d834ab05b76b"]}],"mendeley":{"formattedCitation":"(Kessler &lt;i&gt;et al.&lt;/i&gt;, 2009)","manualFormatting":"Kessler et al. (2009)","plainTextFormattedCitation":"(Kessler et al., 2009)","previouslyFormattedCitation":"(Kessler &lt;i&gt;et al.&lt;/i&gt;, 2009)"},"properties":{"noteIndex":0},"schema":"https://github.com/citation-style-language/schema/raw/master/csl-citation.json"}</w:instrText>
            </w:r>
            <w:r w:rsidRPr="00DF37E1">
              <w:fldChar w:fldCharType="separate"/>
            </w:r>
            <w:r w:rsidRPr="00DF37E1">
              <w:rPr>
                <w:noProof/>
              </w:rPr>
              <w:t>Kessler et al. (2009)</w:t>
            </w:r>
            <w:r w:rsidRPr="00DF37E1">
              <w:fldChar w:fldCharType="end"/>
            </w:r>
          </w:p>
        </w:tc>
        <w:tc>
          <w:tcPr>
            <w:tcW w:w="336" w:type="pct"/>
            <w:tcBorders>
              <w:top w:val="nil"/>
              <w:left w:val="nil"/>
              <w:bottom w:val="nil"/>
              <w:right w:val="nil"/>
            </w:tcBorders>
            <w:vAlign w:val="center"/>
          </w:tcPr>
          <w:p w14:paraId="4BED477E" w14:textId="77777777" w:rsidR="00F1508E" w:rsidRPr="00DF37E1" w:rsidRDefault="00F1508E" w:rsidP="00D075F6">
            <w:pPr>
              <w:pStyle w:val="NoSpacing"/>
              <w:jc w:val="center"/>
            </w:pPr>
            <w:r w:rsidRPr="00DF37E1">
              <w:rPr>
                <w:noProof/>
                <w:lang w:eastAsia="en-GB"/>
              </w:rPr>
              <w:drawing>
                <wp:inline distT="0" distB="0" distL="0" distR="0" wp14:anchorId="06731B6B" wp14:editId="08EF8043">
                  <wp:extent cx="218962" cy="21896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68DC9440" w14:textId="77777777" w:rsidR="00F1508E" w:rsidRPr="00DF37E1" w:rsidRDefault="00F1508E" w:rsidP="00D075F6">
            <w:pPr>
              <w:pStyle w:val="NoSpacing"/>
              <w:jc w:val="center"/>
            </w:pPr>
            <w:r w:rsidRPr="00DF37E1">
              <w:rPr>
                <w:noProof/>
                <w:lang w:eastAsia="en-GB"/>
              </w:rPr>
              <w:drawing>
                <wp:inline distT="0" distB="0" distL="0" distR="0" wp14:anchorId="67183A24" wp14:editId="277B72F0">
                  <wp:extent cx="218962" cy="218962"/>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7130462C" w14:textId="77777777" w:rsidR="00F1508E" w:rsidRPr="00DF37E1" w:rsidRDefault="00F1508E" w:rsidP="00D075F6">
            <w:pPr>
              <w:pStyle w:val="NoSpacing"/>
              <w:jc w:val="center"/>
            </w:pPr>
            <w:r w:rsidRPr="00DF37E1">
              <w:rPr>
                <w:noProof/>
                <w:lang w:eastAsia="en-GB"/>
              </w:rPr>
              <w:drawing>
                <wp:inline distT="0" distB="0" distL="0" distR="0" wp14:anchorId="45F51E54" wp14:editId="67995EBF">
                  <wp:extent cx="218962" cy="218962"/>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tcPr>
          <w:p w14:paraId="6400E78A"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01D4A440" wp14:editId="55ADDD14">
                  <wp:extent cx="218962" cy="218962"/>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11BF8628" w14:textId="77777777" w:rsidR="00F1508E" w:rsidRPr="00DF37E1" w:rsidRDefault="00F1508E" w:rsidP="00D075F6">
            <w:pPr>
              <w:pStyle w:val="NoSpacing"/>
              <w:jc w:val="center"/>
            </w:pPr>
            <w:r w:rsidRPr="00DF37E1">
              <w:rPr>
                <w:noProof/>
                <w:lang w:eastAsia="en-GB"/>
              </w:rPr>
              <w:drawing>
                <wp:inline distT="0" distB="0" distL="0" distR="0" wp14:anchorId="0A071A18" wp14:editId="4D80BC52">
                  <wp:extent cx="218962" cy="218962"/>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7B8A6B05" w14:textId="77777777" w:rsidR="00F1508E" w:rsidRPr="00DF37E1" w:rsidRDefault="00F1508E" w:rsidP="00D075F6">
            <w:pPr>
              <w:pStyle w:val="NoSpacing"/>
              <w:jc w:val="center"/>
            </w:pPr>
            <w:r w:rsidRPr="00DF37E1">
              <w:rPr>
                <w:noProof/>
                <w:lang w:eastAsia="en-GB"/>
              </w:rPr>
              <w:drawing>
                <wp:inline distT="0" distB="0" distL="0" distR="0" wp14:anchorId="5EC57911" wp14:editId="58C274DD">
                  <wp:extent cx="218962" cy="218962"/>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nil"/>
              <w:left w:val="nil"/>
              <w:bottom w:val="nil"/>
              <w:right w:val="nil"/>
            </w:tcBorders>
            <w:vAlign w:val="center"/>
          </w:tcPr>
          <w:p w14:paraId="08388B64" w14:textId="77777777" w:rsidR="00F1508E" w:rsidRPr="00DF37E1" w:rsidRDefault="00F1508E" w:rsidP="00D075F6">
            <w:pPr>
              <w:pStyle w:val="NoSpacing"/>
              <w:jc w:val="center"/>
            </w:pPr>
            <w:r w:rsidRPr="00DF37E1">
              <w:rPr>
                <w:noProof/>
                <w:lang w:eastAsia="en-GB"/>
              </w:rPr>
              <w:drawing>
                <wp:inline distT="0" distB="0" distL="0" distR="0" wp14:anchorId="370A2D82" wp14:editId="1C80AB4C">
                  <wp:extent cx="218962" cy="218962"/>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r w:rsidR="00F1508E" w:rsidRPr="00DF37E1" w14:paraId="792C97C7" w14:textId="77777777" w:rsidTr="00D075F6">
        <w:tc>
          <w:tcPr>
            <w:tcW w:w="2648" w:type="pct"/>
            <w:tcBorders>
              <w:top w:val="nil"/>
              <w:left w:val="nil"/>
              <w:bottom w:val="nil"/>
              <w:right w:val="nil"/>
            </w:tcBorders>
            <w:vAlign w:val="center"/>
          </w:tcPr>
          <w:p w14:paraId="795D9950" w14:textId="77777777" w:rsidR="00F1508E" w:rsidRPr="00DF37E1" w:rsidRDefault="00F1508E" w:rsidP="00D075F6">
            <w:pPr>
              <w:pStyle w:val="NoSpacing"/>
            </w:pPr>
            <w:r w:rsidRPr="00DF37E1">
              <w:fldChar w:fldCharType="begin" w:fldLock="1"/>
            </w:r>
            <w:r>
              <w:instrText>ADDIN CSL_CITATION {"citationItems":[{"id":"ITEM-1","itemData":{"DOI":"10.1002/cpp.770","ISBN":"1099-0879","ISSN":"10633995","PMID":"21887811","abstract":"The Internet has the potential to increase the capacity and accessibility of mental health services. This study aimed to investigate whether an unguided Internet-based self-help intervention delivered without human support or guidance can reduce symptoms of depression in young people at risk of depression. The study also aimed to explore the usage of such sites in a real-life setting, to estimate the effects of the intervention for those who received a meaningful intervention dose and to evaluate user satisfaction. Young adults were recruited by means of a screening survey sent to all students at the University of Tromsø. Of those responding to the survey, 163 students (mean age 28.2 years) with elevated psychological distress were recruited to the trial and randomized to an Internet intervention condition or the waiting list control group. The Internet condition comprised a depression information website and a self-help Web application delivering automated cognitive behavioural therapy. The participants in the waiting list condition were free to access formal or informal help as usual. Two-thirds of the users who completed the trial initially reported an unmet need for help. The findings demonstrated that an unguided intervention was effective in reducing symptoms of depression and negative thoughts and in increasing depression literacy in young adults. Significant improvements were found at 2-month follow up. Internet-based interventions can be effective without tracking and thus constitute a minimal cost intervention for reaching a large number of people. User satisfaction among participants was high.","author":[{"dropping-particle":"","family":"Lintvedt","given":"Ove K.","non-dropping-particle":"","parse-names":false,"suffix":""},{"dropping-particle":"","family":"Griffiths","given":"Kathleen M.","non-dropping-particle":"","parse-names":false,"suffix":""},{"dropping-particle":"","family":"Sørensen","given":"Kristian","non-dropping-particle":"","parse-names":false,"suffix":""},{"dropping-particle":"","family":"Østvik","given":"Andreas R.","non-dropping-particle":"","parse-names":false,"suffix":""},{"dropping-particle":"","family":"Wang","given":"Catharina E.A.","non-dropping-particle":"","parse-names":false,"suffix":""},{"dropping-particle":"","family":"Eisemann","given":"Martin","non-dropping-particle":"","parse-names":false,"suffix":""},{"dropping-particle":"","family":"Waterloo","given":"Knut","non-dropping-particle":"","parse-names":false,"suffix":""}],"container-title":"Clinical Psychology and Psychotherapy","id":"ITEM-1","issue":"1","issued":{"date-parts":[["2013"]]},"page":"10-27","title":"Evaluating the effectiveness and efficacy of unguided internet-based self-help intervention for the prevention of depression: A randomized controlled trial","type":"article-journal","volume":"20"},"uris":["http://www.mendeley.com/documents/?uuid=2c501a11-faaf-4079-8fe4-f1482d4ff7d8"]}],"mendeley":{"formattedCitation":"(Lintvedt &lt;i&gt;et al.&lt;/i&gt;, 2013)","manualFormatting":"Lintvedt et al. (2013)","plainTextFormattedCitation":"(Lintvedt et al., 2013)","previouslyFormattedCitation":"(Lintvedt &lt;i&gt;et al.&lt;/i&gt;, 2013)"},"properties":{"noteIndex":0},"schema":"https://github.com/citation-style-language/schema/raw/master/csl-citation.json"}</w:instrText>
            </w:r>
            <w:r w:rsidRPr="00DF37E1">
              <w:fldChar w:fldCharType="separate"/>
            </w:r>
            <w:r w:rsidRPr="00DF37E1">
              <w:rPr>
                <w:noProof/>
              </w:rPr>
              <w:t>Lintvedt et al. (2013)</w:t>
            </w:r>
            <w:r w:rsidRPr="00DF37E1">
              <w:fldChar w:fldCharType="end"/>
            </w:r>
          </w:p>
        </w:tc>
        <w:tc>
          <w:tcPr>
            <w:tcW w:w="336" w:type="pct"/>
            <w:tcBorders>
              <w:top w:val="nil"/>
              <w:left w:val="nil"/>
              <w:bottom w:val="nil"/>
              <w:right w:val="nil"/>
            </w:tcBorders>
            <w:vAlign w:val="center"/>
          </w:tcPr>
          <w:p w14:paraId="16CF9377" w14:textId="77777777" w:rsidR="00F1508E" w:rsidRPr="00DF37E1" w:rsidRDefault="00F1508E" w:rsidP="00D075F6">
            <w:pPr>
              <w:pStyle w:val="NoSpacing"/>
              <w:jc w:val="center"/>
            </w:pPr>
            <w:r w:rsidRPr="00DF37E1">
              <w:rPr>
                <w:noProof/>
                <w:lang w:eastAsia="en-GB"/>
              </w:rPr>
              <w:drawing>
                <wp:inline distT="0" distB="0" distL="0" distR="0" wp14:anchorId="0F3838A3" wp14:editId="7AE17744">
                  <wp:extent cx="218962" cy="218962"/>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34590A62" w14:textId="77777777" w:rsidR="00F1508E" w:rsidRPr="00DF37E1" w:rsidRDefault="00F1508E" w:rsidP="00D075F6">
            <w:pPr>
              <w:pStyle w:val="NoSpacing"/>
              <w:jc w:val="center"/>
            </w:pPr>
            <w:r w:rsidRPr="00DF37E1">
              <w:rPr>
                <w:noProof/>
                <w:lang w:eastAsia="en-GB"/>
              </w:rPr>
              <w:drawing>
                <wp:inline distT="0" distB="0" distL="0" distR="0" wp14:anchorId="36A9526E" wp14:editId="18CC2100">
                  <wp:extent cx="218962" cy="21896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56F01662" w14:textId="77777777" w:rsidR="00F1508E" w:rsidRPr="00DF37E1" w:rsidRDefault="00F1508E" w:rsidP="00D075F6">
            <w:pPr>
              <w:pStyle w:val="NoSpacing"/>
              <w:jc w:val="center"/>
            </w:pPr>
            <w:r w:rsidRPr="00DF37E1">
              <w:rPr>
                <w:noProof/>
                <w:lang w:eastAsia="en-GB"/>
              </w:rPr>
              <w:drawing>
                <wp:inline distT="0" distB="0" distL="0" distR="0" wp14:anchorId="6A1ACB13" wp14:editId="20ED7C15">
                  <wp:extent cx="218962" cy="218962"/>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tcPr>
          <w:p w14:paraId="5397A410"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51BE05D9" wp14:editId="01F335F8">
                  <wp:extent cx="218962" cy="218962"/>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7B7DDA51" w14:textId="77777777" w:rsidR="00F1508E" w:rsidRPr="00DF37E1" w:rsidRDefault="00F1508E" w:rsidP="00D075F6">
            <w:pPr>
              <w:pStyle w:val="NoSpacing"/>
              <w:jc w:val="center"/>
            </w:pPr>
            <w:r w:rsidRPr="00DF37E1">
              <w:rPr>
                <w:noProof/>
                <w:lang w:eastAsia="en-GB"/>
              </w:rPr>
              <w:drawing>
                <wp:inline distT="0" distB="0" distL="0" distR="0" wp14:anchorId="6A6A204A" wp14:editId="0465B5BE">
                  <wp:extent cx="218962" cy="218962"/>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262D53D5" w14:textId="77777777" w:rsidR="00F1508E" w:rsidRPr="00DF37E1" w:rsidRDefault="00F1508E" w:rsidP="00D075F6">
            <w:pPr>
              <w:pStyle w:val="NoSpacing"/>
              <w:jc w:val="center"/>
            </w:pPr>
            <w:r w:rsidRPr="00DF37E1">
              <w:rPr>
                <w:noProof/>
                <w:lang w:eastAsia="en-GB"/>
              </w:rPr>
              <w:drawing>
                <wp:inline distT="0" distB="0" distL="0" distR="0" wp14:anchorId="4CF9F1FF" wp14:editId="2BC5916A">
                  <wp:extent cx="218962" cy="218962"/>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nil"/>
              <w:left w:val="nil"/>
              <w:bottom w:val="nil"/>
              <w:right w:val="nil"/>
            </w:tcBorders>
            <w:vAlign w:val="center"/>
          </w:tcPr>
          <w:p w14:paraId="33F5D657" w14:textId="77777777" w:rsidR="00F1508E" w:rsidRPr="00DF37E1" w:rsidRDefault="00F1508E" w:rsidP="00D075F6">
            <w:pPr>
              <w:pStyle w:val="NoSpacing"/>
              <w:jc w:val="center"/>
            </w:pPr>
            <w:r w:rsidRPr="00DF37E1">
              <w:rPr>
                <w:noProof/>
                <w:lang w:eastAsia="en-GB"/>
              </w:rPr>
              <w:drawing>
                <wp:inline distT="0" distB="0" distL="0" distR="0" wp14:anchorId="556857D0" wp14:editId="1EFDAB45">
                  <wp:extent cx="218962" cy="218962"/>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r w:rsidR="00F1508E" w:rsidRPr="00DF37E1" w14:paraId="79787CEF" w14:textId="77777777" w:rsidTr="00D075F6">
        <w:tc>
          <w:tcPr>
            <w:tcW w:w="2648" w:type="pct"/>
            <w:tcBorders>
              <w:top w:val="nil"/>
              <w:left w:val="nil"/>
              <w:bottom w:val="nil"/>
              <w:right w:val="nil"/>
            </w:tcBorders>
            <w:vAlign w:val="center"/>
          </w:tcPr>
          <w:p w14:paraId="3EC794C5" w14:textId="77777777" w:rsidR="00F1508E" w:rsidRPr="00DF37E1" w:rsidRDefault="00F1508E" w:rsidP="00D075F6">
            <w:pPr>
              <w:pStyle w:val="NoSpacing"/>
            </w:pPr>
            <w:r w:rsidRPr="00DF37E1">
              <w:fldChar w:fldCharType="begin" w:fldLock="1"/>
            </w:r>
            <w:r>
              <w:instrText>ADDIN CSL_CITATION {"citationItems":[{"id":"ITEM-1","itemData":{"DOI":"10.1192/bjp.bp.106.032078","ISBN":"0007-1250","ISSN":"00071250","PMID":"18245031","abstract":"BACKGROUND: An earlier paper reported positive outcomes immediately following access to a cognitive-behavioural therapy (CBT) internet intervention and a depression information website. AIMS: To determine 6-month and 12-month outcomes of the interventions relative to a placebo control condition. METHOD: Participants allocated to the depression information website condition, the CBT internet intervention and the placebo control condition were followed up at 6 and 12 months by survey. The primary outcome measure was the Center for Epidemiologic Studies-Depression (CES-D) scale. Of 525 participants recruited, 79% completed their assigned intervention and 60% were retained at 12-month follow-up. Attrition was handled using mixed-model repeated-measures ANOVA. RESULTS: Both the CBT site and depression information sites were associated with statistically significant benefits in CES-D score reduction compared with controls at post-test. At 6-months follow-up, the reduction seen for the people allocated to the CBT arm remained significant, whereas that for the depression information website arm was not. At 12 months, both active interventions were statistically significantly superior to the control condition. CONCLUSIONS: There is some evidence that benefits of these brief internet interventions are retained beyond their endpoint. The impact of human support provided by interviewers in the trial must be considered when comparing these outcomes to routine use of both internet interventions.","author":[{"dropping-particle":"","family":"Mackinnon","given":"Andrew","non-dropping-particle":"","parse-names":false,"suffix":""},{"dropping-particle":"","family":"Griffiths","given":"Kathleen M.","non-dropping-particle":"","parse-names":false,"suffix":""},{"dropping-particle":"","family":"Christensen","given":"Helen","non-dropping-particle":"","parse-names":false,"suffix":""}],"container-title":"British Journal of Psychiatry","id":"ITEM-1","issue":"2","issued":{"date-parts":[["2008"]]},"page":"130-134","title":"Comparative randomised trial of online cognitive-behavioural therapy and an information website for depression: 12-Month outcomes","type":"article-journal","volume":"192"},"uris":["http://www.mendeley.com/documents/?uuid=edf59ded-8d48-47e2-9627-f23ce8bf40d0"]}],"mendeley":{"formattedCitation":"(Mackinnon, Griffiths and Christensen, 2008)","manualFormatting":"Mackinnon, Griffiths, &amp; Christensen (2008)","plainTextFormattedCitation":"(Mackinnon, Griffiths and Christensen, 2008)","previouslyFormattedCitation":"(Mackinnon, Griffiths and Christensen, 2008)"},"properties":{"noteIndex":0},"schema":"https://github.com/citation-style-language/schema/raw/master/csl-citation.json"}</w:instrText>
            </w:r>
            <w:r w:rsidRPr="00DF37E1">
              <w:fldChar w:fldCharType="separate"/>
            </w:r>
            <w:r w:rsidRPr="00DF37E1">
              <w:rPr>
                <w:noProof/>
              </w:rPr>
              <w:t>Mackinnon, Griffiths, &amp; Christensen (2008)</w:t>
            </w:r>
            <w:r w:rsidRPr="00DF37E1">
              <w:fldChar w:fldCharType="end"/>
            </w:r>
          </w:p>
        </w:tc>
        <w:tc>
          <w:tcPr>
            <w:tcW w:w="336" w:type="pct"/>
            <w:tcBorders>
              <w:top w:val="nil"/>
              <w:left w:val="nil"/>
              <w:bottom w:val="nil"/>
              <w:right w:val="nil"/>
            </w:tcBorders>
            <w:vAlign w:val="center"/>
          </w:tcPr>
          <w:p w14:paraId="09A31D91" w14:textId="77777777" w:rsidR="00F1508E" w:rsidRPr="00DF37E1" w:rsidRDefault="00F1508E" w:rsidP="00D075F6">
            <w:pPr>
              <w:pStyle w:val="NoSpacing"/>
              <w:jc w:val="center"/>
            </w:pPr>
            <w:r w:rsidRPr="00DF37E1">
              <w:rPr>
                <w:noProof/>
                <w:lang w:eastAsia="en-GB"/>
              </w:rPr>
              <w:drawing>
                <wp:inline distT="0" distB="0" distL="0" distR="0" wp14:anchorId="04A02E57" wp14:editId="101E82E5">
                  <wp:extent cx="218962" cy="218962"/>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51B1E88A" w14:textId="77777777" w:rsidR="00F1508E" w:rsidRPr="00DF37E1" w:rsidRDefault="00F1508E" w:rsidP="00D075F6">
            <w:pPr>
              <w:pStyle w:val="NoSpacing"/>
              <w:jc w:val="center"/>
            </w:pPr>
            <w:r w:rsidRPr="00DF37E1">
              <w:rPr>
                <w:noProof/>
                <w:lang w:eastAsia="en-GB"/>
              </w:rPr>
              <w:drawing>
                <wp:inline distT="0" distB="0" distL="0" distR="0" wp14:anchorId="7D904302" wp14:editId="2267B04B">
                  <wp:extent cx="218962" cy="218962"/>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3132DE0F" w14:textId="77777777" w:rsidR="00F1508E" w:rsidRPr="00DF37E1" w:rsidRDefault="00F1508E" w:rsidP="00D075F6">
            <w:pPr>
              <w:pStyle w:val="NoSpacing"/>
              <w:jc w:val="center"/>
            </w:pPr>
            <w:r w:rsidRPr="00DF37E1">
              <w:rPr>
                <w:noProof/>
                <w:lang w:eastAsia="en-GB"/>
              </w:rPr>
              <w:drawing>
                <wp:inline distT="0" distB="0" distL="0" distR="0" wp14:anchorId="7EE2FDCA" wp14:editId="652F38B3">
                  <wp:extent cx="218962" cy="218962"/>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tcPr>
          <w:p w14:paraId="077DBCD2"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5F9F10DA" wp14:editId="745675A0">
                  <wp:extent cx="218962" cy="218962"/>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7DC16FD2" w14:textId="77777777" w:rsidR="00F1508E" w:rsidRPr="00DF37E1" w:rsidRDefault="00F1508E" w:rsidP="00D075F6">
            <w:pPr>
              <w:pStyle w:val="NoSpacing"/>
              <w:jc w:val="center"/>
            </w:pPr>
            <w:r w:rsidRPr="00DF37E1">
              <w:rPr>
                <w:noProof/>
                <w:lang w:eastAsia="en-GB"/>
              </w:rPr>
              <w:drawing>
                <wp:inline distT="0" distB="0" distL="0" distR="0" wp14:anchorId="33EB73B0" wp14:editId="6AC1E474">
                  <wp:extent cx="218962" cy="21896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00EBB996" w14:textId="77777777" w:rsidR="00F1508E" w:rsidRPr="00DF37E1" w:rsidRDefault="00F1508E" w:rsidP="00D075F6">
            <w:pPr>
              <w:pStyle w:val="NoSpacing"/>
              <w:jc w:val="center"/>
            </w:pPr>
            <w:r w:rsidRPr="00DF37E1">
              <w:rPr>
                <w:noProof/>
                <w:lang w:eastAsia="en-GB"/>
              </w:rPr>
              <w:drawing>
                <wp:inline distT="0" distB="0" distL="0" distR="0" wp14:anchorId="2B6614DA" wp14:editId="063AB974">
                  <wp:extent cx="218962" cy="218962"/>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nil"/>
              <w:left w:val="nil"/>
              <w:bottom w:val="nil"/>
              <w:right w:val="nil"/>
            </w:tcBorders>
            <w:vAlign w:val="center"/>
          </w:tcPr>
          <w:p w14:paraId="6E3B715A" w14:textId="77777777" w:rsidR="00F1508E" w:rsidRPr="00DF37E1" w:rsidRDefault="00F1508E" w:rsidP="00D075F6">
            <w:pPr>
              <w:pStyle w:val="NoSpacing"/>
              <w:jc w:val="center"/>
            </w:pPr>
            <w:r w:rsidRPr="00DF37E1">
              <w:rPr>
                <w:noProof/>
                <w:lang w:eastAsia="en-GB"/>
              </w:rPr>
              <w:drawing>
                <wp:inline distT="0" distB="0" distL="0" distR="0" wp14:anchorId="15E94AD8" wp14:editId="31E900AF">
                  <wp:extent cx="218962" cy="218962"/>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r w:rsidR="00F1508E" w:rsidRPr="00DF37E1" w14:paraId="60921D18" w14:textId="77777777" w:rsidTr="00D075F6">
        <w:tc>
          <w:tcPr>
            <w:tcW w:w="2648" w:type="pct"/>
            <w:tcBorders>
              <w:top w:val="nil"/>
              <w:left w:val="nil"/>
              <w:bottom w:val="nil"/>
              <w:right w:val="nil"/>
            </w:tcBorders>
            <w:vAlign w:val="center"/>
          </w:tcPr>
          <w:p w14:paraId="1E5DD024" w14:textId="77777777" w:rsidR="00F1508E" w:rsidRPr="00DF37E1" w:rsidRDefault="00F1508E" w:rsidP="00D075F6">
            <w:pPr>
              <w:pStyle w:val="NoSpacing"/>
            </w:pPr>
            <w:r w:rsidRPr="00DF37E1">
              <w:fldChar w:fldCharType="begin" w:fldLock="1"/>
            </w:r>
            <w:r>
              <w:instrText>ADDIN CSL_CITATION {"citationItems":[{"id":"ITEM-1","itemData":{"DOI":"10.1017/S003329170300878X","ISBN":"0033291703008","ISSN":"00332917","PMID":"14971623","abstract":"Background. The demand for time-consuming psychotherapy of phobia/panic exceeds the supply of trained therapists. Delegating routine therapy aspects to a computer might ease this problem. Method. Ninety-three out-patients with phobia or panic disorder were randomized in a 2:2:1 ratio to have self-exposure therapy guided either mainly by a stand-alone computer system (FearFighter) or entirely face-to-face by a clinician, or to have mainly computer-guided self-relaxation as a placebo. Both computer groups (FeurFighter and relaxation) had brief back-up advice from a clinician. Primary outcome measures were self- and blind-assessor ratings of Main Problem and Goals, and Global Phobia. Results. Drop-outs occurred significantly more often in the two self-exposure groups (43% if mainly computer-guided, 24% if entirely clinician-guided) than with self-relaxation (6%); the difference between the two self-exposure groups was not significant. Even with all drop-outs included, the mainly computer-guided exposure group and the relaxation group had 73 % less clinician time per patient than did the entirely clinician-guided exposure group. The two self-exposure groups had comparable improvement and satisfaction at post-treatment and at 1-month follow-up, while relaxation was ineffective. Mean improvement on the primary outcome measures (self- and assessor-rated) was 46% computer, 49% clinician, 9% relaxation at post-treatment (week 10) and 58% computer, 53% clinician and -4% relaxation at 1-month follow-up (week 14). Mean effect sizes on the primary outcome measures were 2.9 computer, 3.5 clinician and 0.5 relaxation at post-treatment; and 3.7 computer, 3.5 clinician and 0.5 relaxation at 1-month follow-up. The assessor did not rate patients at follow-up. Conclusions. Despite its (non-significantly) higher dropout rate, self-exposure therapy for panic/ phobia cut clinician time per patient by 73% without losing efficacy when guided mainly by a computer rather than entirely by a clinician. The finding needs confirmation at a follow-up that is longer and includes a blind assessor. Self-relaxation had the highest rate of completers but was ineffective.","author":[{"dropping-particle":"","family":"Marks","given":"Isaac M.","non-dropping-particle":"","parse-names":false,"suffix":""},{"dropping-particle":"","family":"Kenwright","given":"M.","non-dropping-particle":"","parse-names":false,"suffix":""},{"dropping-particle":"","family":"McDonough","given":"M.","non-dropping-particle":"","parse-names":false,"suffix":""},{"dropping-particle":"","family":"Whittaker","given":"M.","non-dropping-particle":"","parse-names":false,"suffix":""},{"dropping-particle":"","family":"Mataix-Cols","given":"D.","non-dropping-particle":"","parse-names":false,"suffix":""}],"container-title":"Psychological Medicine","id":"ITEM-1","issue":"1","issued":{"date-parts":[["2004"]]},"page":"9-17","title":"Saving clinicians' time by delegating routine aspects of therapy to a computer: A randomized controlled trial in phobia/panic disorder","type":"article-journal","volume":"34"},"uris":["http://www.mendeley.com/documents/?uuid=d88886d6-b9c9-4e8f-b838-f9645d76ab0a"]}],"mendeley":{"formattedCitation":"(Marks &lt;i&gt;et al.&lt;/i&gt;, 2004)","manualFormatting":"Marks, Kenwright, McDonough, Whittaker, &amp; Mataix-Cols (2004)","plainTextFormattedCitation":"(Marks et al., 2004)","previouslyFormattedCitation":"(Marks &lt;i&gt;et al.&lt;/i&gt;, 2004)"},"properties":{"noteIndex":0},"schema":"https://github.com/citation-style-language/schema/raw/master/csl-citation.json"}</w:instrText>
            </w:r>
            <w:r w:rsidRPr="00DF37E1">
              <w:fldChar w:fldCharType="separate"/>
            </w:r>
            <w:r w:rsidRPr="00DF37E1">
              <w:rPr>
                <w:noProof/>
              </w:rPr>
              <w:t>Marks, Kenwright, McDonough, Whittaker, &amp; Mataix-Cols (2004)</w:t>
            </w:r>
            <w:r w:rsidRPr="00DF37E1">
              <w:fldChar w:fldCharType="end"/>
            </w:r>
          </w:p>
        </w:tc>
        <w:tc>
          <w:tcPr>
            <w:tcW w:w="336" w:type="pct"/>
            <w:tcBorders>
              <w:top w:val="nil"/>
              <w:left w:val="nil"/>
              <w:bottom w:val="nil"/>
              <w:right w:val="nil"/>
            </w:tcBorders>
            <w:vAlign w:val="center"/>
          </w:tcPr>
          <w:p w14:paraId="1006BD89" w14:textId="77777777" w:rsidR="00F1508E" w:rsidRPr="00DF37E1" w:rsidRDefault="00F1508E" w:rsidP="00D075F6">
            <w:pPr>
              <w:pStyle w:val="NoSpacing"/>
              <w:jc w:val="center"/>
            </w:pPr>
            <w:r w:rsidRPr="00DF37E1">
              <w:rPr>
                <w:noProof/>
                <w:lang w:eastAsia="en-GB"/>
              </w:rPr>
              <w:drawing>
                <wp:inline distT="0" distB="0" distL="0" distR="0" wp14:anchorId="52CC069A" wp14:editId="7826114B">
                  <wp:extent cx="218962" cy="21896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6DA1FD0B" w14:textId="77777777" w:rsidR="00F1508E" w:rsidRPr="00DF37E1" w:rsidRDefault="00F1508E" w:rsidP="00D075F6">
            <w:pPr>
              <w:pStyle w:val="NoSpacing"/>
              <w:jc w:val="center"/>
            </w:pPr>
            <w:r w:rsidRPr="00DF37E1">
              <w:rPr>
                <w:noProof/>
                <w:lang w:eastAsia="en-GB"/>
              </w:rPr>
              <w:drawing>
                <wp:inline distT="0" distB="0" distL="0" distR="0" wp14:anchorId="677251CC" wp14:editId="27B8DA26">
                  <wp:extent cx="218962" cy="218962"/>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7A758BC0" w14:textId="77777777" w:rsidR="00F1508E" w:rsidRPr="00DF37E1" w:rsidRDefault="00F1508E" w:rsidP="00D075F6">
            <w:pPr>
              <w:pStyle w:val="NoSpacing"/>
              <w:jc w:val="center"/>
            </w:pPr>
            <w:r w:rsidRPr="00DF37E1">
              <w:rPr>
                <w:noProof/>
                <w:lang w:eastAsia="en-GB"/>
              </w:rPr>
              <w:drawing>
                <wp:inline distT="0" distB="0" distL="0" distR="0" wp14:anchorId="7995B1E0" wp14:editId="7ED5E8EA">
                  <wp:extent cx="218962" cy="218962"/>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tcPr>
          <w:p w14:paraId="0A7F2F3A"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6F5553AA" wp14:editId="377787EF">
                  <wp:extent cx="218962" cy="218962"/>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4C437BE4" w14:textId="77777777" w:rsidR="00F1508E" w:rsidRPr="00DF37E1" w:rsidRDefault="00F1508E" w:rsidP="00D075F6">
            <w:pPr>
              <w:pStyle w:val="NoSpacing"/>
              <w:jc w:val="center"/>
            </w:pPr>
            <w:r w:rsidRPr="00DF37E1">
              <w:rPr>
                <w:noProof/>
                <w:lang w:eastAsia="en-GB"/>
              </w:rPr>
              <w:drawing>
                <wp:inline distT="0" distB="0" distL="0" distR="0" wp14:anchorId="7FA6BA4E" wp14:editId="3A46446A">
                  <wp:extent cx="218962" cy="218962"/>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53F4C008" w14:textId="77777777" w:rsidR="00F1508E" w:rsidRPr="00DF37E1" w:rsidRDefault="00F1508E" w:rsidP="00D075F6">
            <w:pPr>
              <w:pStyle w:val="NoSpacing"/>
              <w:jc w:val="center"/>
            </w:pPr>
            <w:r w:rsidRPr="00DF37E1">
              <w:rPr>
                <w:noProof/>
                <w:lang w:eastAsia="en-GB"/>
              </w:rPr>
              <w:drawing>
                <wp:inline distT="0" distB="0" distL="0" distR="0" wp14:anchorId="34BB5693" wp14:editId="11F5047F">
                  <wp:extent cx="218962" cy="21896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nil"/>
              <w:left w:val="nil"/>
              <w:bottom w:val="nil"/>
              <w:right w:val="nil"/>
            </w:tcBorders>
            <w:vAlign w:val="center"/>
          </w:tcPr>
          <w:p w14:paraId="6F77C374" w14:textId="77777777" w:rsidR="00F1508E" w:rsidRPr="00DF37E1" w:rsidRDefault="00F1508E" w:rsidP="00D075F6">
            <w:pPr>
              <w:pStyle w:val="NoSpacing"/>
              <w:jc w:val="center"/>
            </w:pPr>
            <w:r w:rsidRPr="00DF37E1">
              <w:rPr>
                <w:noProof/>
                <w:lang w:eastAsia="en-GB"/>
              </w:rPr>
              <w:drawing>
                <wp:inline distT="0" distB="0" distL="0" distR="0" wp14:anchorId="7FBA2D5C" wp14:editId="246B2F97">
                  <wp:extent cx="218962" cy="218962"/>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r w:rsidR="00F1508E" w:rsidRPr="00DF37E1" w14:paraId="1A624103" w14:textId="77777777" w:rsidTr="00D075F6">
        <w:tc>
          <w:tcPr>
            <w:tcW w:w="2648" w:type="pct"/>
            <w:tcBorders>
              <w:top w:val="nil"/>
              <w:left w:val="nil"/>
              <w:bottom w:val="nil"/>
              <w:right w:val="nil"/>
            </w:tcBorders>
            <w:vAlign w:val="center"/>
          </w:tcPr>
          <w:p w14:paraId="6073078B" w14:textId="77777777" w:rsidR="00F1508E" w:rsidRPr="00DF37E1" w:rsidRDefault="00F1508E" w:rsidP="00D075F6">
            <w:pPr>
              <w:pStyle w:val="NoSpacing"/>
            </w:pPr>
            <w:r w:rsidRPr="00DF37E1">
              <w:fldChar w:fldCharType="begin" w:fldLock="1"/>
            </w:r>
            <w:r>
              <w:instrText>ADDIN CSL_CITATION {"citationItems":[{"id":"ITEM-1","itemData":{"DOI":"10.2196/jmir.2240","ISBN":"1438-8871","ISSN":"14388871","PMID":"23302475","abstract":"BACKGROUND: Interventions to promote mental well-being can bring benefits to the individual and to society. The Internet can facilitate the large-scale and low-cost delivery of individually targeted health promoting interventions.\\n\\nOBJECTIVE: To evaluate the effectiveness of a self-directed Internet-delivered cognitive-behavioral skills training tool in improving mental well-being in a population sample.\\n\\nMETHODS: This was a randomized trial with a waiting-list control. Using advertisements on a national health portal and through its mailing list, we recruited 3070 participants aged 18 or over, resident in England, and willing to give their email address and access a fully automated Web-based intervention. The intervention (MoodGYM) consisted of 5 interactive modules that teach cognitive-behavioral principles. Participants in the intervention arm received weekly email reminders to access the intervention. The control group received access to the intervention after the trial was completed and received no specific intervention or email reminders. Outcomes were assessed by using self-completion questionnaires. The primary outcome was mental well-being measured with the Warwick-Edinburgh Mental Well-being Scale (WEMWBS). Secondary outcomes were Center for Epidemiologic Studies Depression scale (CES-D) depression scores, Generalized Anxiety Disorder 7-item scale (GAD-7) anxiety scores, EuroQol Group 5-Dimension Self-Report Questionnaire (EQ-5D) quality of life scores, physical activity, and health service use. All outcomes were measured at baseline, and at 6- and 12-week follow-ups.\\n\\nRESULTS: A total of 1529 (49.80%) participants completed final follow-up at 12 weeks. Retention was 73.11% (1123/1536) in the control arm and 26.47% (406/1534) in the intervention arm. No relationship between baseline measures and withdrawal could be established. The analysis of WEMWBS mental well-being scores using a linear mixed model for repeated measures showed no difference between intervention and control group at baseline (difference -0.124 points, 95% CI -0.814 to 0.566), and significant improvements for the intervention group at 6 weeks (2.542 points, 95% CI 1.693-3.390) and at 12 weeks (2.876 points, 95% CI 1.933-3.819). The model showed a highly significant (P&lt;.001) intervention by time interaction effect. There were also significant improvements in self-rated scores of depression and anxiety. Given the high level of attrition, a sensitivity analysis with impute…","author":[{"dropping-particle":"","family":"Powell","given":"John","non-dropping-particle":"","parse-names":false,"suffix":""},{"dropping-particle":"","family":"Hamborg","given":"Thomas","non-dropping-particle":"","parse-names":false,"suffix":""},{"dropping-particle":"","family":"Stallard","given":"Nigel","non-dropping-particle":"","parse-names":false,"suffix":""},{"dropping-particle":"","family":"Burls","given":"Amanda","non-dropping-particle":"","parse-names":false,"suffix":""},{"dropping-particle":"","family":"Mcsorley","given":"Jaime","non-dropping-particle":"","parse-names":false,"suffix":""},{"dropping-particle":"","family":"Bennett","given":"Kylie","non-dropping-particle":"","parse-names":false,"suffix":""},{"dropping-particle":"","family":"Griffiths","given":"Kathleen M.","non-dropping-particle":"","parse-names":false,"suffix":""},{"dropping-particle":"","family":"Christensen","given":"Helen","non-dropping-particle":"","parse-names":false,"suffix":""}],"container-title":"Journal of Medical Internet Research","id":"ITEM-1","issue":"1","issued":{"date-parts":[["2013","1"]]},"page":"1-17","title":"Effectiveness of a web-based cognitive-behavioral tool to improve mental well-being in the general population: Randomized controlled trial","type":"article-journal","volume":"15"},"uris":["http://www.mendeley.com/documents/?uuid=a0e7f24f-8558-4034-ae52-624841020821"]}],"mendeley":{"formattedCitation":"(Powell &lt;i&gt;et al.&lt;/i&gt;, 2013)","manualFormatting":"Powell et al. (2013)","plainTextFormattedCitation":"(Powell et al., 2013)","previouslyFormattedCitation":"(Powell &lt;i&gt;et al.&lt;/i&gt;, 2013)"},"properties":{"noteIndex":0},"schema":"https://github.com/citation-style-language/schema/raw/master/csl-citation.json"}</w:instrText>
            </w:r>
            <w:r w:rsidRPr="00DF37E1">
              <w:fldChar w:fldCharType="separate"/>
            </w:r>
            <w:r w:rsidRPr="00DF37E1">
              <w:rPr>
                <w:noProof/>
              </w:rPr>
              <w:t>Powell et al. (2013)</w:t>
            </w:r>
            <w:r w:rsidRPr="00DF37E1">
              <w:fldChar w:fldCharType="end"/>
            </w:r>
            <w:r w:rsidRPr="00DF37E1">
              <w:t xml:space="preserve"> </w:t>
            </w:r>
          </w:p>
        </w:tc>
        <w:tc>
          <w:tcPr>
            <w:tcW w:w="336" w:type="pct"/>
            <w:tcBorders>
              <w:top w:val="nil"/>
              <w:left w:val="nil"/>
              <w:bottom w:val="nil"/>
              <w:right w:val="nil"/>
            </w:tcBorders>
            <w:vAlign w:val="center"/>
          </w:tcPr>
          <w:p w14:paraId="37F559EE" w14:textId="77777777" w:rsidR="00F1508E" w:rsidRPr="00DF37E1" w:rsidRDefault="00F1508E" w:rsidP="00D075F6">
            <w:pPr>
              <w:pStyle w:val="NoSpacing"/>
              <w:jc w:val="center"/>
            </w:pPr>
            <w:r w:rsidRPr="00DF37E1">
              <w:rPr>
                <w:noProof/>
                <w:lang w:eastAsia="en-GB"/>
              </w:rPr>
              <w:drawing>
                <wp:inline distT="0" distB="0" distL="0" distR="0" wp14:anchorId="3F0D6F6D" wp14:editId="01786B96">
                  <wp:extent cx="218962" cy="218962"/>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5A87D1A8" w14:textId="77777777" w:rsidR="00F1508E" w:rsidRPr="00DF37E1" w:rsidRDefault="00F1508E" w:rsidP="00D075F6">
            <w:pPr>
              <w:pStyle w:val="NoSpacing"/>
              <w:jc w:val="center"/>
            </w:pPr>
            <w:r w:rsidRPr="00DF37E1">
              <w:rPr>
                <w:noProof/>
                <w:lang w:eastAsia="en-GB"/>
              </w:rPr>
              <w:drawing>
                <wp:inline distT="0" distB="0" distL="0" distR="0" wp14:anchorId="03C41BCF" wp14:editId="156B7E2A">
                  <wp:extent cx="218962" cy="218962"/>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2782FDD6" w14:textId="77777777" w:rsidR="00F1508E" w:rsidRPr="00DF37E1" w:rsidRDefault="00F1508E" w:rsidP="00D075F6">
            <w:pPr>
              <w:pStyle w:val="NoSpacing"/>
              <w:jc w:val="center"/>
            </w:pPr>
            <w:r w:rsidRPr="00DF37E1">
              <w:rPr>
                <w:noProof/>
                <w:lang w:eastAsia="en-GB"/>
              </w:rPr>
              <w:drawing>
                <wp:inline distT="0" distB="0" distL="0" distR="0" wp14:anchorId="57D3C571" wp14:editId="724A52C0">
                  <wp:extent cx="218962" cy="218962"/>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tcPr>
          <w:p w14:paraId="6750D27B"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285585D7" wp14:editId="73FC46C5">
                  <wp:extent cx="218962" cy="218962"/>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22A7AD6D" w14:textId="77777777" w:rsidR="00F1508E" w:rsidRPr="00DF37E1" w:rsidRDefault="00F1508E" w:rsidP="00D075F6">
            <w:pPr>
              <w:pStyle w:val="NoSpacing"/>
              <w:jc w:val="center"/>
            </w:pPr>
            <w:r w:rsidRPr="00DF37E1">
              <w:rPr>
                <w:noProof/>
                <w:lang w:eastAsia="en-GB"/>
              </w:rPr>
              <w:drawing>
                <wp:inline distT="0" distB="0" distL="0" distR="0" wp14:anchorId="3033E037" wp14:editId="512D6024">
                  <wp:extent cx="218962" cy="21896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15B4E1ED" w14:textId="77777777" w:rsidR="00F1508E" w:rsidRPr="00DF37E1" w:rsidRDefault="00F1508E" w:rsidP="00D075F6">
            <w:pPr>
              <w:pStyle w:val="NoSpacing"/>
              <w:jc w:val="center"/>
            </w:pPr>
            <w:r w:rsidRPr="00DF37E1">
              <w:rPr>
                <w:noProof/>
                <w:lang w:eastAsia="en-GB"/>
              </w:rPr>
              <w:drawing>
                <wp:inline distT="0" distB="0" distL="0" distR="0" wp14:anchorId="54CE2DD4" wp14:editId="04C0F550">
                  <wp:extent cx="218962" cy="218962"/>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nil"/>
              <w:left w:val="nil"/>
              <w:bottom w:val="nil"/>
              <w:right w:val="nil"/>
            </w:tcBorders>
            <w:vAlign w:val="center"/>
          </w:tcPr>
          <w:p w14:paraId="574C04D5" w14:textId="77777777" w:rsidR="00F1508E" w:rsidRPr="00DF37E1" w:rsidRDefault="00F1508E" w:rsidP="00D075F6">
            <w:pPr>
              <w:pStyle w:val="NoSpacing"/>
              <w:jc w:val="center"/>
            </w:pPr>
            <w:r w:rsidRPr="00DF37E1">
              <w:rPr>
                <w:noProof/>
                <w:lang w:eastAsia="en-GB"/>
              </w:rPr>
              <w:drawing>
                <wp:inline distT="0" distB="0" distL="0" distR="0" wp14:anchorId="798FA2A0" wp14:editId="165EC68B">
                  <wp:extent cx="218962" cy="218962"/>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r w:rsidR="00F1508E" w:rsidRPr="00DF37E1" w14:paraId="3907005B" w14:textId="77777777" w:rsidTr="00D075F6">
        <w:tc>
          <w:tcPr>
            <w:tcW w:w="2648" w:type="pct"/>
            <w:tcBorders>
              <w:top w:val="nil"/>
              <w:left w:val="nil"/>
              <w:bottom w:val="nil"/>
              <w:right w:val="nil"/>
            </w:tcBorders>
            <w:vAlign w:val="center"/>
          </w:tcPr>
          <w:p w14:paraId="4664DD91" w14:textId="73DBAFE3" w:rsidR="00F1508E" w:rsidRPr="00DF37E1" w:rsidRDefault="00F1508E" w:rsidP="00D075F6">
            <w:pPr>
              <w:pStyle w:val="NoSpacing"/>
            </w:pPr>
            <w:r w:rsidRPr="00DF37E1">
              <w:fldChar w:fldCharType="begin" w:fldLock="1"/>
            </w:r>
            <w:r w:rsidR="00056473">
              <w:instrText>ADDIN CSL_CITATION {"citationItems":[{"id":"ITEM-1","itemData":{"DOI":"10.1017/S0033291702007225","ISBN":"0033-2917, 0033-2917","ISSN":"00332917","PMID":"15231556","abstract":"Background. Cognitive-behavioural therapy (CBT) brings about significant clinical improvement in anxiety and depression, but therapists are in short supply. We report the first phase of a randomized controlled trial of an interactive multimedia program of cognitive-behavioural techniques, Beating the Blues TM (BtB), in the treatment of patients in general practice with anxiety, depression or mixed anxiety/depression. Method. One hundred and sixty-seven adults suffering from anxiety and/or depression and not receiving any form of psychological treatment or counselling were randomly allocated to receive, with or without medication, BtB or treatment as usual (TAU). Measures were taken on five oc-casions : prior to treatment, 2 months later, and at 1, 3 and 6 months follow-up using the Beck Depression Inventory, Beck Anxiety Inventory and Work and Social Adjustment Scale. Results. Patients who received BtB showed significantly greater improvement in depression and anxiety compared to TAU by the end of treatment (2 months) and to 6 months follow-up. Symptom reduction was paralleled by improvement in work and social adjustment. There were no interactions of BtB with concomitant pharmacotherapy or duration of illness, but evidence, on the Beck Anxiety Inventory only, of interaction with primary care practice. Importantly, there was no interaction between the effects of BtB and baseline severity of depression, from which we conclude that the effects of the computer program are independent of starting level of depression. Conclusions. These results demonstrate that computerized interactive multimedia cognitive-behavioural techniques under minimal clinical supervision can bring about improvements in de-pression and anxiety, as well as in work and social adjustment, with and without pharmacotherapy and in patients with pre-treatment illness of durations greater or less than 6 months. Thus, our results indicate that wider dissemination of cognitive-behavioural techniques is possible for patients suf-fering from anxiety and/or depression.","author":[{"dropping-particle":"","family":"Proudfoot","given":"Judith","non-dropping-particle":"","parse-names":false,"suffix":""},{"dropping-particle":"","family":"Goldberg","given":"D.","non-dropping-particle":"","parse-names":false,"suffix":""},{"dropping-particle":"","family":"Mann","given":"A.","non-dropping-particle":"","parse-names":false,"suffix":""},{"dropping-particle":"","family":"Everitt","given":"B.","non-dropping-particle":"","parse-names":false,"suffix":""},{"dropping-particle":"","family":"Marks","given":"I.","non-dropping-particle":"","parse-names":false,"suffix":""},{"dropping-particle":"","family":"Gray","given":"J. A.","non-dropping-particle":"","parse-names":false,"suffix":""}],"container-title":"Psychological Medicine","id":"ITEM-1","issue":"2","issued":{"date-parts":[["2003","2","1"]]},"language":"English","page":"217-227","publisher":"Cambridge University Press","title":"Computerized, interactive, multimedia cognitive-behavioural program for anxiety and depression in general practice","type":"article-journal","volume":"33"},"uris":["http://www.mendeley.com/documents/?uuid=9c138622-251d-4b91-b24a-678317e560d0"]}],"mendeley":{"formattedCitation":"(Judith Proudfoot, Goldberg, Mann, Everitt, Marks and Gray, 2003)","manualFormatting":"Proudfoot et al. (2003)","plainTextFormattedCitation":"(Judith Proudfoot, Goldberg, Mann, Everitt, Marks and Gray, 2003)","previouslyFormattedCitation":"(Judith Proudfoot, Goldberg, Mann, Everitt, Marks and Gray, 2003)"},"properties":{"noteIndex":0},"schema":"https://github.com/citation-style-language/schema/raw/master/csl-citation.json"}</w:instrText>
            </w:r>
            <w:r w:rsidRPr="00DF37E1">
              <w:fldChar w:fldCharType="separate"/>
            </w:r>
            <w:r w:rsidRPr="00DF37E1">
              <w:rPr>
                <w:noProof/>
              </w:rPr>
              <w:t>Proudfoot et al. (2003)</w:t>
            </w:r>
            <w:r w:rsidRPr="00DF37E1">
              <w:fldChar w:fldCharType="end"/>
            </w:r>
          </w:p>
        </w:tc>
        <w:tc>
          <w:tcPr>
            <w:tcW w:w="336" w:type="pct"/>
            <w:tcBorders>
              <w:top w:val="nil"/>
              <w:left w:val="nil"/>
              <w:bottom w:val="nil"/>
              <w:right w:val="nil"/>
            </w:tcBorders>
            <w:vAlign w:val="center"/>
          </w:tcPr>
          <w:p w14:paraId="2694D679" w14:textId="77777777" w:rsidR="00F1508E" w:rsidRPr="00DF37E1" w:rsidRDefault="00F1508E" w:rsidP="00D075F6">
            <w:pPr>
              <w:pStyle w:val="NoSpacing"/>
              <w:jc w:val="center"/>
            </w:pPr>
            <w:r w:rsidRPr="00DF37E1">
              <w:rPr>
                <w:noProof/>
                <w:lang w:eastAsia="en-GB"/>
              </w:rPr>
              <w:drawing>
                <wp:inline distT="0" distB="0" distL="0" distR="0" wp14:anchorId="4CF3840F" wp14:editId="351E0AD1">
                  <wp:extent cx="218962" cy="218962"/>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36F4AEC8" w14:textId="77777777" w:rsidR="00F1508E" w:rsidRPr="00DF37E1" w:rsidRDefault="00F1508E" w:rsidP="00D075F6">
            <w:pPr>
              <w:pStyle w:val="NoSpacing"/>
              <w:jc w:val="center"/>
            </w:pPr>
            <w:r w:rsidRPr="00DF37E1">
              <w:rPr>
                <w:noProof/>
                <w:lang w:eastAsia="en-GB"/>
              </w:rPr>
              <w:drawing>
                <wp:inline distT="0" distB="0" distL="0" distR="0" wp14:anchorId="5C91C5D2" wp14:editId="5F5EF795">
                  <wp:extent cx="218962" cy="218962"/>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63E20BCA" w14:textId="77777777" w:rsidR="00F1508E" w:rsidRPr="00DF37E1" w:rsidRDefault="00F1508E" w:rsidP="00D075F6">
            <w:pPr>
              <w:pStyle w:val="NoSpacing"/>
              <w:jc w:val="center"/>
            </w:pPr>
            <w:r w:rsidRPr="00DF37E1">
              <w:rPr>
                <w:noProof/>
                <w:lang w:eastAsia="en-GB"/>
              </w:rPr>
              <w:drawing>
                <wp:inline distT="0" distB="0" distL="0" distR="0" wp14:anchorId="594CF75A" wp14:editId="78BA2AEF">
                  <wp:extent cx="218962" cy="218962"/>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tcPr>
          <w:p w14:paraId="71EB3C1E"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190DFA9A" wp14:editId="4853AF73">
                  <wp:extent cx="218962" cy="218962"/>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686E2EC7" w14:textId="77777777" w:rsidR="00F1508E" w:rsidRPr="00DF37E1" w:rsidRDefault="00F1508E" w:rsidP="00D075F6">
            <w:pPr>
              <w:pStyle w:val="NoSpacing"/>
              <w:jc w:val="center"/>
            </w:pPr>
            <w:r w:rsidRPr="00DF37E1">
              <w:rPr>
                <w:noProof/>
                <w:lang w:eastAsia="en-GB"/>
              </w:rPr>
              <w:drawing>
                <wp:inline distT="0" distB="0" distL="0" distR="0" wp14:anchorId="4D7EAFE2" wp14:editId="102E5A87">
                  <wp:extent cx="218962" cy="218962"/>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66056713" w14:textId="77777777" w:rsidR="00F1508E" w:rsidRPr="00DF37E1" w:rsidRDefault="00F1508E" w:rsidP="00D075F6">
            <w:pPr>
              <w:pStyle w:val="NoSpacing"/>
              <w:jc w:val="center"/>
            </w:pPr>
            <w:r w:rsidRPr="00DF37E1">
              <w:rPr>
                <w:noProof/>
                <w:lang w:eastAsia="en-GB"/>
              </w:rPr>
              <w:drawing>
                <wp:inline distT="0" distB="0" distL="0" distR="0" wp14:anchorId="5D53B652" wp14:editId="6F865A5A">
                  <wp:extent cx="218962" cy="218962"/>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nil"/>
              <w:left w:val="nil"/>
              <w:bottom w:val="nil"/>
              <w:right w:val="nil"/>
            </w:tcBorders>
            <w:vAlign w:val="center"/>
          </w:tcPr>
          <w:p w14:paraId="78503B7C" w14:textId="77777777" w:rsidR="00F1508E" w:rsidRPr="00DF37E1" w:rsidRDefault="00F1508E" w:rsidP="00D075F6">
            <w:pPr>
              <w:pStyle w:val="NoSpacing"/>
              <w:jc w:val="center"/>
            </w:pPr>
            <w:r w:rsidRPr="00DF37E1">
              <w:rPr>
                <w:noProof/>
                <w:lang w:eastAsia="en-GB"/>
              </w:rPr>
              <w:drawing>
                <wp:inline distT="0" distB="0" distL="0" distR="0" wp14:anchorId="1045247C" wp14:editId="47957134">
                  <wp:extent cx="218962" cy="218962"/>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r w:rsidR="00F1508E" w:rsidRPr="00DF37E1" w14:paraId="1F8BA4E0" w14:textId="77777777" w:rsidTr="00D075F6">
        <w:tc>
          <w:tcPr>
            <w:tcW w:w="2648" w:type="pct"/>
            <w:tcBorders>
              <w:top w:val="nil"/>
              <w:left w:val="nil"/>
              <w:bottom w:val="nil"/>
              <w:right w:val="nil"/>
            </w:tcBorders>
            <w:vAlign w:val="center"/>
          </w:tcPr>
          <w:p w14:paraId="5CA563B8" w14:textId="77777777" w:rsidR="00F1508E" w:rsidRPr="00DF37E1" w:rsidRDefault="00F1508E" w:rsidP="00D075F6">
            <w:pPr>
              <w:pStyle w:val="NoSpacing"/>
            </w:pPr>
            <w:r w:rsidRPr="00DF37E1">
              <w:fldChar w:fldCharType="begin" w:fldLock="1"/>
            </w:r>
            <w:r>
              <w:instrText>ADDIN CSL_CITATION {"citationItems":[{"id":"ITEM-1","itemData":{"DOI":"10.1192/bjp.185.1.46","ISSN":"0007-1250","author":[{"dropping-particle":"","family":"Proudfoot","given":"J","non-dropping-particle":"","parse-names":false,"suffix":""},{"dropping-particle":"","family":"Ryden","given":"C","non-dropping-particle":"","parse-names":false,"suffix":""},{"dropping-particle":"","family":"Everitt","given":"B","non-dropping-particle":"","parse-names":false,"suffix":""},{"dropping-particle":"","family":"Shapiro","given":"D","non-dropping-particle":"","parse-names":false,"suffix":""},{"dropping-particle":"","family":"Goldberg","given":"D","non-dropping-particle":"","parse-names":false,"suffix":""},{"dropping-particle":"","family":"Mann","given":"A","non-dropping-particle":"","parse-names":false,"suffix":""},{"dropping-particle":"","family":"Tylee","given":"A","non-dropping-particle":"","parse-names":false,"suffix":""},{"dropping-particle":"","family":"Marks","given":"I","non-dropping-particle":"","parse-names":false,"suffix":""},{"dropping-particle":"","family":"A","given":"Gray","non-dropping-particle":"","parse-names":false,"suffix":""}],"container-title":"The British Journal of Psychiatry","id":"ITEM-1","issue":"1","issued":{"date-parts":[["2004"]]},"page":"46-54","title":"Clinical efficacy of computerised cognitive-behavioural therapy for anxiety and depression in primary care: randomised controlled trial","type":"article-journal","volume":"185"},"uris":["http://www.mendeley.com/documents/?uuid=af67f710-8e45-4d92-a3a6-6dc1af415630"]}],"mendeley":{"formattedCitation":"(Proudfoot &lt;i&gt;et al.&lt;/i&gt;, 2004)","manualFormatting":"Proudfoot et al. (2004)","plainTextFormattedCitation":"(Proudfoot et al., 2004)","previouslyFormattedCitation":"(Proudfoot &lt;i&gt;et al.&lt;/i&gt;, 2004)"},"properties":{"noteIndex":0},"schema":"https://github.com/citation-style-language/schema/raw/master/csl-citation.json"}</w:instrText>
            </w:r>
            <w:r w:rsidRPr="00DF37E1">
              <w:fldChar w:fldCharType="separate"/>
            </w:r>
            <w:r w:rsidRPr="00DF37E1">
              <w:rPr>
                <w:noProof/>
              </w:rPr>
              <w:t>Proudfoot et al. (2004)</w:t>
            </w:r>
            <w:r w:rsidRPr="00DF37E1">
              <w:fldChar w:fldCharType="end"/>
            </w:r>
          </w:p>
        </w:tc>
        <w:tc>
          <w:tcPr>
            <w:tcW w:w="336" w:type="pct"/>
            <w:tcBorders>
              <w:top w:val="nil"/>
              <w:left w:val="nil"/>
              <w:bottom w:val="nil"/>
              <w:right w:val="nil"/>
            </w:tcBorders>
            <w:vAlign w:val="center"/>
          </w:tcPr>
          <w:p w14:paraId="4FEF80AE" w14:textId="77777777" w:rsidR="00F1508E" w:rsidRPr="00DF37E1" w:rsidRDefault="00F1508E" w:rsidP="00D075F6">
            <w:pPr>
              <w:pStyle w:val="NoSpacing"/>
              <w:jc w:val="center"/>
            </w:pPr>
            <w:r w:rsidRPr="00DF37E1">
              <w:rPr>
                <w:noProof/>
                <w:lang w:eastAsia="en-GB"/>
              </w:rPr>
              <w:drawing>
                <wp:inline distT="0" distB="0" distL="0" distR="0" wp14:anchorId="4B24AEA8" wp14:editId="594D49E8">
                  <wp:extent cx="218962" cy="218962"/>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32287033" w14:textId="77777777" w:rsidR="00F1508E" w:rsidRPr="00DF37E1" w:rsidRDefault="00F1508E" w:rsidP="00D075F6">
            <w:pPr>
              <w:pStyle w:val="NoSpacing"/>
              <w:jc w:val="center"/>
            </w:pPr>
            <w:r w:rsidRPr="00DF37E1">
              <w:rPr>
                <w:noProof/>
                <w:lang w:eastAsia="en-GB"/>
              </w:rPr>
              <w:drawing>
                <wp:inline distT="0" distB="0" distL="0" distR="0" wp14:anchorId="0519322F" wp14:editId="32A6F3F1">
                  <wp:extent cx="218962" cy="218962"/>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546517F6" w14:textId="77777777" w:rsidR="00F1508E" w:rsidRPr="00DF37E1" w:rsidRDefault="00F1508E" w:rsidP="00D075F6">
            <w:pPr>
              <w:pStyle w:val="NoSpacing"/>
              <w:jc w:val="center"/>
            </w:pPr>
            <w:r w:rsidRPr="00DF37E1">
              <w:rPr>
                <w:noProof/>
                <w:lang w:eastAsia="en-GB"/>
              </w:rPr>
              <w:drawing>
                <wp:inline distT="0" distB="0" distL="0" distR="0" wp14:anchorId="49E9273D" wp14:editId="10931BF7">
                  <wp:extent cx="218962" cy="218962"/>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tcPr>
          <w:p w14:paraId="4555247D"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76A48D2C" wp14:editId="21C8C4E7">
                  <wp:extent cx="218962" cy="218962"/>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6E65AD5E" w14:textId="77777777" w:rsidR="00F1508E" w:rsidRPr="00DF37E1" w:rsidRDefault="00F1508E" w:rsidP="00D075F6">
            <w:pPr>
              <w:pStyle w:val="NoSpacing"/>
              <w:jc w:val="center"/>
            </w:pPr>
            <w:r w:rsidRPr="00DF37E1">
              <w:rPr>
                <w:noProof/>
                <w:lang w:eastAsia="en-GB"/>
              </w:rPr>
              <w:drawing>
                <wp:inline distT="0" distB="0" distL="0" distR="0" wp14:anchorId="2E368565" wp14:editId="7CA8455C">
                  <wp:extent cx="218962" cy="218962"/>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4DB8E6CF" w14:textId="77777777" w:rsidR="00F1508E" w:rsidRPr="00DF37E1" w:rsidRDefault="00F1508E" w:rsidP="00D075F6">
            <w:pPr>
              <w:pStyle w:val="NoSpacing"/>
              <w:jc w:val="center"/>
            </w:pPr>
            <w:r w:rsidRPr="00DF37E1">
              <w:rPr>
                <w:noProof/>
                <w:lang w:eastAsia="en-GB"/>
              </w:rPr>
              <w:drawing>
                <wp:inline distT="0" distB="0" distL="0" distR="0" wp14:anchorId="5E79DA2C" wp14:editId="03B3BEA7">
                  <wp:extent cx="218962" cy="218962"/>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nil"/>
              <w:left w:val="nil"/>
              <w:bottom w:val="nil"/>
              <w:right w:val="nil"/>
            </w:tcBorders>
            <w:vAlign w:val="center"/>
          </w:tcPr>
          <w:p w14:paraId="497B702F" w14:textId="77777777" w:rsidR="00F1508E" w:rsidRPr="00DF37E1" w:rsidRDefault="00F1508E" w:rsidP="00D075F6">
            <w:pPr>
              <w:pStyle w:val="NoSpacing"/>
              <w:jc w:val="center"/>
            </w:pPr>
            <w:r w:rsidRPr="00DF37E1">
              <w:rPr>
                <w:noProof/>
                <w:lang w:eastAsia="en-GB"/>
              </w:rPr>
              <w:drawing>
                <wp:inline distT="0" distB="0" distL="0" distR="0" wp14:anchorId="21A5B907" wp14:editId="6DB80966">
                  <wp:extent cx="218962" cy="218962"/>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r w:rsidR="00F1508E" w:rsidRPr="00DF37E1" w14:paraId="57ACEFFA" w14:textId="77777777" w:rsidTr="00D075F6">
        <w:tc>
          <w:tcPr>
            <w:tcW w:w="2648" w:type="pct"/>
            <w:tcBorders>
              <w:top w:val="nil"/>
              <w:left w:val="nil"/>
              <w:bottom w:val="nil"/>
              <w:right w:val="nil"/>
            </w:tcBorders>
            <w:vAlign w:val="center"/>
          </w:tcPr>
          <w:p w14:paraId="4B40EB22" w14:textId="77777777" w:rsidR="00F1508E" w:rsidRPr="00DF37E1" w:rsidRDefault="00F1508E" w:rsidP="00D075F6">
            <w:pPr>
              <w:pStyle w:val="NoSpacing"/>
            </w:pPr>
            <w:r w:rsidRPr="00DF37E1">
              <w:fldChar w:fldCharType="begin" w:fldLock="1"/>
            </w:r>
            <w:r>
              <w:instrText>ADDIN CSL_CITATION {"citationItems":[{"id":"ITEM-1","itemData":{"DOI":"10.1016/j.brat.2015.10.005","ISBN":"1471-244X","ISSN":"1873622X","PMID":"26523885","abstract":"Background: Internet-delivered treatments for depression have proved successful, with supported programs offering the potential for improved adherence and outcomes. Internet interventions are particularly interesting in the context of increasing access to interventions, and delivering interventions population-wide. Methods: The study was a randomized controlled trial of an 7-module internet-delivered cognitive behavioral therapy (iCBT) program for adults with depressive symptoms (n = 96) compared to a waiting-list control group (n = 92). Participants received weekly support from a trained supporter. The primary outcome was depressive symptoms as measured by the Beck Depression Inventory (BDI-II). The program was made available nationwide from an established and recognized charity for depression. Results: For the treatment group, post-treatment effect sizes reported were large for the primary outcome measure (d = 0.91). The between-group effects were moderate to large and statistically significant for the primary outcomes (d = 0.50) favoring the treatment group. Gains were maintained at 6-month follow-up. Conclusion: The study has demonstrated the efficacy of the internet-delivered Space from Depression treatment. Participants demonstrated reliable and statistically significant changes in symptoms from pre-to post-intervention. The study supports a model for delivering online depression interventions population-wide using trained supporters. Trial registration number: Current Controlled Trials ISRCTN03704676. http://dx.doi.org/10.1186/ISRCTN03704676.","author":[{"dropping-particle":"","family":"Richards","given":"D.","non-dropping-particle":"","parse-names":false,"suffix":""},{"dropping-particle":"","family":"Timulak","given":"L.","non-dropping-particle":"","parse-names":false,"suffix":""},{"dropping-particle":"","family":"O'Brien","given":"E.","non-dropping-particle":"","parse-names":false,"suffix":""},{"dropping-particle":"","family":"Hayes","given":"C.","non-dropping-particle":"","parse-names":false,"suffix":""},{"dropping-particle":"","family":"Vigano","given":"N.","non-dropping-particle":"","parse-names":false,"suffix":""},{"dropping-particle":"","family":"Sharry","given":"J.","non-dropping-particle":"","parse-names":false,"suffix":""},{"dropping-particle":"","family":"Doherty","given":"G.","non-dropping-particle":"","parse-names":false,"suffix":""}],"container-title":"Behaviour Research and Therapy","id":"ITEM-1","issued":{"date-parts":[["2015"]]},"page":"20-31","publisher":"Elsevier Ltd","title":"A randomized controlled trial of an internet-delivered treatment: Its potential as a low-intensity community intervention for adults with symptoms of depression","type":"article-journal","volume":"75"},"uris":["http://www.mendeley.com/documents/?uuid=188212ae-cd18-4723-89d5-ff1f97f6cfd6"]}],"mendeley":{"formattedCitation":"(Richards &lt;i&gt;et al.&lt;/i&gt;, 2015)","manualFormatting":"Richards et al. (2015)","plainTextFormattedCitation":"(Richards et al., 2015)","previouslyFormattedCitation":"(Richards &lt;i&gt;et al.&lt;/i&gt;, 2015)"},"properties":{"noteIndex":0},"schema":"https://github.com/citation-style-language/schema/raw/master/csl-citation.json"}</w:instrText>
            </w:r>
            <w:r w:rsidRPr="00DF37E1">
              <w:fldChar w:fldCharType="separate"/>
            </w:r>
            <w:r w:rsidRPr="00DF37E1">
              <w:rPr>
                <w:noProof/>
              </w:rPr>
              <w:t>Richards et al. (2015)</w:t>
            </w:r>
            <w:r w:rsidRPr="00DF37E1">
              <w:fldChar w:fldCharType="end"/>
            </w:r>
          </w:p>
        </w:tc>
        <w:tc>
          <w:tcPr>
            <w:tcW w:w="336" w:type="pct"/>
            <w:tcBorders>
              <w:top w:val="nil"/>
              <w:left w:val="nil"/>
              <w:bottom w:val="nil"/>
              <w:right w:val="nil"/>
            </w:tcBorders>
            <w:vAlign w:val="center"/>
          </w:tcPr>
          <w:p w14:paraId="14895551" w14:textId="77777777" w:rsidR="00F1508E" w:rsidRPr="00DF37E1" w:rsidRDefault="00F1508E" w:rsidP="00D075F6">
            <w:pPr>
              <w:pStyle w:val="NoSpacing"/>
              <w:jc w:val="center"/>
            </w:pPr>
            <w:r w:rsidRPr="00DF37E1">
              <w:rPr>
                <w:noProof/>
                <w:lang w:eastAsia="en-GB"/>
              </w:rPr>
              <w:drawing>
                <wp:inline distT="0" distB="0" distL="0" distR="0" wp14:anchorId="484D6F50" wp14:editId="5DB42135">
                  <wp:extent cx="218962" cy="218962"/>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739AAF5B" w14:textId="77777777" w:rsidR="00F1508E" w:rsidRPr="00DF37E1" w:rsidRDefault="00F1508E" w:rsidP="00D075F6">
            <w:pPr>
              <w:pStyle w:val="NoSpacing"/>
              <w:jc w:val="center"/>
            </w:pPr>
            <w:r w:rsidRPr="00DF37E1">
              <w:rPr>
                <w:noProof/>
                <w:lang w:eastAsia="en-GB"/>
              </w:rPr>
              <w:drawing>
                <wp:inline distT="0" distB="0" distL="0" distR="0" wp14:anchorId="626AE397" wp14:editId="39AA02EE">
                  <wp:extent cx="218962" cy="218962"/>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10463956" w14:textId="77777777" w:rsidR="00F1508E" w:rsidRPr="00DF37E1" w:rsidRDefault="00F1508E" w:rsidP="00D075F6">
            <w:pPr>
              <w:pStyle w:val="NoSpacing"/>
              <w:jc w:val="center"/>
            </w:pPr>
            <w:r w:rsidRPr="00DF37E1">
              <w:rPr>
                <w:noProof/>
                <w:lang w:eastAsia="en-GB"/>
              </w:rPr>
              <w:drawing>
                <wp:inline distT="0" distB="0" distL="0" distR="0" wp14:anchorId="4A3F2D97" wp14:editId="74C4DE7B">
                  <wp:extent cx="218962" cy="218962"/>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tcPr>
          <w:p w14:paraId="711254B5"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3F9812B7" wp14:editId="4812BE09">
                  <wp:extent cx="218962" cy="218962"/>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674893FF" w14:textId="77777777" w:rsidR="00F1508E" w:rsidRPr="00DF37E1" w:rsidRDefault="00F1508E" w:rsidP="00D075F6">
            <w:pPr>
              <w:pStyle w:val="NoSpacing"/>
              <w:jc w:val="center"/>
            </w:pPr>
            <w:r w:rsidRPr="00DF37E1">
              <w:rPr>
                <w:noProof/>
                <w:lang w:eastAsia="en-GB"/>
              </w:rPr>
              <w:drawing>
                <wp:inline distT="0" distB="0" distL="0" distR="0" wp14:anchorId="12114B05" wp14:editId="3C77B9EF">
                  <wp:extent cx="218962" cy="218962"/>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66627B5F" w14:textId="77777777" w:rsidR="00F1508E" w:rsidRPr="00DF37E1" w:rsidRDefault="00F1508E" w:rsidP="00D075F6">
            <w:pPr>
              <w:pStyle w:val="NoSpacing"/>
              <w:jc w:val="center"/>
            </w:pPr>
            <w:r w:rsidRPr="00DF37E1">
              <w:rPr>
                <w:noProof/>
                <w:lang w:eastAsia="en-GB"/>
              </w:rPr>
              <w:drawing>
                <wp:inline distT="0" distB="0" distL="0" distR="0" wp14:anchorId="5824EBBA" wp14:editId="1B74199C">
                  <wp:extent cx="218962" cy="218962"/>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nil"/>
              <w:left w:val="nil"/>
              <w:bottom w:val="nil"/>
              <w:right w:val="nil"/>
            </w:tcBorders>
            <w:vAlign w:val="center"/>
          </w:tcPr>
          <w:p w14:paraId="6B23CE44" w14:textId="77777777" w:rsidR="00F1508E" w:rsidRPr="00DF37E1" w:rsidRDefault="00F1508E" w:rsidP="00D075F6">
            <w:pPr>
              <w:pStyle w:val="NoSpacing"/>
              <w:jc w:val="center"/>
            </w:pPr>
            <w:r w:rsidRPr="00DF37E1">
              <w:rPr>
                <w:noProof/>
                <w:lang w:eastAsia="en-GB"/>
              </w:rPr>
              <w:drawing>
                <wp:inline distT="0" distB="0" distL="0" distR="0" wp14:anchorId="500743BF" wp14:editId="41BEDA91">
                  <wp:extent cx="218962" cy="218962"/>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r w:rsidR="00F1508E" w:rsidRPr="00DF37E1" w14:paraId="1A9B407C" w14:textId="77777777" w:rsidTr="00D075F6">
        <w:tc>
          <w:tcPr>
            <w:tcW w:w="2648" w:type="pct"/>
            <w:tcBorders>
              <w:top w:val="nil"/>
              <w:left w:val="nil"/>
              <w:bottom w:val="nil"/>
              <w:right w:val="nil"/>
            </w:tcBorders>
            <w:vAlign w:val="center"/>
          </w:tcPr>
          <w:p w14:paraId="207F2B9B" w14:textId="77777777" w:rsidR="00F1508E" w:rsidRPr="00DF37E1" w:rsidRDefault="00F1508E" w:rsidP="00D075F6">
            <w:pPr>
              <w:pStyle w:val="NoSpacing"/>
            </w:pPr>
            <w:r w:rsidRPr="00DF37E1">
              <w:fldChar w:fldCharType="begin" w:fldLock="1"/>
            </w:r>
            <w:r>
              <w:instrText>ADDIN CSL_CITATION {"citationItems":[{"id":"ITEM-1","itemData":{"DOI":"10.1159/000084000","ISBN":"0033-3190 (Print)\\r0033-3190 (Linking)","ISSN":"00333190","PMID":"15832066","abstract":"Background: As many sufferers from phobic and panic (phobia/panic) disorders cannot get to suitable thera- pists, routine aspects of therapy were delegated to inter- net-accessed computer-aided self-help with or without exposure instructions. Methods: Phobia/panic referrals were randomised to computer-aided self-help via the in- ternet at home in a 2: 1 ratio either by self-exposure cog- nitive behaviour therapy (CBT) [FearFighter (FF), n = 45] or by minimal CBT without exposure [Managing Anxiety (MA), n = 23]. All had brief backup phone advice from a clinician concerning their computer guidance. Results: On self-ratings and blinded assessor ratings, patients im- proved equally with each form of self-help over 10 treat- ment weeks but signifi cantly more on 5 out of 10 mea- sures by week 14 (1-month follow-up) when the self-help included self-exposure instructions than when it did not. In accord with this, standardised effect sizes (Cohen’s d) indicated superiority of FF over MA on 5 measures by week 14. Satisfaction with treatment in all patients pooled correlated positively with improvement after treatment and at 1-month follow-up. Conclusions: At the end of treatment, computer-aided CBT self-help at home via the internet plus brief live helpline support was effective with or without exposure instructions, and at 1-month follow-up it was more effective on some measures if ex- posure instructions had been included. Analysis is need- ed of how non-exposure CBT produced its shorter-term effect.","author":[{"dropping-particle":"","family":"Schneider","given":"Andreas J.","non-dropping-particle":"","parse-names":false,"suffix":""},{"dropping-particle":"","family":"Mataix-Cols","given":"David","non-dropping-particle":"","parse-names":false,"suffix":""},{"dropping-particle":"","family":"Marks","given":"Isaac M.","non-dropping-particle":"","parse-names":false,"suffix":""},{"dropping-particle":"","family":"Bachofen","given":"Martin","non-dropping-particle":"","parse-names":false,"suffix":""}],"container-title":"Psychotherapy and Psychosomatics","id":"ITEM-1","issue":"3","issued":{"date-parts":[["2005"]]},"page":"154-164","title":"Internet-guided self-help with or without exposure therapy for phobic and panic disorders: A randomised controlled trial","type":"article-journal","volume":"74"},"uris":["http://www.mendeley.com/documents/?uuid=ee729c98-e0ea-448f-b956-bc4b309b18f6"]}],"mendeley":{"formattedCitation":"(Schneider &lt;i&gt;et al.&lt;/i&gt;, 2005)","manualFormatting":"Schneider, Mataix-Cols, Marks, &amp; Bachofen (2005)","plainTextFormattedCitation":"(Schneider et al., 2005)","previouslyFormattedCitation":"(Schneider &lt;i&gt;et al.&lt;/i&gt;, 2005)"},"properties":{"noteIndex":0},"schema":"https://github.com/citation-style-language/schema/raw/master/csl-citation.json"}</w:instrText>
            </w:r>
            <w:r w:rsidRPr="00DF37E1">
              <w:fldChar w:fldCharType="separate"/>
            </w:r>
            <w:r w:rsidRPr="00DF37E1">
              <w:rPr>
                <w:noProof/>
              </w:rPr>
              <w:t>Schneider, Mataix-Cols, Marks, &amp; Bachofen (2005)</w:t>
            </w:r>
            <w:r w:rsidRPr="00DF37E1">
              <w:fldChar w:fldCharType="end"/>
            </w:r>
          </w:p>
        </w:tc>
        <w:tc>
          <w:tcPr>
            <w:tcW w:w="336" w:type="pct"/>
            <w:tcBorders>
              <w:top w:val="nil"/>
              <w:left w:val="nil"/>
              <w:bottom w:val="nil"/>
              <w:right w:val="nil"/>
            </w:tcBorders>
            <w:vAlign w:val="center"/>
          </w:tcPr>
          <w:p w14:paraId="49B88E5C" w14:textId="77777777" w:rsidR="00F1508E" w:rsidRPr="00DF37E1" w:rsidRDefault="00F1508E" w:rsidP="00D075F6">
            <w:pPr>
              <w:pStyle w:val="NoSpacing"/>
              <w:jc w:val="center"/>
            </w:pPr>
            <w:r w:rsidRPr="00DF37E1">
              <w:rPr>
                <w:noProof/>
                <w:lang w:eastAsia="en-GB"/>
              </w:rPr>
              <w:drawing>
                <wp:inline distT="0" distB="0" distL="0" distR="0" wp14:anchorId="51D3C0E5" wp14:editId="439BF153">
                  <wp:extent cx="218962" cy="21896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483A29FA" w14:textId="77777777" w:rsidR="00F1508E" w:rsidRPr="00DF37E1" w:rsidRDefault="00F1508E" w:rsidP="00D075F6">
            <w:pPr>
              <w:pStyle w:val="NoSpacing"/>
              <w:jc w:val="center"/>
            </w:pPr>
            <w:r w:rsidRPr="00DF37E1">
              <w:rPr>
                <w:noProof/>
                <w:lang w:eastAsia="en-GB"/>
              </w:rPr>
              <w:drawing>
                <wp:inline distT="0" distB="0" distL="0" distR="0" wp14:anchorId="5085D8B7" wp14:editId="39D7BCF9">
                  <wp:extent cx="218962" cy="218962"/>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7A692B64" w14:textId="77777777" w:rsidR="00F1508E" w:rsidRPr="00DF37E1" w:rsidRDefault="00F1508E" w:rsidP="00D075F6">
            <w:pPr>
              <w:pStyle w:val="NoSpacing"/>
              <w:jc w:val="center"/>
            </w:pPr>
            <w:r w:rsidRPr="00DF37E1">
              <w:rPr>
                <w:noProof/>
                <w:lang w:eastAsia="en-GB"/>
              </w:rPr>
              <w:drawing>
                <wp:inline distT="0" distB="0" distL="0" distR="0" wp14:anchorId="247963CA" wp14:editId="5FF61339">
                  <wp:extent cx="218962" cy="218962"/>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tcPr>
          <w:p w14:paraId="2FB297C9"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7E4C5F8C" wp14:editId="52FA8900">
                  <wp:extent cx="218962" cy="218962"/>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7175C89E" w14:textId="77777777" w:rsidR="00F1508E" w:rsidRPr="00DF37E1" w:rsidRDefault="00F1508E" w:rsidP="00D075F6">
            <w:pPr>
              <w:pStyle w:val="NoSpacing"/>
              <w:jc w:val="center"/>
            </w:pPr>
            <w:r w:rsidRPr="00DF37E1">
              <w:rPr>
                <w:noProof/>
                <w:lang w:eastAsia="en-GB"/>
              </w:rPr>
              <w:drawing>
                <wp:inline distT="0" distB="0" distL="0" distR="0" wp14:anchorId="7066AAAD" wp14:editId="2DAE9B58">
                  <wp:extent cx="218962" cy="218962"/>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4E9E43FE" w14:textId="77777777" w:rsidR="00F1508E" w:rsidRPr="00DF37E1" w:rsidRDefault="00F1508E" w:rsidP="00D075F6">
            <w:pPr>
              <w:pStyle w:val="NoSpacing"/>
              <w:jc w:val="center"/>
            </w:pPr>
            <w:r w:rsidRPr="00DF37E1">
              <w:rPr>
                <w:noProof/>
                <w:lang w:eastAsia="en-GB"/>
              </w:rPr>
              <w:drawing>
                <wp:inline distT="0" distB="0" distL="0" distR="0" wp14:anchorId="1E8A5969" wp14:editId="3C94CDD6">
                  <wp:extent cx="218962" cy="218962"/>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nil"/>
              <w:left w:val="nil"/>
              <w:bottom w:val="nil"/>
              <w:right w:val="nil"/>
            </w:tcBorders>
            <w:vAlign w:val="center"/>
          </w:tcPr>
          <w:p w14:paraId="28A34503" w14:textId="77777777" w:rsidR="00F1508E" w:rsidRPr="00DF37E1" w:rsidRDefault="00F1508E" w:rsidP="00D075F6">
            <w:pPr>
              <w:pStyle w:val="NoSpacing"/>
              <w:jc w:val="center"/>
            </w:pPr>
            <w:r w:rsidRPr="00DF37E1">
              <w:rPr>
                <w:noProof/>
                <w:lang w:eastAsia="en-GB"/>
              </w:rPr>
              <w:drawing>
                <wp:inline distT="0" distB="0" distL="0" distR="0" wp14:anchorId="33A96987" wp14:editId="05423145">
                  <wp:extent cx="218962" cy="218962"/>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r w:rsidR="00F1508E" w:rsidRPr="00DF37E1" w14:paraId="590DB20D" w14:textId="77777777" w:rsidTr="00D075F6">
        <w:tc>
          <w:tcPr>
            <w:tcW w:w="2648" w:type="pct"/>
            <w:tcBorders>
              <w:top w:val="nil"/>
              <w:left w:val="nil"/>
              <w:bottom w:val="nil"/>
              <w:right w:val="nil"/>
            </w:tcBorders>
            <w:vAlign w:val="center"/>
          </w:tcPr>
          <w:p w14:paraId="510597F5" w14:textId="77777777" w:rsidR="00F1508E" w:rsidRPr="00DF37E1" w:rsidRDefault="00F1508E" w:rsidP="00D075F6">
            <w:pPr>
              <w:pStyle w:val="NoSpacing"/>
            </w:pPr>
            <w:r w:rsidRPr="00DF37E1">
              <w:fldChar w:fldCharType="begin" w:fldLock="1"/>
            </w:r>
            <w:r>
              <w:instrText>ADDIN CSL_CITATION {"citationItems":[{"id":"ITEM-1","itemData":{"DOI":"10.1111/ap.12006","ISBN":"0005-0067","ISSN":"00050067","abstract":"Barriers to accessing psychologists for the treatment of depression and anxiety include a shortage of specialised therapists, long waiting lists, and the affordability of therapy. This study examined the efficacy of a computerised-based self-help program (MoodGYM) delivered in-conjunction with face-to-face cognitive behavioural therapy (CBT) to expand the delivery avenues of psychological treatment for young adults (aged 18-25 years). Eighty-nine participants suffering from depression and/or generalised anxiety were randomly allocated to a control intervention or to one of three experimental groups: receiving face-to-face CBT, receiving computerised CBT (cCBT), or receiving treatment in-conjunction (face-to-face CBT and cCBT). While MoodGYM did not significantly decrease depression in comparison to the control group, significant decreases were found for anxiety. MoodGYM delivered in-conjunction with face-to-face CBT is more effective in treating symptoms of depression and anxiety compared with standalone face-to-face or cCBT. This study suggests that for youth who are unable to access face-to-face therapy-such as those in rural or remote regions, or for communities in which there is stigma attached to seeking help-computerised therapy may be a viable option. This is an important finding, especially in light of the current capacity-to-treat and accessibility problems faced by youth when seeking treatment for depression and/or anxiety.","author":[{"dropping-particle":"","family":"Sethi","given":"Suvena","non-dropping-particle":"","parse-names":false,"suffix":""}],"container-title":"Australian Psychologist","id":"ITEM-1","issue":"4","issued":{"date-parts":[["2013","8","14"]]},"page":"249-257","title":"Treating youth depression and anxiety: A randomised controlled trial examining the efficacy of computerised versus face-to-face cognitive behaviour therapy","type":"article-journal","volume":"48"},"uris":["http://www.mendeley.com/documents/?uuid=4debbf52-cde4-489b-8646-84748f78ad19"]}],"mendeley":{"formattedCitation":"(Sethi, 2013)","manualFormatting":"Sethi (2013)","plainTextFormattedCitation":"(Sethi, 2013)","previouslyFormattedCitation":"(Sethi, 2013)"},"properties":{"noteIndex":0},"schema":"https://github.com/citation-style-language/schema/raw/master/csl-citation.json"}</w:instrText>
            </w:r>
            <w:r w:rsidRPr="00DF37E1">
              <w:fldChar w:fldCharType="separate"/>
            </w:r>
            <w:r w:rsidRPr="00DF37E1">
              <w:rPr>
                <w:noProof/>
              </w:rPr>
              <w:t>Sethi (2013)</w:t>
            </w:r>
            <w:r w:rsidRPr="00DF37E1">
              <w:fldChar w:fldCharType="end"/>
            </w:r>
          </w:p>
        </w:tc>
        <w:tc>
          <w:tcPr>
            <w:tcW w:w="336" w:type="pct"/>
            <w:tcBorders>
              <w:top w:val="nil"/>
              <w:left w:val="nil"/>
              <w:bottom w:val="nil"/>
              <w:right w:val="nil"/>
            </w:tcBorders>
            <w:vAlign w:val="center"/>
          </w:tcPr>
          <w:p w14:paraId="5EA373B5" w14:textId="77777777" w:rsidR="00F1508E" w:rsidRPr="00DF37E1" w:rsidRDefault="00F1508E" w:rsidP="00D075F6">
            <w:pPr>
              <w:pStyle w:val="NoSpacing"/>
              <w:jc w:val="center"/>
            </w:pPr>
            <w:r w:rsidRPr="00DF37E1">
              <w:rPr>
                <w:noProof/>
                <w:lang w:eastAsia="en-GB"/>
              </w:rPr>
              <w:drawing>
                <wp:inline distT="0" distB="0" distL="0" distR="0" wp14:anchorId="5768D3A5" wp14:editId="6B8C47E4">
                  <wp:extent cx="218962" cy="218962"/>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3F9AE190" w14:textId="77777777" w:rsidR="00F1508E" w:rsidRPr="00DF37E1" w:rsidRDefault="00F1508E" w:rsidP="00D075F6">
            <w:pPr>
              <w:pStyle w:val="NoSpacing"/>
              <w:jc w:val="center"/>
            </w:pPr>
            <w:r w:rsidRPr="00DF37E1">
              <w:rPr>
                <w:noProof/>
                <w:lang w:eastAsia="en-GB"/>
              </w:rPr>
              <w:drawing>
                <wp:inline distT="0" distB="0" distL="0" distR="0" wp14:anchorId="7FAEE5B1" wp14:editId="73AEBED8">
                  <wp:extent cx="218962" cy="218962"/>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33CC1FFD" w14:textId="77777777" w:rsidR="00F1508E" w:rsidRPr="00DF37E1" w:rsidRDefault="00F1508E" w:rsidP="00D075F6">
            <w:pPr>
              <w:pStyle w:val="NoSpacing"/>
              <w:jc w:val="center"/>
            </w:pPr>
            <w:r w:rsidRPr="00DF37E1">
              <w:rPr>
                <w:noProof/>
                <w:lang w:eastAsia="en-GB"/>
              </w:rPr>
              <w:drawing>
                <wp:inline distT="0" distB="0" distL="0" distR="0" wp14:anchorId="11DC54F0" wp14:editId="4CB34764">
                  <wp:extent cx="218962" cy="218962"/>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tcPr>
          <w:p w14:paraId="38F3FC1C"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14C696C1" wp14:editId="21923245">
                  <wp:extent cx="218962" cy="218962"/>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031B97CA" w14:textId="77777777" w:rsidR="00F1508E" w:rsidRPr="00DF37E1" w:rsidRDefault="00F1508E" w:rsidP="00D075F6">
            <w:pPr>
              <w:pStyle w:val="NoSpacing"/>
              <w:jc w:val="center"/>
            </w:pPr>
            <w:r w:rsidRPr="00DF37E1">
              <w:rPr>
                <w:noProof/>
                <w:lang w:eastAsia="en-GB"/>
              </w:rPr>
              <w:drawing>
                <wp:inline distT="0" distB="0" distL="0" distR="0" wp14:anchorId="009F57D6" wp14:editId="7BF96D41">
                  <wp:extent cx="218962" cy="218962"/>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nil"/>
              <w:right w:val="nil"/>
            </w:tcBorders>
            <w:vAlign w:val="center"/>
          </w:tcPr>
          <w:p w14:paraId="549ADD26" w14:textId="77777777" w:rsidR="00F1508E" w:rsidRPr="00DF37E1" w:rsidRDefault="00F1508E" w:rsidP="00D075F6">
            <w:pPr>
              <w:pStyle w:val="NoSpacing"/>
              <w:jc w:val="center"/>
            </w:pPr>
            <w:r w:rsidRPr="00DF37E1">
              <w:rPr>
                <w:noProof/>
                <w:lang w:eastAsia="en-GB"/>
              </w:rPr>
              <w:drawing>
                <wp:inline distT="0" distB="0" distL="0" distR="0" wp14:anchorId="2AE13F84" wp14:editId="1E4E755C">
                  <wp:extent cx="218962" cy="218962"/>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nil"/>
              <w:left w:val="nil"/>
              <w:bottom w:val="nil"/>
              <w:right w:val="nil"/>
            </w:tcBorders>
            <w:vAlign w:val="center"/>
          </w:tcPr>
          <w:p w14:paraId="5422E08F" w14:textId="77777777" w:rsidR="00F1508E" w:rsidRPr="00DF37E1" w:rsidRDefault="00F1508E" w:rsidP="00D075F6">
            <w:pPr>
              <w:pStyle w:val="NoSpacing"/>
              <w:jc w:val="center"/>
            </w:pPr>
            <w:r w:rsidRPr="00DF37E1">
              <w:rPr>
                <w:noProof/>
                <w:lang w:eastAsia="en-GB"/>
              </w:rPr>
              <w:drawing>
                <wp:inline distT="0" distB="0" distL="0" distR="0" wp14:anchorId="42F90C0F" wp14:editId="675079C8">
                  <wp:extent cx="218962" cy="218962"/>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r w:rsidR="00F1508E" w:rsidRPr="00DF37E1" w14:paraId="3BC762A8" w14:textId="77777777" w:rsidTr="00D075F6">
        <w:tc>
          <w:tcPr>
            <w:tcW w:w="2648" w:type="pct"/>
            <w:tcBorders>
              <w:top w:val="nil"/>
              <w:left w:val="nil"/>
              <w:bottom w:val="single" w:sz="4" w:space="0" w:color="auto"/>
              <w:right w:val="nil"/>
            </w:tcBorders>
            <w:vAlign w:val="center"/>
          </w:tcPr>
          <w:p w14:paraId="7D749055" w14:textId="77777777" w:rsidR="00F1508E" w:rsidRPr="00DF37E1" w:rsidRDefault="00F1508E" w:rsidP="00D075F6">
            <w:pPr>
              <w:pStyle w:val="NoSpacing"/>
            </w:pPr>
            <w:r w:rsidRPr="00DF37E1">
              <w:fldChar w:fldCharType="begin" w:fldLock="1"/>
            </w:r>
            <w:r>
              <w:instrText>ADDIN CSL_CITATION {"citationItems":[{"id":"ITEM-1","itemData":{"DOI":"10.1111/bjc.12055","ISBN":"0144-6657 IL:0144-6657","ISSN":"20448260","PMID":"24831119","abstract":"OBJECTIVES: To evaluate the effectiveness of the computerized CBT (cCBT) programme, MoodGYM, for the reduction in symptoms of general psychological distress (the primary outcome), depression, anxiety, stress, and impaired daily functioning.\\n\\nDESIGN: A randomized controlled trial, with a waiting list control condition, in a routine clinical setting.\\n\\nMETHODS: Participants were 149 public mental health service users (aged 18-61 [M = 35.3 years; SD = 10.3]) waiting for interventions. Self-report outcome measures were administered online at baseline and post-intervention (i.e., after 32 days).\\n\\nRESULTS: After high dropout rates, a post-intervention completers analysis examined 28 MoodGYM participants and 38 waiting list control participants. MoodGYM was significantly more effective than the waiting list control for the reduction of symptoms of general psychological distress (F[1, 64] = 4.45; p &lt; .05) and stress (F[1, 64] = 5.35; p &lt; .05) but not depression, anxiety, or impaired daily functioning.\\n\\nCONCLUSIONS: Due to their high associated dropout rates, self-help cCBT programmes such as MoodGYM should not be provided as front-line treatments. However, as it is likely to be agreeable and beneficial to some service users, perhaps self-help cCBT should be provided as an additional treatment option.\\n\\nPRACTITIONER POINTS: Computerized CBT has predominantly been evaluated in 'efficacy' trials which often include motivated, self-referred participants unrepresentative of clinical populations. Multi-site recruitment in the present trial allowed participants with characteristics typical of public mental health service users across Ireland to be included. MoodGYM's effectiveness was demonstrated for the primary outcome, general psychological distress symptoms, and one of four secondary outcomes (i.e., stress symptoms). However, 56.3% of MoodGYM participants (and 85% of males) dropped out of the study, limiting the validity of findings. Feedback to MoodGYM (for those who engaged with it) was generally positive (e.g., 68% of respondents would recommend MoodGYM to a friend if they needed some help). However, 73% of MoodGYM participants did not complete all five sessions. Due to their limited effectiveness and high associated dropout rates, self-help cCBT programmes such as MoodGYM should not be provided as front-line treatments, in place of higher intensity interventions such as one-to-one psychotherapy. However, as it is likely to be agreeable and beneficial t…","author":[{"dropping-particle":"","family":"Twomey","given":"Conal","non-dropping-particle":"","parse-names":false,"suffix":""},{"dropping-particle":"","family":"O'Reilly","given":"Gary","non-dropping-particle":"","parse-names":false,"suffix":""},{"dropping-particle":"","family":"Byrne","given":"Michael","non-dropping-particle":"","parse-names":false,"suffix":""},{"dropping-particle":"","family":"Bury","given":"Matthew","non-dropping-particle":"","parse-names":false,"suffix":""},{"dropping-particle":"","family":"White","given":"Aisling","non-dropping-particle":"","parse-names":false,"suffix":""},{"dropping-particle":"","family":"Kissane","given":"Sheila","non-dropping-particle":"","parse-names":false,"suffix":""},{"dropping-particle":"","family":"McMahon","given":"Aisling","non-dropping-particle":"","parse-names":false,"suffix":""},{"dropping-particle":"","family":"Clancy","given":"Nicola","non-dropping-particle":"","parse-names":false,"suffix":""}],"container-title":"British Journal of Clinical Psychology","id":"ITEM-1","issue":"4","issued":{"date-parts":[["2014","11"]]},"page":"433-450","title":"A randomized controlled trial of the computerized CBT programme, MoodGYM, for public mental health service users waiting for interventions","type":"article-journal","volume":"53"},"uris":["http://www.mendeley.com/documents/?uuid=7f8117c1-d882-4c82-b22d-78eda461af33"]}],"mendeley":{"formattedCitation":"(Twomey &lt;i&gt;et al.&lt;/i&gt;, 2014)","manualFormatting":"Twomey et al. (2014)","plainTextFormattedCitation":"(Twomey et al., 2014)","previouslyFormattedCitation":"(Twomey &lt;i&gt;et al.&lt;/i&gt;, 2014)"},"properties":{"noteIndex":0},"schema":"https://github.com/citation-style-language/schema/raw/master/csl-citation.json"}</w:instrText>
            </w:r>
            <w:r w:rsidRPr="00DF37E1">
              <w:fldChar w:fldCharType="separate"/>
            </w:r>
            <w:r w:rsidRPr="00DF37E1">
              <w:rPr>
                <w:noProof/>
              </w:rPr>
              <w:t>Twomey et al. (2014)</w:t>
            </w:r>
            <w:r w:rsidRPr="00DF37E1">
              <w:fldChar w:fldCharType="end"/>
            </w:r>
          </w:p>
        </w:tc>
        <w:tc>
          <w:tcPr>
            <w:tcW w:w="336" w:type="pct"/>
            <w:tcBorders>
              <w:top w:val="nil"/>
              <w:left w:val="nil"/>
              <w:bottom w:val="single" w:sz="4" w:space="0" w:color="auto"/>
              <w:right w:val="nil"/>
            </w:tcBorders>
            <w:vAlign w:val="center"/>
          </w:tcPr>
          <w:p w14:paraId="7BD2177E" w14:textId="77777777" w:rsidR="00F1508E" w:rsidRPr="00DF37E1" w:rsidRDefault="00F1508E" w:rsidP="00D075F6">
            <w:pPr>
              <w:pStyle w:val="NoSpacing"/>
              <w:jc w:val="center"/>
            </w:pPr>
            <w:r w:rsidRPr="00DF37E1">
              <w:rPr>
                <w:noProof/>
                <w:lang w:eastAsia="en-GB"/>
              </w:rPr>
              <w:drawing>
                <wp:inline distT="0" distB="0" distL="0" distR="0" wp14:anchorId="155CE1CC" wp14:editId="274F176B">
                  <wp:extent cx="218962" cy="218962"/>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single" w:sz="4" w:space="0" w:color="auto"/>
              <w:right w:val="nil"/>
            </w:tcBorders>
            <w:vAlign w:val="center"/>
          </w:tcPr>
          <w:p w14:paraId="45DC3E79" w14:textId="77777777" w:rsidR="00F1508E" w:rsidRPr="00DF37E1" w:rsidRDefault="00F1508E" w:rsidP="00D075F6">
            <w:pPr>
              <w:pStyle w:val="NoSpacing"/>
              <w:jc w:val="center"/>
            </w:pPr>
            <w:r w:rsidRPr="00DF37E1">
              <w:rPr>
                <w:noProof/>
                <w:lang w:eastAsia="en-GB"/>
              </w:rPr>
              <w:drawing>
                <wp:inline distT="0" distB="0" distL="0" distR="0" wp14:anchorId="20422237" wp14:editId="24275041">
                  <wp:extent cx="218962" cy="218962"/>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single" w:sz="4" w:space="0" w:color="auto"/>
              <w:right w:val="nil"/>
            </w:tcBorders>
            <w:vAlign w:val="center"/>
          </w:tcPr>
          <w:p w14:paraId="2D5591FB" w14:textId="77777777" w:rsidR="00F1508E" w:rsidRPr="00DF37E1" w:rsidRDefault="00F1508E" w:rsidP="00D075F6">
            <w:pPr>
              <w:pStyle w:val="NoSpacing"/>
              <w:jc w:val="center"/>
            </w:pPr>
            <w:r w:rsidRPr="00DF37E1">
              <w:rPr>
                <w:noProof/>
                <w:lang w:eastAsia="en-GB"/>
              </w:rPr>
              <w:drawing>
                <wp:inline distT="0" distB="0" distL="0" distR="0" wp14:anchorId="133E90E7" wp14:editId="6249A5BD">
                  <wp:extent cx="218962" cy="218962"/>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single" w:sz="4" w:space="0" w:color="auto"/>
              <w:right w:val="nil"/>
            </w:tcBorders>
          </w:tcPr>
          <w:p w14:paraId="46CE24D9" w14:textId="77777777" w:rsidR="00F1508E" w:rsidRPr="00DF37E1" w:rsidRDefault="00F1508E" w:rsidP="00D075F6">
            <w:pPr>
              <w:pStyle w:val="NoSpacing"/>
              <w:jc w:val="center"/>
              <w:rPr>
                <w:noProof/>
                <w:lang w:eastAsia="en-GB"/>
              </w:rPr>
            </w:pPr>
            <w:r w:rsidRPr="00DF37E1">
              <w:rPr>
                <w:noProof/>
                <w:lang w:eastAsia="en-GB"/>
              </w:rPr>
              <w:drawing>
                <wp:inline distT="0" distB="0" distL="0" distR="0" wp14:anchorId="3E6829DD" wp14:editId="3D1AD3D5">
                  <wp:extent cx="218962" cy="218962"/>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unclear.png"/>
                          <pic:cNvPicPr/>
                        </pic:nvPicPr>
                        <pic:blipFill>
                          <a:blip r:embed="rId20">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single" w:sz="4" w:space="0" w:color="auto"/>
              <w:right w:val="nil"/>
            </w:tcBorders>
            <w:vAlign w:val="center"/>
          </w:tcPr>
          <w:p w14:paraId="6D686A6D" w14:textId="77777777" w:rsidR="00F1508E" w:rsidRPr="00DF37E1" w:rsidRDefault="00F1508E" w:rsidP="00D075F6">
            <w:pPr>
              <w:pStyle w:val="NoSpacing"/>
              <w:jc w:val="center"/>
            </w:pPr>
            <w:r w:rsidRPr="00DF37E1">
              <w:rPr>
                <w:noProof/>
                <w:lang w:eastAsia="en-GB"/>
              </w:rPr>
              <w:drawing>
                <wp:inline distT="0" distB="0" distL="0" distR="0" wp14:anchorId="493D7655" wp14:editId="55F1808E">
                  <wp:extent cx="218962" cy="218962"/>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6" w:type="pct"/>
            <w:tcBorders>
              <w:top w:val="nil"/>
              <w:left w:val="nil"/>
              <w:bottom w:val="single" w:sz="4" w:space="0" w:color="auto"/>
              <w:right w:val="nil"/>
            </w:tcBorders>
            <w:vAlign w:val="center"/>
          </w:tcPr>
          <w:p w14:paraId="59C7D061" w14:textId="77777777" w:rsidR="00F1508E" w:rsidRPr="00DF37E1" w:rsidRDefault="00F1508E" w:rsidP="00D075F6">
            <w:pPr>
              <w:pStyle w:val="NoSpacing"/>
              <w:jc w:val="center"/>
            </w:pPr>
            <w:r w:rsidRPr="00DF37E1">
              <w:rPr>
                <w:noProof/>
                <w:lang w:eastAsia="en-GB"/>
              </w:rPr>
              <w:drawing>
                <wp:inline distT="0" distB="0" distL="0" distR="0" wp14:anchorId="2CDDB415" wp14:editId="50526411">
                  <wp:extent cx="218962" cy="218962"/>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wRisk.png"/>
                          <pic:cNvPicPr/>
                        </pic:nvPicPr>
                        <pic:blipFill>
                          <a:blip r:embed="rId18">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c>
          <w:tcPr>
            <w:tcW w:w="335" w:type="pct"/>
            <w:tcBorders>
              <w:top w:val="nil"/>
              <w:left w:val="nil"/>
              <w:bottom w:val="single" w:sz="4" w:space="0" w:color="auto"/>
              <w:right w:val="nil"/>
            </w:tcBorders>
            <w:vAlign w:val="center"/>
          </w:tcPr>
          <w:p w14:paraId="619211F2" w14:textId="77777777" w:rsidR="00F1508E" w:rsidRPr="00DF37E1" w:rsidRDefault="00F1508E" w:rsidP="00D075F6">
            <w:pPr>
              <w:pStyle w:val="NoSpacing"/>
              <w:jc w:val="center"/>
            </w:pPr>
            <w:r w:rsidRPr="00DF37E1">
              <w:rPr>
                <w:noProof/>
                <w:lang w:eastAsia="en-GB"/>
              </w:rPr>
              <w:drawing>
                <wp:inline distT="0" distB="0" distL="0" distR="0" wp14:anchorId="03D5C33C" wp14:editId="3AAF8D38">
                  <wp:extent cx="218962" cy="218962"/>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ighRisk.png"/>
                          <pic:cNvPicPr/>
                        </pic:nvPicPr>
                        <pic:blipFill>
                          <a:blip r:embed="rId19">
                            <a:extLst>
                              <a:ext uri="{28A0092B-C50C-407E-A947-70E740481C1C}">
                                <a14:useLocalDpi xmlns:a14="http://schemas.microsoft.com/office/drawing/2010/main" val="0"/>
                              </a:ext>
                            </a:extLst>
                          </a:blip>
                          <a:stretch>
                            <a:fillRect/>
                          </a:stretch>
                        </pic:blipFill>
                        <pic:spPr>
                          <a:xfrm>
                            <a:off x="0" y="0"/>
                            <a:ext cx="218962" cy="218962"/>
                          </a:xfrm>
                          <a:prstGeom prst="rect">
                            <a:avLst/>
                          </a:prstGeom>
                        </pic:spPr>
                      </pic:pic>
                    </a:graphicData>
                  </a:graphic>
                </wp:inline>
              </w:drawing>
            </w:r>
          </w:p>
        </w:tc>
      </w:tr>
    </w:tbl>
    <w:p w14:paraId="6B209687" w14:textId="77777777" w:rsidR="00F1508E" w:rsidRDefault="00F1508E" w:rsidP="00F1508E">
      <w:pPr>
        <w:rPr>
          <w:rFonts w:cs="Arial"/>
          <w:i/>
          <w:sz w:val="16"/>
          <w:szCs w:val="24"/>
        </w:rPr>
      </w:pPr>
      <w:r w:rsidRPr="00066620">
        <w:rPr>
          <w:rFonts w:ascii="Times New Roman" w:hAnsi="Times New Roman" w:cs="Times New Roman"/>
          <w:i/>
          <w:sz w:val="18"/>
          <w:szCs w:val="18"/>
        </w:rPr>
        <w:t xml:space="preserve">Note: </w:t>
      </w:r>
      <w:r w:rsidRPr="00366B65">
        <w:rPr>
          <w:rFonts w:cs="Arial"/>
          <w:i/>
          <w:sz w:val="16"/>
          <w:szCs w:val="24"/>
        </w:rPr>
        <w:t xml:space="preserve">1 – </w:t>
      </w:r>
      <w:r>
        <w:rPr>
          <w:rFonts w:cs="Arial"/>
          <w:i/>
          <w:sz w:val="16"/>
          <w:szCs w:val="24"/>
        </w:rPr>
        <w:t>R</w:t>
      </w:r>
      <w:r w:rsidRPr="00366B65">
        <w:rPr>
          <w:rFonts w:cs="Arial"/>
          <w:i/>
          <w:sz w:val="16"/>
          <w:szCs w:val="24"/>
        </w:rPr>
        <w:t>andom sequence generation</w:t>
      </w:r>
      <w:r>
        <w:rPr>
          <w:rFonts w:cs="Arial"/>
          <w:i/>
          <w:sz w:val="16"/>
          <w:szCs w:val="24"/>
        </w:rPr>
        <w:t xml:space="preserve"> (selection bias)</w:t>
      </w:r>
      <w:r w:rsidRPr="00366B65">
        <w:rPr>
          <w:rFonts w:cs="Arial"/>
          <w:i/>
          <w:sz w:val="16"/>
          <w:szCs w:val="24"/>
        </w:rPr>
        <w:t xml:space="preserve">, 2 – </w:t>
      </w:r>
      <w:r>
        <w:rPr>
          <w:rFonts w:cs="Arial"/>
          <w:i/>
          <w:sz w:val="16"/>
          <w:szCs w:val="24"/>
        </w:rPr>
        <w:t>A</w:t>
      </w:r>
      <w:r w:rsidRPr="00366B65">
        <w:rPr>
          <w:rFonts w:cs="Arial"/>
          <w:i/>
          <w:sz w:val="16"/>
          <w:szCs w:val="24"/>
        </w:rPr>
        <w:t>llocation concealment</w:t>
      </w:r>
      <w:r>
        <w:rPr>
          <w:rFonts w:cs="Arial"/>
          <w:i/>
          <w:sz w:val="16"/>
          <w:szCs w:val="24"/>
        </w:rPr>
        <w:t xml:space="preserve"> (selection bias)</w:t>
      </w:r>
      <w:r w:rsidRPr="00366B65">
        <w:rPr>
          <w:rFonts w:cs="Arial"/>
          <w:i/>
          <w:sz w:val="16"/>
          <w:szCs w:val="24"/>
        </w:rPr>
        <w:t xml:space="preserve">, 3 – </w:t>
      </w:r>
      <w:r w:rsidRPr="00A3798A">
        <w:rPr>
          <w:rFonts w:cs="Arial"/>
          <w:i/>
          <w:noProof/>
          <w:sz w:val="16"/>
          <w:szCs w:val="24"/>
        </w:rPr>
        <w:t>Blinding of participants and personnel (performance bias), 4</w:t>
      </w:r>
      <w:r w:rsidRPr="00366B65">
        <w:rPr>
          <w:rFonts w:cs="Arial"/>
          <w:i/>
          <w:sz w:val="16"/>
          <w:szCs w:val="24"/>
        </w:rPr>
        <w:t xml:space="preserve"> – </w:t>
      </w:r>
      <w:r>
        <w:rPr>
          <w:rFonts w:cs="Arial"/>
          <w:i/>
          <w:sz w:val="16"/>
          <w:szCs w:val="24"/>
        </w:rPr>
        <w:t>Blinding of outcome assessment (performance bias), 5 – I</w:t>
      </w:r>
      <w:r w:rsidRPr="00366B65">
        <w:rPr>
          <w:rFonts w:cs="Arial"/>
          <w:i/>
          <w:sz w:val="16"/>
          <w:szCs w:val="24"/>
        </w:rPr>
        <w:t>ncomplete outcome data</w:t>
      </w:r>
      <w:r>
        <w:rPr>
          <w:rFonts w:cs="Arial"/>
          <w:i/>
          <w:sz w:val="16"/>
          <w:szCs w:val="24"/>
        </w:rPr>
        <w:t xml:space="preserve"> (attrition bias)</w:t>
      </w:r>
      <w:r w:rsidRPr="00366B65">
        <w:rPr>
          <w:rFonts w:cs="Arial"/>
          <w:i/>
          <w:sz w:val="16"/>
          <w:szCs w:val="24"/>
        </w:rPr>
        <w:t xml:space="preserve">, </w:t>
      </w:r>
      <w:r>
        <w:rPr>
          <w:rFonts w:cs="Arial"/>
          <w:i/>
          <w:sz w:val="16"/>
          <w:szCs w:val="24"/>
        </w:rPr>
        <w:t>6</w:t>
      </w:r>
      <w:r w:rsidRPr="00366B65">
        <w:rPr>
          <w:rFonts w:cs="Arial"/>
          <w:i/>
          <w:sz w:val="16"/>
          <w:szCs w:val="24"/>
        </w:rPr>
        <w:t xml:space="preserve"> – selective outcome reporting,</w:t>
      </w:r>
      <w:r>
        <w:rPr>
          <w:rFonts w:cs="Arial"/>
          <w:i/>
          <w:sz w:val="16"/>
          <w:szCs w:val="24"/>
        </w:rPr>
        <w:t xml:space="preserve"> 7</w:t>
      </w:r>
      <w:r w:rsidRPr="00366B65">
        <w:rPr>
          <w:rFonts w:cs="Arial"/>
          <w:i/>
          <w:sz w:val="16"/>
          <w:szCs w:val="24"/>
        </w:rPr>
        <w:t xml:space="preserve"> – other potential threats to validity</w:t>
      </w:r>
    </w:p>
    <w:p w14:paraId="5C3BAE87" w14:textId="77777777" w:rsidR="00F1508E" w:rsidRDefault="00F1508E" w:rsidP="00F1508E">
      <w:pPr>
        <w:pStyle w:val="Caption"/>
        <w:keepNext/>
        <w:sectPr w:rsidR="00F1508E" w:rsidSect="00452C07">
          <w:pgSz w:w="16838" w:h="11906" w:orient="landscape"/>
          <w:pgMar w:top="851" w:right="851" w:bottom="851" w:left="1134" w:header="708" w:footer="708" w:gutter="0"/>
          <w:cols w:space="708"/>
          <w:docGrid w:linePitch="360"/>
        </w:sectPr>
      </w:pPr>
    </w:p>
    <w:p w14:paraId="78A36A0D" w14:textId="315A11CF" w:rsidR="00F1508E" w:rsidRDefault="00F1508E" w:rsidP="00F1508E">
      <w:pPr>
        <w:pStyle w:val="Caption"/>
        <w:keepNext/>
      </w:pPr>
      <w:bookmarkStart w:id="233" w:name="_Ref530650039"/>
      <w:bookmarkStart w:id="234" w:name="_Toc530684652"/>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4</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1</w:t>
      </w:r>
      <w:r w:rsidR="00371DCC">
        <w:fldChar w:fldCharType="end"/>
      </w:r>
      <w:bookmarkEnd w:id="233"/>
      <w:r>
        <w:t xml:space="preserve"> Risk of bias graph</w:t>
      </w:r>
      <w:bookmarkEnd w:id="234"/>
    </w:p>
    <w:p w14:paraId="30285BFA" w14:textId="77777777" w:rsidR="00F1508E" w:rsidRDefault="00F1508E" w:rsidP="00F1508E">
      <w:r>
        <w:rPr>
          <w:rFonts w:cs="Arial"/>
          <w:i/>
          <w:noProof/>
          <w:sz w:val="16"/>
          <w:szCs w:val="24"/>
          <w:lang w:eastAsia="en-GB"/>
        </w:rPr>
        <w:drawing>
          <wp:inline distT="0" distB="0" distL="0" distR="0" wp14:anchorId="7BC96E90" wp14:editId="79A3869E">
            <wp:extent cx="5731507" cy="2421231"/>
            <wp:effectExtent l="0" t="0" r="317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Risk of bias graph.png"/>
                    <pic:cNvPicPr/>
                  </pic:nvPicPr>
                  <pic:blipFill>
                    <a:blip r:embed="rId21"/>
                    <a:stretch>
                      <a:fillRect/>
                    </a:stretch>
                  </pic:blipFill>
                  <pic:spPr>
                    <a:xfrm>
                      <a:off x="0" y="0"/>
                      <a:ext cx="5731507" cy="2421231"/>
                    </a:xfrm>
                    <a:prstGeom prst="rect">
                      <a:avLst/>
                    </a:prstGeom>
                  </pic:spPr>
                </pic:pic>
              </a:graphicData>
            </a:graphic>
          </wp:inline>
        </w:drawing>
      </w:r>
    </w:p>
    <w:p w14:paraId="175D44FD" w14:textId="77777777" w:rsidR="00F1508E" w:rsidRPr="00FD140F" w:rsidRDefault="00F1508E" w:rsidP="008906D6">
      <w:pPr>
        <w:pStyle w:val="Heading3"/>
      </w:pPr>
      <w:bookmarkStart w:id="235" w:name="_Toc530660500"/>
      <w:bookmarkStart w:id="236" w:name="_Toc3538101"/>
      <w:r>
        <w:t>Between-Group Effect Sizes</w:t>
      </w:r>
      <w:bookmarkEnd w:id="235"/>
      <w:bookmarkEnd w:id="236"/>
    </w:p>
    <w:p w14:paraId="702C561B" w14:textId="0F17238D" w:rsidR="00F1508E" w:rsidRDefault="00F1508E" w:rsidP="00F1508E">
      <w:r>
        <w:t>The effect sizes are the calculated standardised difference found between e</w:t>
      </w:r>
      <w:r>
        <w:noBreakHyphen/>
        <w:t xml:space="preserve">therapy and active or passive controls </w:t>
      </w:r>
      <w:r>
        <w:fldChar w:fldCharType="begin" w:fldLock="1"/>
      </w:r>
      <w:r>
        <w:instrText>ADDIN CSL_CITATION {"citationItems":[{"id":"ITEM-1","itemData":{"DOI":"10.1002/9780470743386","ISBN":"9780470743386","abstract":"This text provides a concise and clearly presented discussion of all the elements in a meta-analysis. It is illustrated with worked examples throughout, with visual explanations, using screenshots from Excel spreadsheets and computer programs such as Comprehensive Meta-Analysis (CMA) or Strata. pt. 1. Introduction -- pt. 2. Effect size and precision -- pt. 3. Fixed-effect versus random-effects models -- pt. 4. Heterogeneity -- pt. 5. Complex data structures -- pt. 6. Other issues -- pt. 7. Issues related to effect size -- pt. 8. Further methods -- pt. 9. Meta-analysis in context -- pt. 10. Resources and software.","author":[{"dropping-particle":"","family":"Borenstein","given":"Michael.","non-dropping-particle":"","parse-names":false,"suffix":""},{"dropping-particle":"","family":"Wiley InterScience (Online service)","given":"","non-dropping-particle":"","parse-names":false,"suffix":""},{"dropping-particle":"V.","family":"Hedges","given":"Larry","non-dropping-particle":"","parse-names":false,"suffix":""},{"dropping-particle":"","family":"Higgins","given":"Julian P. T.","non-dropping-particle":"","parse-names":false,"suffix":""},{"dropping-particle":"","family":"Rothstein","given":"Hannah R.","non-dropping-particle":"","parse-names":false,"suffix":""}],"id":"ITEM-1","issued":{"date-parts":[["2009","3","13"]]},"number-of-pages":"421","publisher":"John Wiley &amp; Sons","publisher-place":"Chichester, UK","title":"Introduction to meta-analysis","type":"book"},"uris":["http://www.mendeley.com/documents/?uuid=f901e2a9-10b6-4785-9b00-ca01f3390c4b"]}],"mendeley":{"formattedCitation":"(Borenstein &lt;i&gt;et al.&lt;/i&gt;, 2009)","plainTextFormattedCitation":"(Borenstein et al., 2009)","previouslyFormattedCitation":"(Borenstein &lt;i&gt;et al.&lt;/i&gt;, 2009)"},"properties":{"noteIndex":0},"schema":"https://github.com/citation-style-language/schema/raw/master/csl-citation.json"}</w:instrText>
      </w:r>
      <w:r>
        <w:fldChar w:fldCharType="separate"/>
      </w:r>
      <w:r w:rsidRPr="00D43C5A">
        <w:rPr>
          <w:noProof/>
        </w:rPr>
        <w:t xml:space="preserve">(Borenstein </w:t>
      </w:r>
      <w:r w:rsidRPr="00D43C5A">
        <w:rPr>
          <w:i/>
          <w:noProof/>
        </w:rPr>
        <w:t>et al.</w:t>
      </w:r>
      <w:r w:rsidRPr="00D43C5A">
        <w:rPr>
          <w:noProof/>
        </w:rPr>
        <w:t>, 2009)</w:t>
      </w:r>
      <w:r>
        <w:fldChar w:fldCharType="end"/>
      </w:r>
      <w:r>
        <w:t>.  In order to calculate the between group end of treatment effect sizes, the e</w:t>
      </w:r>
      <w:r>
        <w:noBreakHyphen/>
        <w:t xml:space="preserve">therapy group end of treatment score was deducted from the control group end of treatment score (active or passive) and then divided by the pooled </w:t>
      </w:r>
      <w:r w:rsidRPr="008F53AB">
        <w:t>SD</w:t>
      </w:r>
      <w:r>
        <w:t xml:space="preserve"> </w:t>
      </w:r>
      <w:r>
        <w:fldChar w:fldCharType="begin" w:fldLock="1"/>
      </w:r>
      <w:r>
        <w:instrText>ADDIN CSL_CITATION {"citationItems":[{"id":"ITEM-1","itemData":{"DOI":"10.1002/9780470743386","ISBN":"9780470743386","abstract":"This text provides a concise and clearly presented discussion of all the elements in a meta-analysis. It is illustrated with worked examples throughout, with visual explanations, using screenshots from Excel spreadsheets and computer programs such as Comprehensive Meta-Analysis (CMA) or Strata. pt. 1. Introduction -- pt. 2. Effect size and precision -- pt. 3. Fixed-effect versus random-effects models -- pt. 4. Heterogeneity -- pt. 5. Complex data structures -- pt. 6. Other issues -- pt. 7. Issues related to effect size -- pt. 8. Further methods -- pt. 9. Meta-analysis in context -- pt. 10. Resources and software.","author":[{"dropping-particle":"","family":"Borenstein","given":"Michael.","non-dropping-particle":"","parse-names":false,"suffix":""},{"dropping-particle":"","family":"Wiley InterScience (Online service)","given":"","non-dropping-particle":"","parse-names":false,"suffix":""},{"dropping-particle":"V.","family":"Hedges","given":"Larry","non-dropping-particle":"","parse-names":false,"suffix":""},{"dropping-particle":"","family":"Higgins","given":"Julian P. T.","non-dropping-particle":"","parse-names":false,"suffix":""},{"dropping-particle":"","family":"Rothstein","given":"Hannah R.","non-dropping-particle":"","parse-names":false,"suffix":""}],"id":"ITEM-1","issued":{"date-parts":[["2009","3","13"]]},"number-of-pages":"421","publisher":"John Wiley &amp; Sons","publisher-place":"Chichester, UK","title":"Introduction to meta-analysis","type":"book"},"uris":["http://www.mendeley.com/documents/?uuid=f901e2a9-10b6-4785-9b00-ca01f3390c4b"]}],"mendeley":{"formattedCitation":"(Borenstein &lt;i&gt;et al.&lt;/i&gt;, 2009)","plainTextFormattedCitation":"(Borenstein et al., 2009)","previouslyFormattedCitation":"(Borenstein &lt;i&gt;et al.&lt;/i&gt;, 2009)"},"properties":{"noteIndex":0},"schema":"https://github.com/citation-style-language/schema/raw/master/csl-citation.json"}</w:instrText>
      </w:r>
      <w:r>
        <w:fldChar w:fldCharType="separate"/>
      </w:r>
      <w:r w:rsidRPr="00D43C5A">
        <w:rPr>
          <w:noProof/>
        </w:rPr>
        <w:t xml:space="preserve">(Borenstein </w:t>
      </w:r>
      <w:r w:rsidRPr="00D43C5A">
        <w:rPr>
          <w:i/>
          <w:noProof/>
        </w:rPr>
        <w:t>et al.</w:t>
      </w:r>
      <w:r w:rsidRPr="00D43C5A">
        <w:rPr>
          <w:noProof/>
        </w:rPr>
        <w:t>, 2009)</w:t>
      </w:r>
      <w:r>
        <w:fldChar w:fldCharType="end"/>
      </w:r>
      <w:r>
        <w:t>.</w:t>
      </w:r>
      <w:r w:rsidRPr="008F53AB">
        <w:t xml:space="preserve"> </w:t>
      </w:r>
      <w:r>
        <w:t xml:space="preserve"> Only completer’s data was used as intention-to-treat (ITT) outcome data was not available for all of the studies.  Due to many of the trials having small sample sizes the effect sizes were revised using an adjustment, </w:t>
      </w:r>
      <w:r w:rsidRPr="00E16976">
        <w:rPr>
          <w:i/>
        </w:rPr>
        <w:t>J</w:t>
      </w:r>
      <w:r>
        <w:rPr>
          <w:i/>
        </w:rPr>
        <w:t>,</w:t>
      </w:r>
      <w:r w:rsidRPr="00E16976">
        <w:t xml:space="preserve"> to convert effect sizes</w:t>
      </w:r>
      <w:r>
        <w:t xml:space="preserve"> to Hedge’s </w:t>
      </w:r>
      <w:r w:rsidRPr="00E16976">
        <w:rPr>
          <w:i/>
        </w:rPr>
        <w:t>g</w:t>
      </w:r>
      <w:r>
        <w:t xml:space="preserve"> </w:t>
      </w:r>
      <w:r>
        <w:fldChar w:fldCharType="begin" w:fldLock="1"/>
      </w:r>
      <w:r>
        <w:instrText>ADDIN CSL_CITATION {"citationItems":[{"id":"ITEM-1","itemData":{"DOI":"10.1002/ev.1376","ISSN":"0164-7989","author":[{"dropping-particle":"V.","family":"Hedges","given":"Larry","non-dropping-particle":"","parse-names":false,"suffix":""}],"container-title":"New Directions for Program Evaluation","id":"ITEM-1","issue":"24","issued":{"date-parts":[["1984"]]},"page":"25-42","publisher":"Wiley-Blackwell","title":"Advances in statistical methods for meta-analysis","type":"article-journal","volume":"1984"},"uris":["http://www.mendeley.com/documents/?uuid=62d41af5-86fa-38b0-984d-9ed87c743336"]}],"mendeley":{"formattedCitation":"(Hedges, 1984)","plainTextFormattedCitation":"(Hedges, 1984)","previouslyFormattedCitation":"(Hedges, 1984)"},"properties":{"noteIndex":0},"schema":"https://github.com/citation-style-language/schema/raw/master/csl-citation.json"}</w:instrText>
      </w:r>
      <w:r>
        <w:fldChar w:fldCharType="separate"/>
      </w:r>
      <w:r w:rsidRPr="00D43C5A">
        <w:rPr>
          <w:noProof/>
        </w:rPr>
        <w:t>(Hedges, 1984)</w:t>
      </w:r>
      <w:r>
        <w:fldChar w:fldCharType="end"/>
      </w:r>
      <w:r>
        <w:t>.  When studies had multiple treatment arms involving the same e</w:t>
      </w:r>
      <w:r>
        <w:noBreakHyphen/>
        <w:t>therapy with different component combinations (e.g. reminders and telephone support) the data was collapsed into a single group where treatment was comparable.  For</w:t>
      </w:r>
      <w:r w:rsidRPr="008F53AB">
        <w:t xml:space="preserve"> studies </w:t>
      </w:r>
      <w:r>
        <w:t xml:space="preserve">that were comprised of </w:t>
      </w:r>
      <w:r w:rsidRPr="008F53AB">
        <w:t xml:space="preserve">multiple comparison groups </w:t>
      </w:r>
      <w:r>
        <w:t>that did not receive e</w:t>
      </w:r>
      <w:r>
        <w:noBreakHyphen/>
        <w:t xml:space="preserve">therapy.  Data was extracted from the most active comparison condition enabling a modest estimate of the population effect size, studies with passive controls are frequently found to have larger effect sizes than active controls </w:t>
      </w:r>
      <w:r>
        <w:fldChar w:fldCharType="begin" w:fldLock="1"/>
      </w:r>
      <w:r>
        <w:instrText>ADDIN CSL_CITATION {"citationItems":[{"id":"ITEM-1","itemData":{"DOI":"10.1017/S0033291709006114","ISSN":"0033-2917","abstract":"&lt;div class=\"abstract\" data-abstract-type=\"normal\"&gt;&lt;sec id='sec_a001'&gt;&lt;span class=\"bold\"&gt;Background&lt;/span&gt;&lt;p&gt;No meta-analytical study has examined whether the quality of the studies examining psychotherapy for adult depression is associated with the effect sizes found. This study assesses this association.&lt;/p&gt;&lt;/sec&gt;&lt;sec id='sec_a002'&gt;&lt;span class=\"bold\"&gt;Method&lt;/span&gt;&lt;p&gt;We used a database of 115 randomized controlled trials in which 178 psychotherapies for adult depression were compared to a control condition. Eight quality criteria were assessed by two independent coders: participants met diagnostic criteria for a depressive disorder, a treatment manual was used, the therapists were trained, treatment integrity was checked, intention-to-treat analyses were used, &lt;span class='italic'&gt;N&lt;/span&gt;</w:instrText>
      </w:r>
      <w:r>
        <w:rPr>
          <w:rFonts w:ascii="Cambria Math" w:hAnsi="Cambria Math" w:cs="Cambria Math"/>
        </w:rPr>
        <w:instrText>⩾</w:instrText>
      </w:r>
      <w:r>
        <w:instrText>50, randomization was conducted by an independent party, and assessors of outcome were blinded.&lt;/p&gt;&lt;/sec&gt;&lt;sec secType='results' id='sec_a003'&gt;&lt;span class=\"bold\"&gt;Results&lt;/span&gt;&lt;p&gt;Only 11 studies (16 comparisons) met the eight quality criteria. The standardized mean effect size found for the high-quality studies (&lt;span class='italic'&gt;d&lt;/span&gt;=0.22) was significantly smaller than in the other studies (&lt;span class='italic'&gt;d&lt;/span&gt;=0.74, &lt;span class='italic'&gt;p&lt;/span&gt;&amp;lt;0.001), even after restricting the sample to the subset of other studies that used the kind of care-as-usual or non-specific controls that tended to be used in the high-quality studies. Heterogeneity was zero in the group of high-quality studies. The numbers needed to be treated in the high-quality studies was 8, while it was 2 in the lower-quality studies.&lt;/p&gt;&lt;/sec&gt;&lt;sec secType='conclusion' id='sec_a004'&gt;&lt;span class=\"bold\"&gt;Conclusions&lt;/span&gt;&lt;p&gt;We found strong evidence that the effects of psychotherapy for adult depression have been overestimated in meta-analytical studies. Although the effects of psychotherapy are significant, they are much smaller than was assumed until now, even after controlling for the type of control condition used.&lt;/p&gt;&lt;/sec&gt;&lt;/div&gt;","author":[{"dropping-particle":"","family":"Cuijpers","given":"P.","non-dropping-particle":"","parse-names":false,"suffix":""},{"dropping-particle":"","family":"Straten","given":"A.","non-dropping-particle":"van","parse-names":false,"suffix":""},{"dropping-particle":"","family":"Bohlmeijer","given":"E.","non-dropping-particle":"","parse-names":false,"suffix":""},{"dropping-particle":"","family":"Hollon","given":"S. D.","non-dropping-particle":"","parse-names":false,"suffix":""},{"dropping-particle":"","family":"Andersson","given":"G.","non-dropping-particle":"","parse-names":false,"suffix":""}],"container-title":"Psychological Medicine","id":"ITEM-1","issue":"02","issued":{"date-parts":[["2010","2","3"]]},"page":"211","publisher":"Cambridge University Press","title":"The effects of psychotherapy for adult depression are overestimated: a meta-analysis of study quality and effect size","type":"article-journal","volume":"40"},"uris":["http://www.mendeley.com/documents/?uuid=0684f25c-5e3e-382d-9980-6664aed25f8c"]}],"mendeley":{"formattedCitation":"(Cuijpers, van Straten, &lt;i&gt;et al.&lt;/i&gt;, 2010)","plainTextFormattedCitation":"(Cuijpers, van Straten, et al., 2010)","previouslyFormattedCitation":"(Cuijpers, van Straten, &lt;i&gt;et al.&lt;/i&gt;, 2010)"},"properties":{"noteIndex":0},"schema":"https://github.com/citation-style-language/schema/raw/master/csl-citation.json"}</w:instrText>
      </w:r>
      <w:r>
        <w:fldChar w:fldCharType="separate"/>
      </w:r>
      <w:r w:rsidRPr="00577FF8">
        <w:rPr>
          <w:noProof/>
        </w:rPr>
        <w:t xml:space="preserve">(Cuijpers, van Straten, </w:t>
      </w:r>
      <w:r w:rsidRPr="00577FF8">
        <w:rPr>
          <w:i/>
          <w:noProof/>
        </w:rPr>
        <w:t>et al.</w:t>
      </w:r>
      <w:r w:rsidRPr="00577FF8">
        <w:rPr>
          <w:noProof/>
        </w:rPr>
        <w:t>, 2010)</w:t>
      </w:r>
      <w:r>
        <w:fldChar w:fldCharType="end"/>
      </w:r>
      <w:r>
        <w:t>.</w:t>
      </w:r>
      <w:r w:rsidRPr="00191AA2">
        <w:t xml:space="preserve"> </w:t>
      </w:r>
      <w:r>
        <w:t xml:space="preserve"> The mean effect sizes were obtained and reversed and a positive effect of e</w:t>
      </w:r>
      <w:r>
        <w:noBreakHyphen/>
        <w:t>therapy was represented by a positive effect size and vice-versa.</w:t>
      </w:r>
    </w:p>
    <w:p w14:paraId="6FF02C7D" w14:textId="77777777" w:rsidR="00F1508E" w:rsidRPr="008906D6" w:rsidRDefault="00F1508E" w:rsidP="008906D6">
      <w:pPr>
        <w:pStyle w:val="Heading3"/>
      </w:pPr>
      <w:bookmarkStart w:id="237" w:name="_Toc530660501"/>
      <w:bookmarkStart w:id="238" w:name="_Toc3538102"/>
      <w:r w:rsidRPr="008906D6">
        <w:t>Meta-Analysis</w:t>
      </w:r>
      <w:bookmarkEnd w:id="237"/>
      <w:bookmarkEnd w:id="238"/>
      <w:r w:rsidRPr="008906D6" w:rsidDel="00703174">
        <w:t xml:space="preserve"> </w:t>
      </w:r>
    </w:p>
    <w:p w14:paraId="6BE799CA" w14:textId="673ECED0" w:rsidR="00F1508E" w:rsidRDefault="00F1508E" w:rsidP="00F1508E">
      <w:r w:rsidRPr="00C501FD">
        <w:rPr>
          <w:color w:val="000000" w:themeColor="text1"/>
        </w:rPr>
        <w:t xml:space="preserve">A random-effects meta-analysis was conducted using the Meta-Essentials Workbook </w:t>
      </w:r>
      <w:r w:rsidRPr="00C501FD">
        <w:rPr>
          <w:color w:val="000000" w:themeColor="text1"/>
        </w:rPr>
        <w:fldChar w:fldCharType="begin" w:fldLock="1"/>
      </w:r>
      <w:r w:rsidRPr="00C501FD">
        <w:rPr>
          <w:color w:val="000000" w:themeColor="text1"/>
        </w:rPr>
        <w:instrText>ADDIN CSL_CITATION {"citationItems":[{"id":"ITEM-1","itemData":{"DOI":"10.1002/jrsm.1260","ISBN":"17592879","ISSN":"17592887","PMID":"28801932","abstract":"We present a new tool for meta-analysis, Meta-Essentials, which is free of charge and easy to use. In this paper, we introduce the tool and compare its features to other tools for meta-analysis. We also provide detailed information on the validation of the tool. Although free of charge and simple, Meta-Essentials automatically calculates effect sizes from a wide range of statistics and can be used for a wide range of meta-analysis applications, including subgroup analysis, moderator analysis, and publication bias analyses. The confidence interval of the overall effect is automatically based on the Knapp-Hartung adjustment of the DerSimonian-Laird estimator. However, more advanced meta-analysis methods such as meta-analytical structural equation modelling and meta-regression with multiple covariates are not available. In summary, Meta-Essentials may prove a valuable resource for meta-analysts, including researchers, teachers, and students.","author":[{"dropping-particle":"","family":"Suurmond","given":"Robert","non-dropping-particle":"","parse-names":false,"suffix":""},{"dropping-particle":"","family":"Rhee","given":"Henk","non-dropping-particle":"van","parse-names":false,"suffix":""},{"dropping-particle":"","family":"Hak","given":"Tony","non-dropping-particle":"","parse-names":false,"suffix":""}],"container-title":"Research Synthesis Methods","id":"ITEM-1","issue":"4","issued":{"date-parts":[["2017"]]},"page":"537-553","title":"Introduction, comparison, and validation of Meta-Essentials: A free and simple tool for meta-analysis","type":"article-journal","volume":"8"},"uris":["http://www.mendeley.com/documents/?uuid=40c7d6c9-fda3-4110-9810-1a720bc89efe"]}],"mendeley":{"formattedCitation":"(Suurmond, van Rhee and Hak, 2017)","plainTextFormattedCitation":"(Suurmond, van Rhee and Hak, 2017)","previouslyFormattedCitation":"(Suurmond, van Rhee and Hak, 2017)"},"properties":{"noteIndex":0},"schema":"https://github.com/citation-style-language/schema/raw/master/csl-citation.json"}</w:instrText>
      </w:r>
      <w:r w:rsidRPr="00C501FD">
        <w:rPr>
          <w:color w:val="000000" w:themeColor="text1"/>
        </w:rPr>
        <w:fldChar w:fldCharType="separate"/>
      </w:r>
      <w:r w:rsidRPr="00C501FD">
        <w:rPr>
          <w:noProof/>
          <w:color w:val="000000" w:themeColor="text1"/>
        </w:rPr>
        <w:t>(Suurmond, van Rhee and Hak, 2017)</w:t>
      </w:r>
      <w:r w:rsidRPr="00C501FD">
        <w:rPr>
          <w:color w:val="000000" w:themeColor="text1"/>
        </w:rPr>
        <w:fldChar w:fldCharType="end"/>
      </w:r>
      <w:r w:rsidRPr="00C501FD">
        <w:rPr>
          <w:color w:val="000000" w:themeColor="text1"/>
        </w:rPr>
        <w:t xml:space="preserve">.  This </w:t>
      </w:r>
      <w:r>
        <w:t xml:space="preserve">was carried out to enable a more realistic estimate of the pooled mean effect sizes and as a result provide increased generalisability of the overall findings as between study heterogeneity was anticipated. </w:t>
      </w:r>
      <w:r w:rsidDel="00191AA2">
        <w:t xml:space="preserve"> </w:t>
      </w:r>
      <w:r>
        <w:t xml:space="preserve">The threshold for statistical significance was an alpha value of 0.05.  Effect sizes were classified as follows: 0.20-0.49 = small, 0.50-0.79 = medium, and 0.80 and higher = large </w:t>
      </w:r>
      <w:r>
        <w:fldChar w:fldCharType="begin" w:fldLock="1"/>
      </w:r>
      <w:r>
        <w:instrText>ADDIN CSL_CITATION {"citationItems":[{"id":"ITEM-1","itemData":{"ISSN":"0033-2909","PMID":"19565683","abstract":"One possible reason for the continued neglect of statistical power analysis in research in the behavioral sciences is the inaccessibility of or difficulty with the standard material. A convenient, although not comprehensive, presentation of required sample sizes is provided here. Effect-size indexes and conventional values for these are given for operationally defined small, medium, and large effects. The sample sizes necessary for .80 power to detect effects at these levels are tabled for eight standard statistical tests: (a) the difference between independent means, (b) the significance of a product-moment correlation, (c) the difference between independent rs, (d) the sign test, (e) the difference between independent proportions, (f) chi-square tests for goodness of fit and contingency tables, (g) one-way analysis of variance, and (h) the significance of a multiple or multiple partial correlation.","author":[{"dropping-particle":"","family":"Cohen","given":"J","non-dropping-particle":"","parse-names":false,"suffix":""}],"container-title":"Psychological bulletin","id":"ITEM-1","issue":"1","issued":{"date-parts":[["1992","7"]]},"page":"155-9","title":"A power primer.","type":"article-journal","volume":"112"},"uris":["http://www.mendeley.com/documents/?uuid=b37e1583-6710-3fa5-b1c9-ce8c036e3b76"]},{"id":"ITEM-2","itemData":{"abstract":"Statistical Power Analysis is a nontechnical guide to power analysis in research planning that provides users of applied statistics with the tools they need for more effective analysis. The Second Edition includes: * a chapter covering power analysis in set correlation and multivariate methods; * a chapter considering effect size, psychometric reliability, and the efficacy of \"qualifying\" dependent variables and; * expanded power and sample size tables for multiple regression/correlation. *statistical power analysis for the behavioral sciences | statistical power analysis for the behavioral sciences | 0805802835 statistical power analysis for the behavioral | statistical power analysis for the behavioral sciences | statistical power analysis for the behavioral sciences | amazon customer reviews statistical power analysis | cohen jacob wiley | statistical power analysis for the behavioral sciences 2nd | web based instruction for statistical power analysis | faqeffectsize cbu statistics wiki | statistical power analysis for the behavioral sciences 2nd | statistical power analysis for the behavioral sciences 2nd | by jacob cohen university of north carolina at chapel hill | references effect size faqs |","author":[{"dropping-particle":"","family":"Cohen","given":"J.W.","non-dropping-particle":"","parse-names":false,"suffix":""}],"container-title":"Hillsdale, NJ: Lawrence Erlbaum Associates","id":"ITEM-2","issued":{"date-parts":[["1988"]]},"title":"Statistical power analysis for the behavioral sciences (2nd edition)","type":"book"},"uris":["http://www.mendeley.com/documents/?uuid=af5d3e16-cce5-3f6e-8551-44e08cbabe6d"]}],"mendeley":{"formattedCitation":"(Cohen, 1988, 1992)","plainTextFormattedCitation":"(Cohen, 1988, 1992)","previouslyFormattedCitation":"(Cohen, 1988, 1992)"},"properties":{"noteIndex":0},"schema":"https://github.com/citation-style-language/schema/raw/master/csl-citation.json"}</w:instrText>
      </w:r>
      <w:r>
        <w:fldChar w:fldCharType="separate"/>
      </w:r>
      <w:r w:rsidRPr="00D43C5A">
        <w:rPr>
          <w:noProof/>
        </w:rPr>
        <w:t>(Cohen, 1988, 1992)</w:t>
      </w:r>
      <w:r>
        <w:fldChar w:fldCharType="end"/>
      </w:r>
      <w:r>
        <w:t xml:space="preserve">.  Subgroup meta-analyses were pre-planned based on anticipated heterogeneity between active and passive control groups.  </w:t>
      </w:r>
      <w:r w:rsidRPr="00CF0F96">
        <w:t xml:space="preserve">The pooled effect sizes were translated into numbers needed to treat (NNT; </w:t>
      </w:r>
      <w:r w:rsidRPr="00CF0F96">
        <w:fldChar w:fldCharType="begin" w:fldLock="1"/>
      </w:r>
      <w:r>
        <w:instrText>ADDIN CSL_CITATION {"citationItems":[{"id":"ITEM-1","itemData":{"DOI":"10.1016/J.BIOPSYCH.2005.09.014","ISSN":"0006-3223","abstract":"In randomized clinical trails (RCTs), effect sizes seen in earlier studies guide both the choice of the effect size that sets the appropriate threshold of clinical significance and the rationale to believe that the true effect size is above that threshold worth pursuing in an RCT. That threshold is used to determine the necessary sample size for the proposed RCT. Once the RCT is done, the data generated are used to estimate the true effect size and its confidence interval. Clinical significance is assessed by comparing the true effect size to the threshold effect size. In subsequent meta-analysis, this effect size is combined with others, ultimately to determine whether treatment (T) is clinically significantly better than control (C). Thus, effect sizes play an important role both in designing RCTs and in interpreting their results; but specifically which effect size? We review the principles of statistical significance, power, and meta-analysis, and commonly used effect sizes. The commonly used effect sizes are limited in conveying clinical significance. We recommend three equivalent effect sizes: number needed to treat, area under the receiver operating characteristic curve comparing T and C responses, and success rate difference, chosen specifically to convey clinical significance.","author":[{"dropping-particle":"","family":"Kraemer","given":"Helena Chmura","non-dropping-particle":"","parse-names":false,"suffix":""},{"dropping-particle":"","family":"Kupfer","given":"David J.","non-dropping-particle":"","parse-names":false,"suffix":""}],"container-title":"Biological Psychiatry","id":"ITEM-1","issue":"11","issued":{"date-parts":[["2006","6","1"]]},"page":"990-996","publisher":"Elsevier","title":"Size of Treatment Effects and Their Importance to Clinical Research and Practice","type":"article-journal","volume":"59"},"uris":["http://www.mendeley.com/documents/?uuid=e2268e45-6a1e-3799-94e4-2710fbe532a8"]}],"mendeley":{"formattedCitation":"(Kraemer and Kupfer, 2006)","manualFormatting":"Kraemer and Kupfer, 2006)","plainTextFormattedCitation":"(Kraemer and Kupfer, 2006)","previouslyFormattedCitation":"(Kraemer and Kupfer, 2006)"},"properties":{"noteIndex":0},"schema":"https://github.com/citation-style-language/schema/raw/master/csl-citation.json"}</w:instrText>
      </w:r>
      <w:r w:rsidRPr="00CF0F96">
        <w:fldChar w:fldCharType="separate"/>
      </w:r>
      <w:r w:rsidRPr="00CF0F96">
        <w:rPr>
          <w:noProof/>
        </w:rPr>
        <w:t>Kraemer and Kupfer, 2006)</w:t>
      </w:r>
      <w:r w:rsidRPr="00CF0F96">
        <w:fldChar w:fldCharType="end"/>
      </w:r>
      <w:r w:rsidRPr="00CF0F96">
        <w:t>.  The NNT is an approximation of how many patients would need treatment in order to generate an additional outcome of benefit when in comparison with another condition.</w:t>
      </w:r>
      <w:r>
        <w:rPr>
          <w:rFonts w:cs="Arial"/>
          <w:szCs w:val="24"/>
        </w:rPr>
        <w:t xml:space="preserve">  Pre-planned moderator analyses were performed to evaluate between-study heterogeneity</w:t>
      </w:r>
      <w:r w:rsidR="00C17A60">
        <w:rPr>
          <w:rFonts w:cs="Arial"/>
          <w:szCs w:val="24"/>
        </w:rPr>
        <w:t xml:space="preserve">. </w:t>
      </w:r>
      <w:r w:rsidRPr="00684829">
        <w:t xml:space="preserve"> </w:t>
      </w:r>
      <w:r>
        <w:t xml:space="preserve">Meta-regression was completed at both end of </w:t>
      </w:r>
      <w:r>
        <w:lastRenderedPageBreak/>
        <w:t xml:space="preserve">treatment and follow-up for comparisons against both active and passive control groups using the </w:t>
      </w:r>
      <w:r>
        <w:rPr>
          <w:rFonts w:cs="Arial"/>
          <w:szCs w:val="24"/>
        </w:rPr>
        <w:t xml:space="preserve">continuous variables (mean participant age, number of sessions, duration in days, publication date) and gender.  </w:t>
      </w:r>
      <w:r>
        <w:t>Sub group analysis was carried out at both end of treatment and follow-up for both comparisons against both active and passive control groups using categorical variables (recruitment setting, e</w:t>
      </w:r>
      <w:r>
        <w:noBreakHyphen/>
        <w:t xml:space="preserve">therapy and support typology). </w:t>
      </w:r>
      <w:r>
        <w:rPr>
          <w:rFonts w:cs="Arial"/>
          <w:szCs w:val="24"/>
        </w:rPr>
        <w:t xml:space="preserve"> A </w:t>
      </w:r>
      <w:proofErr w:type="spellStart"/>
      <w:r>
        <w:rPr>
          <w:rFonts w:cs="Arial"/>
          <w:szCs w:val="24"/>
        </w:rPr>
        <w:t>Kruskall</w:t>
      </w:r>
      <w:proofErr w:type="spellEnd"/>
      <w:r>
        <w:rPr>
          <w:rFonts w:cs="Arial"/>
          <w:szCs w:val="24"/>
        </w:rPr>
        <w:t>-Wallis test assessed whether there were any differences between dropout rates for e-therapy versus passive and active controls</w:t>
      </w:r>
      <w:r>
        <w:t>.</w:t>
      </w:r>
    </w:p>
    <w:p w14:paraId="2F03C741" w14:textId="77777777" w:rsidR="00F1508E" w:rsidRDefault="00F1508E" w:rsidP="00B27113">
      <w:pPr>
        <w:pStyle w:val="Heading3"/>
      </w:pPr>
      <w:bookmarkStart w:id="239" w:name="_Toc530660502"/>
      <w:bookmarkStart w:id="240" w:name="_Toc3538103"/>
      <w:r w:rsidRPr="00DB3C11">
        <w:t>Analysis of Heterogeneity</w:t>
      </w:r>
      <w:bookmarkEnd w:id="239"/>
      <w:bookmarkEnd w:id="240"/>
    </w:p>
    <w:p w14:paraId="3EFFDF9B" w14:textId="77777777" w:rsidR="00F1508E" w:rsidRPr="00A34EFF" w:rsidRDefault="00F1508E" w:rsidP="00F1508E">
      <w:r>
        <w:t xml:space="preserve">Due to there being a small number of trials (k &lt; 10) in the end of treatment, follow-up and subgroup analyses, a lower more conservative p value of 0.1 was adopted </w:t>
      </w:r>
      <w:r>
        <w:fldChar w:fldCharType="begin" w:fldLock="1"/>
      </w:r>
      <w:r>
        <w:instrText>ADDIN CSL_CITATION {"citationItems":[{"id":"ITEM-1","itemData":{"DOI":"10.1002/9780470712184.ch5","ISBN":"9780470057964","ISSN":"10147448","PMID":"24886533","abstract":"Higgins JPT, Green S (editors). Cochrane Handbook for Systematic Reviews of Interventions Version 5.1.0 updated March 2011. The Cochrane Collaboration, 2011. Available from www.cochrane-handbook.org.","author":[{"dropping-particle":"","family":"Higgins","given":"JPT","non-dropping-particle":"","parse-names":false,"suffix":""}],"container-title":"The Cochrane Collaboration","id":"ITEM-1","issue":"September","issued":{"date-parts":[["2011"]]},"number-of-pages":"2-3","title":"Cochrane Handbook for systematic reviews of interventions version","type":"book"},"uris":["http://www.mendeley.com/documents/?uuid=f5f868f1-9370-4ae5-b9b3-1e1886ff07a2"]}],"mendeley":{"formattedCitation":"(Higgins, 2011)","plainTextFormattedCitation":"(Higgins, 2011)","previouslyFormattedCitation":"(Higgins, 2011)"},"properties":{"noteIndex":0},"schema":"https://github.com/citation-style-language/schema/raw/master/csl-citation.json"}</w:instrText>
      </w:r>
      <w:r>
        <w:fldChar w:fldCharType="separate"/>
      </w:r>
      <w:r w:rsidRPr="00D43C5A">
        <w:rPr>
          <w:noProof/>
        </w:rPr>
        <w:t>(Higgins, 2011)</w:t>
      </w:r>
      <w:r>
        <w:fldChar w:fldCharType="end"/>
      </w:r>
      <w:r>
        <w:t>.  The I</w:t>
      </w:r>
      <w:r w:rsidRPr="000E254F">
        <w:rPr>
          <w:vertAlign w:val="superscript"/>
        </w:rPr>
        <w:t>2</w:t>
      </w:r>
      <w:r>
        <w:t xml:space="preserve"> statistic was used as an indicator of between study heterogeneity  where 0%-40% may not be relevant, 30%-60% represents moderate heterogeneity, 50%-90% represents substantial heterogeneity, and 75%-100% represents considerable heterogeneity </w:t>
      </w:r>
      <w:r>
        <w:fldChar w:fldCharType="begin" w:fldLock="1"/>
      </w:r>
      <w:r>
        <w:instrText>ADDIN CSL_CITATION {"citationItems":[{"id":"ITEM-1","itemData":{"DOI":"10.1136/bmj.327.7414.557","ISSN":"1756-1833","PMID":"12958120","abstract":"Cochrane Reviews have recently started including the quantity I 2 to help readers assess the consistency of the results of studies in meta-analyses. What does this new quantity mean, and why is assessment of heterogeneity so important to clinical practice? \n\nSystematic reviews and meta-analyses can provide convincing and reliable evidence relevant to many aspects of medicine and health care.1 Their value is especially clear when the results of the studies they include show clinically important effects of similar magnitude. However, the conclusions are less clear when the included studies have differing results. In an attempt to establish whether studies are consistent, reports of meta-analyses commonly present a statistical test of heterogeneity. The test seeks to determine whether there are genuine differences underlying the results of the studies (heterogeneity), or whether the variation in findings is compatible with chance alone (homogeneity). However, the test is susceptible to the number of trials included in the meta-analysis. We have developed a new quantity, I 2, which we believe gives a better measure of the consistency between trials in a meta-analysis.\n\nAssessment of the consistency of effects across studies is an essential part of meta-analysis. Unless we know how consistent the results of studies are, we cannot determine the generalisability of the findings of the meta-analysis. Indeed, several hierarchical systems for grading evidence state that the results of studies must be consistent or homogeneous to obtain the highest grading.2–4\n\nTests for heterogeneity are commonly used to decide on methods for combining studies and for concluding consistency or inconsistency of findings.5 6 But what does the test achieve in practice, and how should the resulting P values be interpreted?\n\nA test for heterogeneity examines the null hypothesis that all studies are evaluating the same effect. The usual test statistic …","author":[{"dropping-particle":"","family":"Higgins","given":"Julian P T","non-dropping-particle":"","parse-names":false,"suffix":""},{"dropping-particle":"","family":"Thompson","given":"Simon G","non-dropping-particle":"","parse-names":false,"suffix":""},{"dropping-particle":"","family":"Deeks","given":"Jonathan J","non-dropping-particle":"","parse-names":false,"suffix":""},{"dropping-particle":"","family":"Altman","given":"Douglas G","non-dropping-particle":"","parse-names":false,"suffix":""}],"container-title":"BMJ (Clinical research ed.)","id":"ITEM-1","issue":"7414","issued":{"date-parts":[["2003","9","6"]]},"page":"557-60","publisher":"British Medical Journal Publishing Group","title":"Measuring inconsistency in meta-analyses.","type":"article-journal","volume":"327"},"uris":["http://www.mendeley.com/documents/?uuid=0aa362e8-a908-3cfe-a56d-75662030e663"]}],"mendeley":{"formattedCitation":"(Higgins &lt;i&gt;et al.&lt;/i&gt;, 2003)","plainTextFormattedCitation":"(Higgins et al., 2003)","previouslyFormattedCitation":"(Higgins &lt;i&gt;et al.&lt;/i&gt;, 2003)"},"properties":{"noteIndex":0},"schema":"https://github.com/citation-style-language/schema/raw/master/csl-citation.json"}</w:instrText>
      </w:r>
      <w:r>
        <w:fldChar w:fldCharType="separate"/>
      </w:r>
      <w:r w:rsidRPr="00D43C5A">
        <w:rPr>
          <w:noProof/>
        </w:rPr>
        <w:t xml:space="preserve">(Higgins </w:t>
      </w:r>
      <w:r w:rsidRPr="00D43C5A">
        <w:rPr>
          <w:i/>
          <w:noProof/>
        </w:rPr>
        <w:t>et al.</w:t>
      </w:r>
      <w:r w:rsidRPr="00D43C5A">
        <w:rPr>
          <w:noProof/>
        </w:rPr>
        <w:t>, 2003)</w:t>
      </w:r>
      <w:r>
        <w:fldChar w:fldCharType="end"/>
      </w:r>
      <w:r>
        <w:t>.  The magnitude and direction of the effect size was used to interpret the I</w:t>
      </w:r>
      <w:r w:rsidRPr="00A34EFF">
        <w:rPr>
          <w:vertAlign w:val="superscript"/>
        </w:rPr>
        <w:t>2</w:t>
      </w:r>
      <w:r>
        <w:t xml:space="preserve"> values </w:t>
      </w:r>
      <w:r>
        <w:fldChar w:fldCharType="begin" w:fldLock="1"/>
      </w:r>
      <w:r>
        <w:instrText>ADDIN CSL_CITATION {"citationItems":[{"id":"ITEM-1","itemData":{"DOI":"10.1002/9780470712184.ch5","ISBN":"9780470057964","ISSN":"10147448","PMID":"24886533","abstract":"Higgins JPT, Green S (editors). Cochrane Handbook for Systematic Reviews of Interventions Version 5.1.0 updated March 2011. The Cochrane Collaboration, 2011. Available from www.cochrane-handbook.org.","author":[{"dropping-particle":"","family":"Higgins","given":"JPT","non-dropping-particle":"","parse-names":false,"suffix":""}],"container-title":"The Cochrane Collaboration","id":"ITEM-1","issue":"September","issued":{"date-parts":[["2011"]]},"number-of-pages":"2-3","title":"Cochrane Handbook for systematic reviews of interventions version","type":"book"},"uris":["http://www.mendeley.com/documents/?uuid=f5f868f1-9370-4ae5-b9b3-1e1886ff07a2"]}],"mendeley":{"formattedCitation":"(Higgins, 2011)","plainTextFormattedCitation":"(Higgins, 2011)","previouslyFormattedCitation":"(Higgins, 2011)"},"properties":{"noteIndex":0},"schema":"https://github.com/citation-style-language/schema/raw/master/csl-citation.json"}</w:instrText>
      </w:r>
      <w:r>
        <w:fldChar w:fldCharType="separate"/>
      </w:r>
      <w:r w:rsidRPr="00D43C5A">
        <w:rPr>
          <w:noProof/>
        </w:rPr>
        <w:t>(Higgins, 2011)</w:t>
      </w:r>
      <w:r>
        <w:fldChar w:fldCharType="end"/>
      </w:r>
      <w:r>
        <w:t>.</w:t>
      </w:r>
    </w:p>
    <w:p w14:paraId="793212B9" w14:textId="77777777" w:rsidR="00F1508E" w:rsidRDefault="00F1508E" w:rsidP="00B27113">
      <w:pPr>
        <w:pStyle w:val="Heading3"/>
        <w:rPr>
          <w:rFonts w:eastAsia="Times New Roman"/>
          <w:shd w:val="clear" w:color="auto" w:fill="FFFFFF"/>
        </w:rPr>
      </w:pPr>
      <w:bookmarkStart w:id="241" w:name="_Toc530660503"/>
      <w:bookmarkStart w:id="242" w:name="_Toc3538104"/>
      <w:r>
        <w:t>Publication Bias</w:t>
      </w:r>
      <w:bookmarkEnd w:id="241"/>
      <w:bookmarkEnd w:id="242"/>
      <w:r>
        <w:rPr>
          <w:rFonts w:eastAsia="Times New Roman"/>
          <w:shd w:val="clear" w:color="auto" w:fill="FFFFFF"/>
        </w:rPr>
        <w:t xml:space="preserve"> </w:t>
      </w:r>
    </w:p>
    <w:p w14:paraId="1105461C" w14:textId="77777777" w:rsidR="00F1508E" w:rsidRPr="00537D88" w:rsidRDefault="00F1508E" w:rsidP="00F1508E">
      <w:r>
        <w:t>In cases where there were sufficient numbers of studies (k &gt; 1</w:t>
      </w:r>
      <w:r w:rsidRPr="009676CD">
        <w:t xml:space="preserve">0), visual inspection of the asymmetry of a funnel plot showing SEs against effect sizes was carried out to assessed publication bias.  Egger’s regression and </w:t>
      </w:r>
      <w:proofErr w:type="spellStart"/>
      <w:r w:rsidRPr="009676CD">
        <w:t>Begg’s</w:t>
      </w:r>
      <w:proofErr w:type="spellEnd"/>
      <w:r w:rsidRPr="009676CD">
        <w:t xml:space="preserve"> rank correlation tests were used to stat</w:t>
      </w:r>
      <w:r>
        <w:t>istically test for reporting bias.</w:t>
      </w:r>
    </w:p>
    <w:p w14:paraId="125F603D" w14:textId="77777777" w:rsidR="00F1508E" w:rsidRPr="008906D6" w:rsidRDefault="00F1508E" w:rsidP="008906D6">
      <w:pPr>
        <w:pStyle w:val="Heading2"/>
      </w:pPr>
      <w:bookmarkStart w:id="243" w:name="_Toc530660504"/>
      <w:bookmarkStart w:id="244" w:name="_Toc3538105"/>
      <w:bookmarkEnd w:id="220"/>
      <w:r w:rsidRPr="008906D6">
        <w:t>Results</w:t>
      </w:r>
      <w:bookmarkEnd w:id="243"/>
      <w:bookmarkEnd w:id="244"/>
    </w:p>
    <w:p w14:paraId="6FFBC33F" w14:textId="77777777" w:rsidR="00F1508E" w:rsidRPr="00DB3C11" w:rsidRDefault="00F1508E" w:rsidP="00B27113">
      <w:pPr>
        <w:pStyle w:val="Heading3"/>
      </w:pPr>
      <w:bookmarkStart w:id="245" w:name="_Toc530660505"/>
      <w:bookmarkStart w:id="246" w:name="_Toc3538106"/>
      <w:r w:rsidRPr="00B27113">
        <w:t>Study</w:t>
      </w:r>
      <w:r w:rsidRPr="00DB3C11">
        <w:t xml:space="preserve"> Selection</w:t>
      </w:r>
      <w:bookmarkEnd w:id="245"/>
      <w:bookmarkEnd w:id="246"/>
    </w:p>
    <w:p w14:paraId="287E45D8" w14:textId="7FA2C163" w:rsidR="00F1508E" w:rsidRDefault="00F1508E" w:rsidP="00FA093E">
      <w:bookmarkStart w:id="247" w:name="_Hlk529448561"/>
      <w:r w:rsidRPr="008F53AB">
        <w:t>The search returned a total of 622 records</w:t>
      </w:r>
      <w:r w:rsidR="00554CB4">
        <w:t xml:space="preserve">.  </w:t>
      </w:r>
      <w:r w:rsidRPr="008F53AB">
        <w:t xml:space="preserve">This was combined with </w:t>
      </w:r>
      <w:r>
        <w:t xml:space="preserve">the </w:t>
      </w:r>
      <w:r w:rsidRPr="008F53AB">
        <w:t xml:space="preserve">152 records collected </w:t>
      </w:r>
      <w:r>
        <w:t>by surveying the</w:t>
      </w:r>
      <w:r w:rsidRPr="008F53AB">
        <w:t xml:space="preserve"> app developer</w:t>
      </w:r>
      <w:r>
        <w:t>s</w:t>
      </w:r>
      <w:r w:rsidRPr="008F53AB">
        <w:t xml:space="preserve"> </w:t>
      </w:r>
      <w:r>
        <w:t>(as presented in Chapter 3), to ensure that any papers known to the developers that were not picked up by searches were included,</w:t>
      </w:r>
      <w:r w:rsidRPr="008F53AB">
        <w:t xml:space="preserve"> giving a combined total of 774 records.  After duplicates were excluded this left a total of 602.  After excluding records that did not meet the inclusion criteria based on abstracts, 123 full version articles were retrieved.  Nineteen </w:t>
      </w:r>
      <w:r>
        <w:t xml:space="preserve">trials </w:t>
      </w:r>
      <w:r w:rsidRPr="008F53AB">
        <w:t>were considered for review</w:t>
      </w:r>
      <w:r>
        <w:t>; two</w:t>
      </w:r>
      <w:r w:rsidRPr="008F53AB">
        <w:t xml:space="preserve"> were excluded due to containing duplicate data from the same trial</w:t>
      </w:r>
      <w:r w:rsidR="00554CB4">
        <w:t xml:space="preserve">.  </w:t>
      </w:r>
      <w:r w:rsidRPr="008F53AB">
        <w:t xml:space="preserve">Thus, a total of </w:t>
      </w:r>
      <w:r>
        <w:t>N=</w:t>
      </w:r>
      <w:r w:rsidRPr="008F53AB">
        <w:t xml:space="preserve">17 unique RCTs </w:t>
      </w:r>
      <w:r>
        <w:t xml:space="preserve">which had tested the efficacy </w:t>
      </w:r>
      <w:r w:rsidRPr="008F53AB">
        <w:t xml:space="preserve">of </w:t>
      </w:r>
      <w:r>
        <w:t>six</w:t>
      </w:r>
      <w:r w:rsidRPr="008F53AB">
        <w:t xml:space="preserve"> different NHS </w:t>
      </w:r>
      <w:r>
        <w:t>recommended e</w:t>
      </w:r>
      <w:r>
        <w:noBreakHyphen/>
        <w:t>therapies</w:t>
      </w:r>
      <w:r w:rsidRPr="008F53AB">
        <w:t xml:space="preserve"> were included </w:t>
      </w:r>
      <w:r>
        <w:t>in the meta-analysis.</w:t>
      </w:r>
      <w:r w:rsidRPr="008F53AB">
        <w:t xml:space="preserve">  </w:t>
      </w:r>
      <w:r>
        <w:t xml:space="preserve">The PRISMA diagram is provided in </w:t>
      </w:r>
      <w:r>
        <w:fldChar w:fldCharType="begin"/>
      </w:r>
      <w:r>
        <w:instrText xml:space="preserve"> REF _Ref529533471 \h </w:instrText>
      </w:r>
      <w:r w:rsidR="00FA093E">
        <w:instrText xml:space="preserve"> \* MERGEFORMAT </w:instrText>
      </w:r>
      <w:r>
        <w:fldChar w:fldCharType="separate"/>
      </w:r>
      <w:r w:rsidR="00574650">
        <w:t xml:space="preserve">Figure </w:t>
      </w:r>
      <w:r w:rsidR="00574650">
        <w:rPr>
          <w:noProof/>
        </w:rPr>
        <w:t>4</w:t>
      </w:r>
      <w:r w:rsidR="00574650">
        <w:t>.</w:t>
      </w:r>
      <w:r w:rsidR="00574650">
        <w:rPr>
          <w:noProof/>
        </w:rPr>
        <w:t>2</w:t>
      </w:r>
      <w:r>
        <w:fldChar w:fldCharType="end"/>
      </w:r>
      <w:r>
        <w:t>, and details of the included studies can be found in</w:t>
      </w:r>
      <w:r w:rsidR="00FA093E">
        <w:t xml:space="preserve"> Table </w:t>
      </w:r>
      <w:r w:rsidR="00FA093E">
        <w:rPr>
          <w:noProof/>
        </w:rPr>
        <w:t>4</w:t>
      </w:r>
      <w:r w:rsidR="00FA093E">
        <w:t>.</w:t>
      </w:r>
      <w:r w:rsidR="00FA093E">
        <w:rPr>
          <w:noProof/>
        </w:rPr>
        <w:t>2</w:t>
      </w:r>
      <w:r w:rsidR="00FA093E">
        <w:t xml:space="preserve"> </w:t>
      </w:r>
      <w:r w:rsidR="00FA093E" w:rsidRPr="00421F8E">
        <w:t>Characteristics of included studies</w:t>
      </w:r>
      <w:r>
        <w:t>.</w:t>
      </w:r>
    </w:p>
    <w:p w14:paraId="21E1DCFE" w14:textId="0EDB2C87" w:rsidR="00AC7050" w:rsidRPr="00AC7050" w:rsidRDefault="00AC7050" w:rsidP="00AC7050"/>
    <w:p w14:paraId="0947F6A9" w14:textId="28CE6D0A" w:rsidR="00AC7050" w:rsidRPr="00AC7050" w:rsidRDefault="00AC7050" w:rsidP="00AC7050"/>
    <w:p w14:paraId="1239E297" w14:textId="51B6790C" w:rsidR="00AC7050" w:rsidRPr="00AC7050" w:rsidRDefault="00AC7050" w:rsidP="00AC7050"/>
    <w:p w14:paraId="604E920E" w14:textId="77777777" w:rsidR="00AC7050" w:rsidRPr="00AC7050" w:rsidRDefault="00AC7050" w:rsidP="00AC7050">
      <w:pPr>
        <w:jc w:val="center"/>
      </w:pPr>
    </w:p>
    <w:p w14:paraId="0F4A2FFC" w14:textId="1D7C1881" w:rsidR="00F1508E" w:rsidRDefault="00F1508E" w:rsidP="00F1508E">
      <w:pPr>
        <w:pStyle w:val="Caption"/>
        <w:keepNext/>
      </w:pPr>
      <w:bookmarkStart w:id="248" w:name="_Ref529533471"/>
      <w:bookmarkStart w:id="249" w:name="_Toc530684653"/>
      <w:bookmarkEnd w:id="247"/>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4</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2</w:t>
      </w:r>
      <w:r w:rsidR="00371DCC">
        <w:fldChar w:fldCharType="end"/>
      </w:r>
      <w:bookmarkEnd w:id="248"/>
      <w:r>
        <w:t xml:space="preserve"> </w:t>
      </w:r>
      <w:r w:rsidRPr="00AD56A0">
        <w:t>PRISMA flow chart of study section</w:t>
      </w:r>
      <w:bookmarkEnd w:id="249"/>
    </w:p>
    <w:p w14:paraId="0ACCEEF5" w14:textId="77777777" w:rsidR="007E7BB7" w:rsidRDefault="00F1508E" w:rsidP="007E7BB7">
      <w:pPr>
        <w:pStyle w:val="Caption"/>
        <w:keepNext/>
        <w:sectPr w:rsidR="007E7BB7" w:rsidSect="00452C07">
          <w:pgSz w:w="11906" w:h="16838"/>
          <w:pgMar w:top="851" w:right="851" w:bottom="851" w:left="1134" w:header="708" w:footer="708" w:gutter="0"/>
          <w:cols w:space="708"/>
          <w:docGrid w:linePitch="360"/>
        </w:sectPr>
      </w:pPr>
      <w:r w:rsidRPr="00DB3C11">
        <w:rPr>
          <w:noProof/>
          <w:sz w:val="16"/>
          <w:szCs w:val="16"/>
          <w:lang w:eastAsia="en-GB"/>
        </w:rPr>
        <w:drawing>
          <wp:inline distT="0" distB="0" distL="0" distR="0" wp14:anchorId="1170426E" wp14:editId="1AB12026">
            <wp:extent cx="5731510" cy="5330190"/>
            <wp:effectExtent l="0" t="0" r="254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ISMA Diagram.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5330190"/>
                    </a:xfrm>
                    <a:prstGeom prst="rect">
                      <a:avLst/>
                    </a:prstGeom>
                  </pic:spPr>
                </pic:pic>
              </a:graphicData>
            </a:graphic>
          </wp:inline>
        </w:drawing>
      </w:r>
      <w:bookmarkStart w:id="250" w:name="_Ref529533529"/>
      <w:r w:rsidR="007E7BB7" w:rsidRPr="007E7BB7">
        <w:t xml:space="preserve"> </w:t>
      </w:r>
    </w:p>
    <w:p w14:paraId="1256997D" w14:textId="7A53550F" w:rsidR="007E7BB7" w:rsidRDefault="007E7BB7" w:rsidP="007E7BB7">
      <w:pPr>
        <w:pStyle w:val="Caption"/>
        <w:keepNext/>
      </w:pPr>
      <w:bookmarkStart w:id="251" w:name="_Toc530759487"/>
      <w:proofErr w:type="gramStart"/>
      <w:r>
        <w:lastRenderedPageBreak/>
        <w:t xml:space="preserve">Table </w:t>
      </w:r>
      <w:r>
        <w:fldChar w:fldCharType="begin"/>
      </w:r>
      <w:r>
        <w:instrText xml:space="preserve"> STYLEREF 1 \s </w:instrText>
      </w:r>
      <w:r>
        <w:fldChar w:fldCharType="separate"/>
      </w:r>
      <w:r w:rsidR="00574650">
        <w:rPr>
          <w:noProof/>
        </w:rPr>
        <w:t>4</w:t>
      </w:r>
      <w:r>
        <w:fldChar w:fldCharType="end"/>
      </w:r>
      <w:r>
        <w:t>.</w:t>
      </w:r>
      <w:proofErr w:type="gramEnd"/>
      <w:r>
        <w:fldChar w:fldCharType="begin"/>
      </w:r>
      <w:r>
        <w:instrText xml:space="preserve"> SEQ Table \* ARABIC \s 1 </w:instrText>
      </w:r>
      <w:r>
        <w:fldChar w:fldCharType="separate"/>
      </w:r>
      <w:r w:rsidR="00574650">
        <w:rPr>
          <w:noProof/>
        </w:rPr>
        <w:t>2</w:t>
      </w:r>
      <w:r>
        <w:fldChar w:fldCharType="end"/>
      </w:r>
      <w:r>
        <w:t xml:space="preserve"> </w:t>
      </w:r>
      <w:r w:rsidRPr="00421F8E">
        <w:t>Characteristics of included studies</w:t>
      </w:r>
      <w:bookmarkEnd w:id="251"/>
    </w:p>
    <w:tbl>
      <w:tblPr>
        <w:tblStyle w:val="TableGrid"/>
        <w:tblW w:w="149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1200"/>
        <w:gridCol w:w="1201"/>
        <w:gridCol w:w="2102"/>
        <w:gridCol w:w="708"/>
        <w:gridCol w:w="851"/>
        <w:gridCol w:w="1276"/>
        <w:gridCol w:w="1701"/>
        <w:gridCol w:w="2126"/>
        <w:gridCol w:w="850"/>
        <w:gridCol w:w="993"/>
        <w:gridCol w:w="1134"/>
        <w:gridCol w:w="777"/>
      </w:tblGrid>
      <w:tr w:rsidR="007E7BB7" w:rsidRPr="00DB3C11" w14:paraId="5DF85579" w14:textId="77777777" w:rsidTr="007E7BB7">
        <w:trPr>
          <w:trHeight w:val="1128"/>
        </w:trPr>
        <w:tc>
          <w:tcPr>
            <w:tcW w:w="1200" w:type="dxa"/>
            <w:tcBorders>
              <w:top w:val="single" w:sz="4" w:space="0" w:color="auto"/>
              <w:bottom w:val="single" w:sz="4" w:space="0" w:color="auto"/>
            </w:tcBorders>
            <w:vAlign w:val="bottom"/>
          </w:tcPr>
          <w:p w14:paraId="1C490E02" w14:textId="77777777" w:rsidR="007E7BB7" w:rsidRPr="00DB3C11" w:rsidRDefault="007E7BB7" w:rsidP="007E7BB7">
            <w:pPr>
              <w:pStyle w:val="NoSpacing"/>
            </w:pPr>
            <w:bookmarkStart w:id="252" w:name="_Hlk529378640"/>
            <w:bookmarkEnd w:id="250"/>
          </w:p>
        </w:tc>
        <w:tc>
          <w:tcPr>
            <w:tcW w:w="1201" w:type="dxa"/>
            <w:tcBorders>
              <w:top w:val="single" w:sz="4" w:space="0" w:color="auto"/>
              <w:bottom w:val="single" w:sz="4" w:space="0" w:color="auto"/>
            </w:tcBorders>
            <w:vAlign w:val="bottom"/>
          </w:tcPr>
          <w:p w14:paraId="39AB1C7F" w14:textId="77777777" w:rsidR="007E7BB7" w:rsidRPr="00DB3C11" w:rsidRDefault="007E7BB7" w:rsidP="007E7BB7">
            <w:pPr>
              <w:pStyle w:val="NoSpacing"/>
            </w:pPr>
            <w:r w:rsidRPr="00DB3C11">
              <w:t xml:space="preserve">Author </w:t>
            </w:r>
            <w:r w:rsidRPr="00DB3C11">
              <w:br/>
              <w:t>(Year)</w:t>
            </w:r>
          </w:p>
        </w:tc>
        <w:tc>
          <w:tcPr>
            <w:tcW w:w="2102" w:type="dxa"/>
            <w:tcBorders>
              <w:top w:val="single" w:sz="4" w:space="0" w:color="auto"/>
              <w:bottom w:val="single" w:sz="4" w:space="0" w:color="auto"/>
            </w:tcBorders>
            <w:shd w:val="clear" w:color="auto" w:fill="auto"/>
            <w:vAlign w:val="bottom"/>
          </w:tcPr>
          <w:p w14:paraId="74710FB2" w14:textId="77777777" w:rsidR="007E7BB7" w:rsidRPr="00DB3C11" w:rsidRDefault="007E7BB7" w:rsidP="007E7BB7">
            <w:pPr>
              <w:pStyle w:val="NoSpacing"/>
            </w:pPr>
            <w:r w:rsidRPr="00DB3C11">
              <w:t>Context, sample and presenting problem</w:t>
            </w:r>
          </w:p>
        </w:tc>
        <w:tc>
          <w:tcPr>
            <w:tcW w:w="708" w:type="dxa"/>
            <w:tcBorders>
              <w:top w:val="single" w:sz="4" w:space="0" w:color="auto"/>
              <w:bottom w:val="single" w:sz="4" w:space="0" w:color="auto"/>
            </w:tcBorders>
            <w:vAlign w:val="bottom"/>
          </w:tcPr>
          <w:p w14:paraId="30741E85" w14:textId="77777777" w:rsidR="007E7BB7" w:rsidRPr="00DB3C11" w:rsidRDefault="007E7BB7" w:rsidP="007E7BB7">
            <w:pPr>
              <w:pStyle w:val="NoSpacing"/>
            </w:pPr>
            <w:r w:rsidRPr="00DB3C11">
              <w:t>N</w:t>
            </w:r>
          </w:p>
        </w:tc>
        <w:tc>
          <w:tcPr>
            <w:tcW w:w="851" w:type="dxa"/>
            <w:tcBorders>
              <w:top w:val="single" w:sz="4" w:space="0" w:color="auto"/>
              <w:bottom w:val="single" w:sz="4" w:space="0" w:color="auto"/>
            </w:tcBorders>
            <w:vAlign w:val="bottom"/>
          </w:tcPr>
          <w:p w14:paraId="71C39BB8" w14:textId="77777777" w:rsidR="007E7BB7" w:rsidRPr="00DB3C11" w:rsidRDefault="007E7BB7" w:rsidP="007E7BB7">
            <w:pPr>
              <w:pStyle w:val="NoSpacing"/>
            </w:pPr>
            <w:r w:rsidRPr="00DB3C11">
              <w:t>Mean age (SD)</w:t>
            </w:r>
          </w:p>
        </w:tc>
        <w:tc>
          <w:tcPr>
            <w:tcW w:w="1276" w:type="dxa"/>
            <w:tcBorders>
              <w:top w:val="single" w:sz="4" w:space="0" w:color="auto"/>
              <w:bottom w:val="single" w:sz="4" w:space="0" w:color="auto"/>
            </w:tcBorders>
            <w:vAlign w:val="bottom"/>
          </w:tcPr>
          <w:p w14:paraId="7839E604" w14:textId="77777777" w:rsidR="007E7BB7" w:rsidRDefault="007E7BB7" w:rsidP="007E7BB7">
            <w:pPr>
              <w:pStyle w:val="NoSpacing"/>
            </w:pPr>
            <w:r w:rsidRPr="00DB3C11">
              <w:t>Gender</w:t>
            </w:r>
          </w:p>
          <w:p w14:paraId="603A112D" w14:textId="77777777" w:rsidR="007E7BB7" w:rsidRPr="00DB3C11" w:rsidRDefault="007E7BB7" w:rsidP="007E7BB7">
            <w:pPr>
              <w:pStyle w:val="NoSpacing"/>
            </w:pPr>
            <w:r w:rsidRPr="00DB3C11">
              <w:t>(</w:t>
            </w:r>
            <w:r>
              <w:t>% of Males</w:t>
            </w:r>
            <w:r w:rsidRPr="00DB3C11">
              <w:t>)</w:t>
            </w:r>
          </w:p>
        </w:tc>
        <w:tc>
          <w:tcPr>
            <w:tcW w:w="1701" w:type="dxa"/>
            <w:tcBorders>
              <w:top w:val="single" w:sz="4" w:space="0" w:color="auto"/>
              <w:bottom w:val="single" w:sz="4" w:space="0" w:color="auto"/>
            </w:tcBorders>
            <w:vAlign w:val="bottom"/>
          </w:tcPr>
          <w:p w14:paraId="2EB1D094" w14:textId="77777777" w:rsidR="007E7BB7" w:rsidRPr="00DB3C11" w:rsidRDefault="007E7BB7" w:rsidP="007E7BB7">
            <w:pPr>
              <w:pStyle w:val="NoSpacing"/>
            </w:pPr>
            <w:r w:rsidRPr="00DB3C11">
              <w:t>Research independence</w:t>
            </w:r>
            <w:r>
              <w:t>,</w:t>
            </w:r>
          </w:p>
          <w:p w14:paraId="769B8073" w14:textId="77777777" w:rsidR="007E7BB7" w:rsidRPr="00DB3C11" w:rsidRDefault="007E7BB7" w:rsidP="007E7BB7">
            <w:pPr>
              <w:pStyle w:val="NoSpacing"/>
            </w:pPr>
            <w:r>
              <w:t>t</w:t>
            </w:r>
            <w:r w:rsidRPr="00DB3C11">
              <w:t>rial design</w:t>
            </w:r>
            <w:r>
              <w:t xml:space="preserve"> and analytic approach</w:t>
            </w:r>
          </w:p>
        </w:tc>
        <w:tc>
          <w:tcPr>
            <w:tcW w:w="2126" w:type="dxa"/>
            <w:tcBorders>
              <w:top w:val="single" w:sz="4" w:space="0" w:color="auto"/>
              <w:bottom w:val="single" w:sz="4" w:space="0" w:color="auto"/>
            </w:tcBorders>
            <w:vAlign w:val="bottom"/>
          </w:tcPr>
          <w:p w14:paraId="469BAEF1" w14:textId="77777777" w:rsidR="007E7BB7" w:rsidRPr="00DB3C11" w:rsidRDefault="007E7BB7" w:rsidP="007E7BB7">
            <w:pPr>
              <w:pStyle w:val="NoSpacing"/>
            </w:pPr>
            <w:r>
              <w:t>e</w:t>
            </w:r>
            <w:r>
              <w:noBreakHyphen/>
              <w:t>therapy f</w:t>
            </w:r>
            <w:r w:rsidRPr="00DB3C11">
              <w:t>ormat</w:t>
            </w:r>
          </w:p>
          <w:p w14:paraId="5D93346E" w14:textId="77777777" w:rsidR="007E7BB7" w:rsidRPr="00DB3C11" w:rsidRDefault="007E7BB7" w:rsidP="007E7BB7">
            <w:pPr>
              <w:pStyle w:val="NoSpacing"/>
            </w:pPr>
            <w:r w:rsidRPr="00DB3C11">
              <w:t xml:space="preserve">and </w:t>
            </w:r>
            <w:r>
              <w:t>duration</w:t>
            </w:r>
          </w:p>
        </w:tc>
        <w:tc>
          <w:tcPr>
            <w:tcW w:w="850" w:type="dxa"/>
            <w:tcBorders>
              <w:top w:val="single" w:sz="4" w:space="0" w:color="auto"/>
              <w:bottom w:val="single" w:sz="4" w:space="0" w:color="auto"/>
            </w:tcBorders>
            <w:vAlign w:val="bottom"/>
          </w:tcPr>
          <w:p w14:paraId="734F5AD7" w14:textId="77777777" w:rsidR="007E7BB7" w:rsidRPr="00DB3C11" w:rsidRDefault="007E7BB7" w:rsidP="007E7BB7">
            <w:pPr>
              <w:pStyle w:val="NoSpacing"/>
            </w:pPr>
            <w:r w:rsidRPr="00DB3C11">
              <w:t>Control condition</w:t>
            </w:r>
            <w:r>
              <w:t>(s)</w:t>
            </w:r>
          </w:p>
        </w:tc>
        <w:tc>
          <w:tcPr>
            <w:tcW w:w="993" w:type="dxa"/>
            <w:tcBorders>
              <w:top w:val="single" w:sz="4" w:space="0" w:color="auto"/>
              <w:bottom w:val="single" w:sz="4" w:space="0" w:color="auto"/>
            </w:tcBorders>
            <w:vAlign w:val="bottom"/>
          </w:tcPr>
          <w:p w14:paraId="465CE61D" w14:textId="77777777" w:rsidR="007E7BB7" w:rsidRPr="00DB3C11" w:rsidRDefault="007E7BB7" w:rsidP="007E7BB7">
            <w:pPr>
              <w:pStyle w:val="NoSpacing"/>
            </w:pPr>
            <w:r>
              <w:t>Outcome m</w:t>
            </w:r>
            <w:r w:rsidRPr="00DB3C11">
              <w:t>easure</w:t>
            </w:r>
          </w:p>
        </w:tc>
        <w:tc>
          <w:tcPr>
            <w:tcW w:w="1134" w:type="dxa"/>
            <w:tcBorders>
              <w:top w:val="single" w:sz="4" w:space="0" w:color="auto"/>
              <w:bottom w:val="single" w:sz="4" w:space="0" w:color="auto"/>
            </w:tcBorders>
            <w:vAlign w:val="bottom"/>
          </w:tcPr>
          <w:p w14:paraId="74F4B1AF" w14:textId="77777777" w:rsidR="007E7BB7" w:rsidRPr="00DB3C11" w:rsidRDefault="007E7BB7" w:rsidP="007E7BB7">
            <w:pPr>
              <w:pStyle w:val="NoSpacing"/>
            </w:pPr>
            <w:r w:rsidRPr="00DB3C11">
              <w:t>Attrition %</w:t>
            </w:r>
            <w:r>
              <w:t xml:space="preserve"> (n)</w:t>
            </w:r>
          </w:p>
        </w:tc>
        <w:tc>
          <w:tcPr>
            <w:tcW w:w="777" w:type="dxa"/>
            <w:tcBorders>
              <w:top w:val="single" w:sz="4" w:space="0" w:color="auto"/>
              <w:bottom w:val="single" w:sz="4" w:space="0" w:color="auto"/>
            </w:tcBorders>
            <w:vAlign w:val="bottom"/>
          </w:tcPr>
          <w:p w14:paraId="6A518DE4" w14:textId="77777777" w:rsidR="007E7BB7" w:rsidRPr="00DB3C11" w:rsidRDefault="007E7BB7" w:rsidP="007E7BB7">
            <w:pPr>
              <w:pStyle w:val="NoSpacing"/>
            </w:pPr>
            <w:r w:rsidRPr="00DB3C11">
              <w:t>Follow-up</w:t>
            </w:r>
          </w:p>
          <w:p w14:paraId="55BD65D4" w14:textId="77777777" w:rsidR="007E7BB7" w:rsidRPr="00DB3C11" w:rsidRDefault="007E7BB7" w:rsidP="007E7BB7">
            <w:pPr>
              <w:pStyle w:val="NoSpacing"/>
            </w:pPr>
            <w:r w:rsidRPr="00DB3C11">
              <w:t>duration</w:t>
            </w:r>
          </w:p>
        </w:tc>
      </w:tr>
      <w:tr w:rsidR="007E7BB7" w:rsidRPr="00DB3C11" w14:paraId="0362A955" w14:textId="77777777" w:rsidTr="007E7BB7">
        <w:trPr>
          <w:trHeight w:val="1050"/>
        </w:trPr>
        <w:tc>
          <w:tcPr>
            <w:tcW w:w="1200" w:type="dxa"/>
            <w:vMerge w:val="restart"/>
            <w:tcBorders>
              <w:top w:val="single" w:sz="4" w:space="0" w:color="auto"/>
            </w:tcBorders>
          </w:tcPr>
          <w:p w14:paraId="1AF3EC89" w14:textId="77777777" w:rsidR="007E7BB7" w:rsidRPr="00DB3C11" w:rsidRDefault="007E7BB7" w:rsidP="007E7BB7">
            <w:pPr>
              <w:pStyle w:val="NoSpacing"/>
            </w:pPr>
            <w:r w:rsidRPr="00DB3C11">
              <w:t>Beating the Blues</w:t>
            </w:r>
          </w:p>
        </w:tc>
        <w:tc>
          <w:tcPr>
            <w:tcW w:w="1201" w:type="dxa"/>
            <w:tcBorders>
              <w:top w:val="single" w:sz="4" w:space="0" w:color="auto"/>
            </w:tcBorders>
          </w:tcPr>
          <w:p w14:paraId="1AC5F4A0" w14:textId="77777777" w:rsidR="007E7BB7" w:rsidRPr="00DB3C11" w:rsidRDefault="007E7BB7" w:rsidP="007E7BB7">
            <w:pPr>
              <w:pStyle w:val="NoSpacing"/>
            </w:pPr>
            <w:r w:rsidRPr="00DB3C11">
              <w:fldChar w:fldCharType="begin" w:fldLock="1"/>
            </w:r>
            <w:r>
              <w:instrText>ADDIN CSL_CITATION {"citationItems":[{"id":"ITEM-1","itemData":{"DOI":"10.1136/bmj.h5627","ISBN":"1756-1833","ISSN":"1756-1833","PMID":"26559241","abstract":"Study question How effective is supported computerised cognitive behaviour therapy (cCBT) as an adjunct to usual primary care for adults with depression?\\nMethods This was a pragmatic, multicentre, three arm, parallel randomised controlled trial with simple randomisation. Treatment allocation was not blinded. Participants were adults with symptoms of depression (score ≥10 on nine item patient health questionnaire, PHQ-9) who were randomised to receive a commercially produced cCBT programme (“Beating the Blues”) or a free to use cCBT programme (MoodGYM) in addition to usual GP care. Participants were supported and encouraged to complete the programme via weekly telephone calls. Control participants were offered usual GP care, with no constraints on the range of treatments that could be accessed. The primary outcome was severity of depression assessed with the PHQ-9 at four months. Secondary outcomes included health related quality of life (measured by SF-36) and psychological wellbeing (measured by CORE-OM) at four, 12, and 24 months and depression at 12 and 24 months.\\nStudy answer and limitations Participants offered commercial or free to use cCBT experienced no additional improvement in depression compared with usual GP care at four months (odds ratio 1.19 (95% confidence interval 0.75 to 1.88) for Beating the Blues v usual GP care; 0.98 (0.62 to 1.56) for MoodGYM v usual GP care). There was no evidence of an overall difference between either programme compared with usual GP care (0.99 (0.57 to 1.70) and 0.68 (0.42 to 1.10), respectively) at any time point. Commercially provided cCBT conferred no additional benefit over free to use cCBT or usual GP care at any follow-up point. Uptake and use of cCBT was low, despite regular telephone support. Nearly a quarter of participants (24%) had dropped out by four months. The study did not have enough power to detect small differences so these cannot be ruled out. Findings cannot be generalised to cCBT offered with a much higher level of guidance and support.\\nWhat this study adds Supported cCBT does not substantially improve depression outcomes compared with usual GP care alone. In this study, neither a commercially available nor free to use computerised CBT intervention was superior to usual GP care.\\nFunding, competing interests, data sharing Commissioned and funded by the UK National Institute for Health Research (NIHR) Health Technology Assessment (HTA) programme (project No 06/43/05). The authors have no …","author":[{"dropping-particle":"","family":"Gilbody","given":"Simon","non-dropping-particle":"","parse-names":false,"suffix":""},{"dropping-particle":"","family":"Littlewood","given":"Elizabeth","non-dropping-particle":"","parse-names":false,"suffix":""},{"dropping-particle":"","family":"Hewitt","given":"Catherine","non-dropping-particle":"","parse-names":false,"suffix":""},{"dropping-particle":"","family":"Brierley","given":"Gwen","non-dropping-particle":"","parse-names":false,"suffix":""},{"dropping-particle":"","family":"Tharmanathan","given":"Puvan","non-dropping-particle":"","parse-names":false,"suffix":""},{"dropping-particle":"","family":"Araya","given":"Ricardo","non-dropping-particle":"","parse-names":false,"suffix":""},{"dropping-particle":"","family":"Barkham","given":"Michael","non-dropping-particle":"","parse-names":false,"suffix":""},{"dropping-particle":"","family":"Bower","given":"Peter","non-dropping-particle":"","parse-names":false,"suffix":""},{"dropping-particle":"","family":"Cooper","given":"Cindy","non-dropping-particle":"","parse-names":false,"suffix":""},{"dropping-particle":"","family":"Gask","given":"Linda","non-dropping-particle":"","parse-names":false,"suffix":""},{"dropping-particle":"","family":"Kessler","given":"David","non-dropping-particle":"","parse-names":false,"suffix":""},{"dropping-particle":"","family":"Lester","given":"Helen","non-dropping-particle":"","parse-names":false,"suffix":""},{"dropping-particle":"","family":"Lovell","given":"Karina","non-dropping-particle":"","parse-names":false,"suffix":""},{"dropping-particle":"","family":"Parry","given":"Glenys","non-dropping-particle":"","parse-names":false,"suffix":""},{"dropping-particle":"","family":"Richards","given":"David A","non-dropping-particle":"","parse-names":false,"suffix":""},{"dropping-particle":"","family":"Andersen","given":"Phil","non-dropping-particle":"","parse-names":false,"suffix":""},{"dropping-particle":"","family":"Brabyn","given":"Sally","non-dropping-particle":"","parse-names":false,"suffix":""},{"dropping-particle":"","family":"Knowles","given":"Sarah","non-dropping-particle":"","parse-names":false,"suffix":""},{"dropping-particle":"","family":"Shepherd","given":"Charles","non-dropping-particle":"","parse-names":false,"suffix":""},{"dropping-particle":"","family":"Tallon","given":"Debbie","non-dropping-particle":"","parse-names":false,"suffix":""},{"dropping-particle":"","family":"White","given":"David","non-dropping-particle":"","parse-names":false,"suffix":""}],"container-title":"Bmj","id":"ITEM-1","issued":{"date-parts":[["2015"]]},"page":"h5627","title":"Computerised cognitive behaviour therapy (cCBT) as treatment for depression in primary care (REEACT trial): large scale pragmatic randomised controlled trial","type":"article-journal","volume":"351"},"uris":["http://www.mendeley.com/documents/?uuid=d2df6197-3949-43e6-a5c7-08809e4cbc2e"]}],"mendeley":{"formattedCitation":"(Gilbody &lt;i&gt;et al.&lt;/i&gt;, 2015)","manualFormatting":"Gilbody et al. (2015)","plainTextFormattedCitation":"(Gilbody et al., 2015)","previouslyFormattedCitation":"(Gilbody &lt;i&gt;et al.&lt;/i&gt;, 2015)"},"properties":{"noteIndex":0},"schema":"https://github.com/citation-style-language/schema/raw/master/csl-citation.json"}</w:instrText>
            </w:r>
            <w:r w:rsidRPr="00DB3C11">
              <w:fldChar w:fldCharType="separate"/>
            </w:r>
            <w:r w:rsidRPr="00DB3C11">
              <w:rPr>
                <w:noProof/>
              </w:rPr>
              <w:t>Gilbody et al. (2015)</w:t>
            </w:r>
            <w:r w:rsidRPr="00DB3C11">
              <w:fldChar w:fldCharType="end"/>
            </w:r>
          </w:p>
        </w:tc>
        <w:tc>
          <w:tcPr>
            <w:tcW w:w="2102" w:type="dxa"/>
            <w:tcBorders>
              <w:top w:val="single" w:sz="4" w:space="0" w:color="auto"/>
            </w:tcBorders>
            <w:shd w:val="clear" w:color="auto" w:fill="auto"/>
          </w:tcPr>
          <w:p w14:paraId="37466216" w14:textId="77777777" w:rsidR="007E7BB7" w:rsidRPr="008C4675" w:rsidRDefault="007E7BB7" w:rsidP="007E7BB7">
            <w:pPr>
              <w:pStyle w:val="NoSpacing"/>
            </w:pPr>
            <w:r w:rsidRPr="008C4675">
              <w:t xml:space="preserve">Primary Care </w:t>
            </w:r>
          </w:p>
          <w:p w14:paraId="222DB62B" w14:textId="77777777" w:rsidR="007E7BB7" w:rsidRPr="008C4675" w:rsidRDefault="007E7BB7" w:rsidP="007E7BB7">
            <w:pPr>
              <w:pStyle w:val="NoSpacing"/>
            </w:pPr>
            <w:r w:rsidRPr="008C4675">
              <w:t xml:space="preserve">Clinical </w:t>
            </w:r>
            <w:r>
              <w:t>S</w:t>
            </w:r>
            <w:r w:rsidRPr="008C4675">
              <w:t xml:space="preserve">ample </w:t>
            </w:r>
          </w:p>
          <w:p w14:paraId="4EB250BC" w14:textId="77777777" w:rsidR="007E7BB7" w:rsidRPr="008C4675" w:rsidRDefault="007E7BB7" w:rsidP="007E7BB7">
            <w:pPr>
              <w:pStyle w:val="NoSpacing"/>
            </w:pPr>
            <w:r w:rsidRPr="008C4675">
              <w:t>Depression</w:t>
            </w:r>
          </w:p>
        </w:tc>
        <w:tc>
          <w:tcPr>
            <w:tcW w:w="708" w:type="dxa"/>
            <w:tcBorders>
              <w:top w:val="single" w:sz="4" w:space="0" w:color="auto"/>
            </w:tcBorders>
          </w:tcPr>
          <w:p w14:paraId="29D01038" w14:textId="77777777" w:rsidR="007E7BB7" w:rsidRPr="00DB3C11" w:rsidRDefault="007E7BB7" w:rsidP="007E7BB7">
            <w:pPr>
              <w:pStyle w:val="NoSpacing"/>
            </w:pPr>
            <w:r w:rsidRPr="00DB3C11">
              <w:t>691</w:t>
            </w:r>
          </w:p>
        </w:tc>
        <w:tc>
          <w:tcPr>
            <w:tcW w:w="851" w:type="dxa"/>
            <w:tcBorders>
              <w:top w:val="single" w:sz="4" w:space="0" w:color="auto"/>
            </w:tcBorders>
          </w:tcPr>
          <w:p w14:paraId="2E0AF89B" w14:textId="77777777" w:rsidR="007E7BB7" w:rsidRPr="00DB3C11" w:rsidRDefault="007E7BB7" w:rsidP="007E7BB7">
            <w:pPr>
              <w:pStyle w:val="NoSpacing"/>
            </w:pPr>
            <w:r w:rsidRPr="00DB3C11">
              <w:t>39.87 (12.65)</w:t>
            </w:r>
          </w:p>
        </w:tc>
        <w:tc>
          <w:tcPr>
            <w:tcW w:w="1276" w:type="dxa"/>
            <w:tcBorders>
              <w:top w:val="single" w:sz="4" w:space="0" w:color="auto"/>
            </w:tcBorders>
          </w:tcPr>
          <w:p w14:paraId="75F017FD" w14:textId="77777777" w:rsidR="007E7BB7" w:rsidRDefault="007E7BB7" w:rsidP="007E7BB7">
            <w:pPr>
              <w:pStyle w:val="NoSpacing"/>
            </w:pPr>
            <w:r>
              <w:t>33.14%</w:t>
            </w:r>
          </w:p>
          <w:p w14:paraId="16D54245" w14:textId="77777777" w:rsidR="007E7BB7" w:rsidRPr="00DB3C11" w:rsidRDefault="007E7BB7" w:rsidP="007E7BB7">
            <w:pPr>
              <w:pStyle w:val="NoSpacing"/>
            </w:pPr>
            <w:r>
              <w:t>(229)</w:t>
            </w:r>
          </w:p>
        </w:tc>
        <w:tc>
          <w:tcPr>
            <w:tcW w:w="1701" w:type="dxa"/>
            <w:tcBorders>
              <w:top w:val="single" w:sz="4" w:space="0" w:color="auto"/>
            </w:tcBorders>
          </w:tcPr>
          <w:p w14:paraId="0E5C0033" w14:textId="77777777" w:rsidR="007E7BB7" w:rsidRPr="008C4675" w:rsidRDefault="007E7BB7" w:rsidP="007E7BB7">
            <w:pPr>
              <w:pStyle w:val="NoSpacing"/>
            </w:pPr>
            <w:r w:rsidRPr="008C4675">
              <w:t xml:space="preserve">No </w:t>
            </w:r>
            <w:r>
              <w:t>COI</w:t>
            </w:r>
            <w:r w:rsidRPr="008C4675">
              <w:t>.</w:t>
            </w:r>
          </w:p>
          <w:p w14:paraId="7A8061AA" w14:textId="77777777" w:rsidR="007E7BB7" w:rsidRPr="008C4675" w:rsidRDefault="007E7BB7" w:rsidP="007E7BB7">
            <w:pPr>
              <w:pStyle w:val="NoSpacing"/>
            </w:pPr>
            <w:r w:rsidRPr="008C4675">
              <w:t>Pragmatic,</w:t>
            </w:r>
            <w:r>
              <w:t xml:space="preserve"> </w:t>
            </w:r>
            <w:r w:rsidRPr="008C4675">
              <w:t xml:space="preserve">multicentre, </w:t>
            </w:r>
            <w:r>
              <w:t>3</w:t>
            </w:r>
            <w:r w:rsidRPr="008C4675">
              <w:t xml:space="preserve"> </w:t>
            </w:r>
            <w:proofErr w:type="gramStart"/>
            <w:r w:rsidRPr="008C4675">
              <w:t>arm</w:t>
            </w:r>
            <w:proofErr w:type="gramEnd"/>
            <w:r w:rsidRPr="008C4675">
              <w:t>, parallel.</w:t>
            </w:r>
          </w:p>
          <w:p w14:paraId="2A2FBF5B" w14:textId="77777777" w:rsidR="007E7BB7" w:rsidRPr="008C4675" w:rsidRDefault="007E7BB7" w:rsidP="007E7BB7">
            <w:pPr>
              <w:pStyle w:val="NoSpacing"/>
            </w:pPr>
            <w:r w:rsidRPr="008C4675">
              <w:t>ITT</w:t>
            </w:r>
          </w:p>
        </w:tc>
        <w:tc>
          <w:tcPr>
            <w:tcW w:w="2126" w:type="dxa"/>
            <w:tcBorders>
              <w:top w:val="single" w:sz="4" w:space="0" w:color="auto"/>
            </w:tcBorders>
          </w:tcPr>
          <w:p w14:paraId="04CCBEA2" w14:textId="77777777" w:rsidR="007E7BB7" w:rsidRPr="00DB3C11" w:rsidRDefault="007E7BB7" w:rsidP="007E7BB7">
            <w:pPr>
              <w:pStyle w:val="NoSpacing"/>
            </w:pPr>
            <w:r>
              <w:t>S</w:t>
            </w:r>
            <w:r w:rsidRPr="00CA39FF">
              <w:t>elf-administered therapy</w:t>
            </w:r>
            <w:r>
              <w:t>.</w:t>
            </w:r>
          </w:p>
          <w:p w14:paraId="3DBA05A6" w14:textId="77777777" w:rsidR="007E7BB7" w:rsidRDefault="007E7BB7" w:rsidP="007E7BB7">
            <w:pPr>
              <w:pStyle w:val="NoSpacing"/>
            </w:pPr>
            <w:r w:rsidRPr="00DB3C11">
              <w:t>8 x 50 min</w:t>
            </w:r>
            <w:r>
              <w:t xml:space="preserve"> Sessions.</w:t>
            </w:r>
          </w:p>
          <w:p w14:paraId="24777F02" w14:textId="77777777" w:rsidR="007E7BB7" w:rsidRDefault="007E7BB7" w:rsidP="007E7BB7">
            <w:pPr>
              <w:pStyle w:val="NoSpacing"/>
            </w:pPr>
            <w:r>
              <w:t>1 x</w:t>
            </w:r>
            <w:r w:rsidRPr="00DB3C11">
              <w:t xml:space="preserve"> 15 min intro vid</w:t>
            </w:r>
            <w:r>
              <w:t>eo.</w:t>
            </w:r>
          </w:p>
          <w:p w14:paraId="17503111" w14:textId="77777777" w:rsidR="007E7BB7" w:rsidRPr="00DB3C11" w:rsidRDefault="007E7BB7" w:rsidP="007E7BB7">
            <w:pPr>
              <w:pStyle w:val="NoSpacing"/>
            </w:pPr>
            <w:r>
              <w:t>Weekly</w:t>
            </w:r>
          </w:p>
          <w:p w14:paraId="7A771BA2" w14:textId="77777777" w:rsidR="007E7BB7" w:rsidRPr="00DB3C11" w:rsidRDefault="007E7BB7" w:rsidP="007E7BB7">
            <w:pPr>
              <w:pStyle w:val="NoSpacing"/>
            </w:pPr>
          </w:p>
        </w:tc>
        <w:tc>
          <w:tcPr>
            <w:tcW w:w="850" w:type="dxa"/>
            <w:tcBorders>
              <w:top w:val="single" w:sz="4" w:space="0" w:color="auto"/>
            </w:tcBorders>
          </w:tcPr>
          <w:p w14:paraId="466C1A79" w14:textId="77777777" w:rsidR="007E7BB7" w:rsidRPr="00DB3C11" w:rsidRDefault="007E7BB7" w:rsidP="007E7BB7">
            <w:pPr>
              <w:pStyle w:val="NoSpacing"/>
            </w:pPr>
            <w:r>
              <w:t xml:space="preserve">1. </w:t>
            </w:r>
            <w:r w:rsidRPr="00DB3C11">
              <w:t>TAU</w:t>
            </w:r>
          </w:p>
          <w:p w14:paraId="3C408147" w14:textId="77777777" w:rsidR="007E7BB7" w:rsidRPr="00DB3C11" w:rsidRDefault="007E7BB7" w:rsidP="007E7BB7">
            <w:pPr>
              <w:pStyle w:val="NoSpacing"/>
            </w:pPr>
            <w:r>
              <w:t xml:space="preserve">2. </w:t>
            </w:r>
            <w:proofErr w:type="spellStart"/>
            <w:r w:rsidRPr="00DB3C11">
              <w:t>MoodGYM</w:t>
            </w:r>
            <w:proofErr w:type="spellEnd"/>
          </w:p>
        </w:tc>
        <w:tc>
          <w:tcPr>
            <w:tcW w:w="993" w:type="dxa"/>
            <w:tcBorders>
              <w:top w:val="single" w:sz="4" w:space="0" w:color="auto"/>
            </w:tcBorders>
          </w:tcPr>
          <w:p w14:paraId="11AC5B29" w14:textId="77777777" w:rsidR="007E7BB7" w:rsidRPr="00DB3C11" w:rsidRDefault="007E7BB7" w:rsidP="007E7BB7">
            <w:pPr>
              <w:pStyle w:val="NoSpacing"/>
            </w:pPr>
            <w:r w:rsidRPr="00DB3C11">
              <w:t>PHQ-9</w:t>
            </w:r>
          </w:p>
        </w:tc>
        <w:tc>
          <w:tcPr>
            <w:tcW w:w="1134" w:type="dxa"/>
            <w:tcBorders>
              <w:top w:val="single" w:sz="4" w:space="0" w:color="auto"/>
            </w:tcBorders>
          </w:tcPr>
          <w:p w14:paraId="1C31E99F" w14:textId="77777777" w:rsidR="007E7BB7" w:rsidRPr="00DB3C11" w:rsidRDefault="007E7BB7" w:rsidP="007E7BB7">
            <w:pPr>
              <w:pStyle w:val="NoSpacing"/>
            </w:pPr>
            <w:r>
              <w:t>e</w:t>
            </w:r>
            <w:r>
              <w:noBreakHyphen/>
              <w:t xml:space="preserve">therapy - </w:t>
            </w:r>
            <w:r w:rsidRPr="00DB3C11">
              <w:t>21% (45)</w:t>
            </w:r>
          </w:p>
          <w:p w14:paraId="41DC354E" w14:textId="77777777" w:rsidR="007E7BB7" w:rsidRPr="00DB3C11" w:rsidRDefault="007E7BB7" w:rsidP="007E7BB7">
            <w:pPr>
              <w:pStyle w:val="NoSpacing"/>
            </w:pPr>
            <w:r>
              <w:t xml:space="preserve">1. </w:t>
            </w:r>
            <w:r w:rsidRPr="00DB3C11">
              <w:t xml:space="preserve">25% (60) </w:t>
            </w:r>
          </w:p>
          <w:p w14:paraId="37F5C22F" w14:textId="77777777" w:rsidR="007E7BB7" w:rsidRPr="00DB3C11" w:rsidRDefault="007E7BB7" w:rsidP="007E7BB7">
            <w:pPr>
              <w:pStyle w:val="NoSpacing"/>
            </w:pPr>
            <w:r>
              <w:t xml:space="preserve">2. </w:t>
            </w:r>
            <w:r w:rsidRPr="00DB3C11">
              <w:t>25% (60)</w:t>
            </w:r>
          </w:p>
        </w:tc>
        <w:tc>
          <w:tcPr>
            <w:tcW w:w="777" w:type="dxa"/>
            <w:tcBorders>
              <w:top w:val="single" w:sz="4" w:space="0" w:color="auto"/>
            </w:tcBorders>
          </w:tcPr>
          <w:p w14:paraId="6A275E89" w14:textId="77777777" w:rsidR="007E7BB7" w:rsidRPr="00DB3C11" w:rsidRDefault="007E7BB7" w:rsidP="007E7BB7">
            <w:pPr>
              <w:pStyle w:val="NoSpacing"/>
            </w:pPr>
            <w:r w:rsidRPr="00DB3C11">
              <w:t>6 months</w:t>
            </w:r>
          </w:p>
        </w:tc>
      </w:tr>
      <w:tr w:rsidR="007E7BB7" w:rsidRPr="00DB3C11" w14:paraId="661A8935" w14:textId="77777777" w:rsidTr="007E7BB7">
        <w:trPr>
          <w:trHeight w:val="820"/>
        </w:trPr>
        <w:tc>
          <w:tcPr>
            <w:tcW w:w="1200" w:type="dxa"/>
            <w:vMerge/>
          </w:tcPr>
          <w:p w14:paraId="7B06C325" w14:textId="77777777" w:rsidR="007E7BB7" w:rsidRPr="00DB3C11" w:rsidRDefault="007E7BB7" w:rsidP="007E7BB7">
            <w:pPr>
              <w:pStyle w:val="NoSpacing"/>
            </w:pPr>
          </w:p>
        </w:tc>
        <w:tc>
          <w:tcPr>
            <w:tcW w:w="1201" w:type="dxa"/>
          </w:tcPr>
          <w:p w14:paraId="4D795528" w14:textId="77777777" w:rsidR="007E7BB7" w:rsidRPr="00DB3C11" w:rsidRDefault="007E7BB7" w:rsidP="007E7BB7">
            <w:pPr>
              <w:pStyle w:val="NoSpacing"/>
            </w:pPr>
            <w:r w:rsidRPr="00DB3C11">
              <w:fldChar w:fldCharType="begin" w:fldLock="1"/>
            </w:r>
            <w:r>
              <w:instrText>ADDIN CSL_CITATION {"citationItems":[{"id":"ITEM-1","itemData":{"DOI":"10.1192/bjp.185.1.46","ISSN":"0007-1250","author":[{"dropping-particle":"","family":"Proudfoot","given":"J","non-dropping-particle":"","parse-names":false,"suffix":""},{"dropping-particle":"","family":"Ryden","given":"C","non-dropping-particle":"","parse-names":false,"suffix":""},{"dropping-particle":"","family":"Everitt","given":"B","non-dropping-particle":"","parse-names":false,"suffix":""},{"dropping-particle":"","family":"Shapiro","given":"D","non-dropping-particle":"","parse-names":false,"suffix":""},{"dropping-particle":"","family":"Goldberg","given":"D","non-dropping-particle":"","parse-names":false,"suffix":""},{"dropping-particle":"","family":"Mann","given":"A","non-dropping-particle":"","parse-names":false,"suffix":""},{"dropping-particle":"","family":"Tylee","given":"A","non-dropping-particle":"","parse-names":false,"suffix":""},{"dropping-particle":"","family":"Marks","given":"I","non-dropping-particle":"","parse-names":false,"suffix":""},{"dropping-particle":"","family":"A","given":"Gray","non-dropping-particle":"","parse-names":false,"suffix":""}],"container-title":"The British Journal of Psychiatry","id":"ITEM-1","issue":"1","issued":{"date-parts":[["2004"]]},"page":"46-54","title":"Clinical efficacy of computerised cognitive-behavioural therapy for anxiety and depression in primary care: randomised controlled trial","type":"article-journal","volume":"185"},"uris":["http://www.mendeley.com/documents/?uuid=af67f710-8e45-4d92-a3a6-6dc1af415630"]}],"mendeley":{"formattedCitation":"(Proudfoot &lt;i&gt;et al.&lt;/i&gt;, 2004)","manualFormatting":"Proudfoot et al. (2004)","plainTextFormattedCitation":"(Proudfoot et al., 2004)","previouslyFormattedCitation":"(Proudfoot &lt;i&gt;et al.&lt;/i&gt;, 2004)"},"properties":{"noteIndex":0},"schema":"https://github.com/citation-style-language/schema/raw/master/csl-citation.json"}</w:instrText>
            </w:r>
            <w:r w:rsidRPr="00DB3C11">
              <w:fldChar w:fldCharType="separate"/>
            </w:r>
            <w:r w:rsidRPr="00DB3C11">
              <w:rPr>
                <w:noProof/>
              </w:rPr>
              <w:t>Proudfoot et al. (2004)</w:t>
            </w:r>
            <w:r w:rsidRPr="00DB3C11">
              <w:fldChar w:fldCharType="end"/>
            </w:r>
          </w:p>
        </w:tc>
        <w:tc>
          <w:tcPr>
            <w:tcW w:w="2102" w:type="dxa"/>
            <w:shd w:val="clear" w:color="auto" w:fill="auto"/>
          </w:tcPr>
          <w:p w14:paraId="42C4BCF8" w14:textId="77777777" w:rsidR="007E7BB7" w:rsidRDefault="007E7BB7" w:rsidP="007E7BB7">
            <w:pPr>
              <w:pStyle w:val="NoSpacing"/>
            </w:pPr>
            <w:r w:rsidRPr="00DB3C11">
              <w:t>Primary Care</w:t>
            </w:r>
            <w:r>
              <w:t xml:space="preserve"> </w:t>
            </w:r>
          </w:p>
          <w:p w14:paraId="10923CFB" w14:textId="77777777" w:rsidR="007E7BB7" w:rsidRDefault="007E7BB7" w:rsidP="007E7BB7">
            <w:pPr>
              <w:pStyle w:val="NoSpacing"/>
            </w:pPr>
            <w:r w:rsidRPr="00DB3C11">
              <w:t>Clinical Sample</w:t>
            </w:r>
          </w:p>
          <w:p w14:paraId="553A1637" w14:textId="77777777" w:rsidR="007E7BB7" w:rsidRPr="00DB3C11" w:rsidRDefault="007E7BB7" w:rsidP="007E7BB7">
            <w:pPr>
              <w:pStyle w:val="NoSpacing"/>
            </w:pPr>
            <w:r w:rsidRPr="00DB3C11">
              <w:t>Anxiety</w:t>
            </w:r>
            <w:r>
              <w:t>/D</w:t>
            </w:r>
            <w:r w:rsidRPr="00DB3C11">
              <w:t>epression</w:t>
            </w:r>
          </w:p>
        </w:tc>
        <w:tc>
          <w:tcPr>
            <w:tcW w:w="708" w:type="dxa"/>
          </w:tcPr>
          <w:p w14:paraId="30731C31" w14:textId="77777777" w:rsidR="007E7BB7" w:rsidRDefault="007E7BB7" w:rsidP="007E7BB7">
            <w:pPr>
              <w:pStyle w:val="NoSpacing"/>
            </w:pPr>
          </w:p>
          <w:p w14:paraId="4B0D3FF8" w14:textId="77777777" w:rsidR="007E7BB7" w:rsidRPr="00DB3C11" w:rsidRDefault="007E7BB7" w:rsidP="007E7BB7">
            <w:pPr>
              <w:pStyle w:val="NoSpacing"/>
            </w:pPr>
            <w:r w:rsidRPr="00DB3C11">
              <w:t>274</w:t>
            </w:r>
          </w:p>
        </w:tc>
        <w:tc>
          <w:tcPr>
            <w:tcW w:w="851" w:type="dxa"/>
          </w:tcPr>
          <w:p w14:paraId="565BE176" w14:textId="77777777" w:rsidR="007E7BB7" w:rsidRPr="00DB3C11" w:rsidRDefault="007E7BB7" w:rsidP="007E7BB7">
            <w:pPr>
              <w:pStyle w:val="NoSpacing"/>
            </w:pPr>
            <w:r w:rsidRPr="00DB3C11">
              <w:t>43.51 (13.9</w:t>
            </w:r>
            <w:r>
              <w:t>0</w:t>
            </w:r>
            <w:r w:rsidRPr="00DB3C11">
              <w:t>9)</w:t>
            </w:r>
          </w:p>
        </w:tc>
        <w:tc>
          <w:tcPr>
            <w:tcW w:w="1276" w:type="dxa"/>
          </w:tcPr>
          <w:p w14:paraId="1DE559F0" w14:textId="77777777" w:rsidR="007E7BB7" w:rsidRDefault="007E7BB7" w:rsidP="007E7BB7">
            <w:pPr>
              <w:pStyle w:val="NoSpacing"/>
            </w:pPr>
            <w:r>
              <w:t>26.28%</w:t>
            </w:r>
          </w:p>
          <w:p w14:paraId="02B81F83" w14:textId="77777777" w:rsidR="007E7BB7" w:rsidRPr="00DB3C11" w:rsidRDefault="007E7BB7" w:rsidP="007E7BB7">
            <w:pPr>
              <w:pStyle w:val="NoSpacing"/>
            </w:pPr>
            <w:r>
              <w:t>(72)</w:t>
            </w:r>
          </w:p>
        </w:tc>
        <w:tc>
          <w:tcPr>
            <w:tcW w:w="1701" w:type="dxa"/>
          </w:tcPr>
          <w:p w14:paraId="6C9D9777" w14:textId="77777777" w:rsidR="007E7BB7" w:rsidRPr="008C4675" w:rsidRDefault="007E7BB7" w:rsidP="007E7BB7">
            <w:pPr>
              <w:pStyle w:val="NoSpacing"/>
            </w:pPr>
            <w:r>
              <w:t>No COI</w:t>
            </w:r>
            <w:r w:rsidRPr="008C4675">
              <w:t>.</w:t>
            </w:r>
          </w:p>
          <w:p w14:paraId="74C896E2" w14:textId="77777777" w:rsidR="007E7BB7" w:rsidRPr="008C4675" w:rsidRDefault="007E7BB7" w:rsidP="007E7BB7">
            <w:pPr>
              <w:pStyle w:val="NoSpacing"/>
            </w:pPr>
            <w:r w:rsidRPr="008C4675">
              <w:t xml:space="preserve">Efficacy, </w:t>
            </w:r>
            <w:r>
              <w:t>2</w:t>
            </w:r>
            <w:r w:rsidRPr="008C4675">
              <w:t xml:space="preserve"> arm, parallel.</w:t>
            </w:r>
          </w:p>
          <w:p w14:paraId="4E51472C" w14:textId="77777777" w:rsidR="007E7BB7" w:rsidRPr="008C4675" w:rsidRDefault="007E7BB7" w:rsidP="007E7BB7">
            <w:pPr>
              <w:pStyle w:val="NoSpacing"/>
            </w:pPr>
            <w:r w:rsidRPr="008C4675">
              <w:t>ITT</w:t>
            </w:r>
          </w:p>
        </w:tc>
        <w:tc>
          <w:tcPr>
            <w:tcW w:w="2126" w:type="dxa"/>
          </w:tcPr>
          <w:p w14:paraId="1F24528E" w14:textId="77777777" w:rsidR="007E7BB7" w:rsidRDefault="007E7BB7" w:rsidP="007E7BB7">
            <w:pPr>
              <w:pStyle w:val="NoSpacing"/>
            </w:pPr>
            <w:r>
              <w:t>P</w:t>
            </w:r>
            <w:r w:rsidRPr="00D7305E">
              <w:t>redominantly self-help</w:t>
            </w:r>
            <w:r>
              <w:t>.</w:t>
            </w:r>
          </w:p>
          <w:p w14:paraId="4F7FD6D2" w14:textId="77777777" w:rsidR="007E7BB7" w:rsidRDefault="007E7BB7" w:rsidP="007E7BB7">
            <w:pPr>
              <w:pStyle w:val="NoSpacing"/>
            </w:pPr>
            <w:r w:rsidRPr="00DB3C11">
              <w:t>8 x 50 min</w:t>
            </w:r>
            <w:r>
              <w:t xml:space="preserve"> Sessions.</w:t>
            </w:r>
          </w:p>
          <w:p w14:paraId="766109D5" w14:textId="77777777" w:rsidR="007E7BB7" w:rsidRDefault="007E7BB7" w:rsidP="007E7BB7">
            <w:pPr>
              <w:pStyle w:val="NoSpacing"/>
            </w:pPr>
            <w:r>
              <w:t>1 x</w:t>
            </w:r>
            <w:r w:rsidRPr="00DB3C11">
              <w:t xml:space="preserve"> 15 min intro vid</w:t>
            </w:r>
            <w:r>
              <w:t>eo.</w:t>
            </w:r>
          </w:p>
          <w:p w14:paraId="03C31E87" w14:textId="77777777" w:rsidR="007E7BB7" w:rsidRDefault="007E7BB7" w:rsidP="007E7BB7">
            <w:pPr>
              <w:pStyle w:val="NoSpacing"/>
            </w:pPr>
            <w:r w:rsidRPr="00DB3C11">
              <w:t>Weekly</w:t>
            </w:r>
          </w:p>
          <w:p w14:paraId="6F76D51E" w14:textId="77777777" w:rsidR="007E7BB7" w:rsidRPr="00DB3C11" w:rsidRDefault="007E7BB7" w:rsidP="007E7BB7">
            <w:pPr>
              <w:pStyle w:val="NoSpacing"/>
            </w:pPr>
          </w:p>
        </w:tc>
        <w:tc>
          <w:tcPr>
            <w:tcW w:w="850" w:type="dxa"/>
          </w:tcPr>
          <w:p w14:paraId="3CDAC2F4" w14:textId="77777777" w:rsidR="007E7BB7" w:rsidRPr="00DB3C11" w:rsidRDefault="007E7BB7" w:rsidP="007E7BB7">
            <w:pPr>
              <w:pStyle w:val="NoSpacing"/>
            </w:pPr>
            <w:r>
              <w:t xml:space="preserve">1. </w:t>
            </w:r>
            <w:r w:rsidRPr="00DB3C11">
              <w:t>TAU</w:t>
            </w:r>
          </w:p>
        </w:tc>
        <w:tc>
          <w:tcPr>
            <w:tcW w:w="993" w:type="dxa"/>
          </w:tcPr>
          <w:p w14:paraId="2F75E993" w14:textId="77777777" w:rsidR="007E7BB7" w:rsidRPr="00DB3C11" w:rsidRDefault="007E7BB7" w:rsidP="007E7BB7">
            <w:pPr>
              <w:pStyle w:val="NoSpacing"/>
            </w:pPr>
            <w:r w:rsidRPr="00DB3C11">
              <w:t>BDI</w:t>
            </w:r>
          </w:p>
        </w:tc>
        <w:tc>
          <w:tcPr>
            <w:tcW w:w="1134" w:type="dxa"/>
          </w:tcPr>
          <w:p w14:paraId="598E8B8F" w14:textId="77777777" w:rsidR="007E7BB7" w:rsidRPr="00DB3C11" w:rsidRDefault="007E7BB7" w:rsidP="007E7BB7">
            <w:pPr>
              <w:pStyle w:val="NoSpacing"/>
            </w:pPr>
            <w:r>
              <w:t>e</w:t>
            </w:r>
            <w:r>
              <w:noBreakHyphen/>
              <w:t xml:space="preserve">therapy - </w:t>
            </w:r>
            <w:r w:rsidRPr="00DB3C11">
              <w:t>37% (54)</w:t>
            </w:r>
          </w:p>
          <w:p w14:paraId="4C8CE103" w14:textId="77777777" w:rsidR="007E7BB7" w:rsidRPr="00DB3C11" w:rsidRDefault="007E7BB7" w:rsidP="007E7BB7">
            <w:pPr>
              <w:pStyle w:val="NoSpacing"/>
            </w:pPr>
            <w:r>
              <w:t xml:space="preserve">1. </w:t>
            </w:r>
            <w:r w:rsidRPr="00DB3C11">
              <w:t>34% (43)</w:t>
            </w:r>
          </w:p>
        </w:tc>
        <w:tc>
          <w:tcPr>
            <w:tcW w:w="777" w:type="dxa"/>
          </w:tcPr>
          <w:p w14:paraId="53A117CA" w14:textId="77777777" w:rsidR="007E7BB7" w:rsidRPr="00DB3C11" w:rsidRDefault="007E7BB7" w:rsidP="007E7BB7">
            <w:pPr>
              <w:pStyle w:val="NoSpacing"/>
            </w:pPr>
            <w:r w:rsidRPr="00DB3C11">
              <w:t xml:space="preserve">6 months </w:t>
            </w:r>
          </w:p>
        </w:tc>
      </w:tr>
      <w:tr w:rsidR="007E7BB7" w:rsidRPr="00DB3C11" w14:paraId="5C80292C" w14:textId="77777777" w:rsidTr="007E7BB7">
        <w:trPr>
          <w:trHeight w:val="786"/>
        </w:trPr>
        <w:tc>
          <w:tcPr>
            <w:tcW w:w="1200" w:type="dxa"/>
            <w:vMerge/>
          </w:tcPr>
          <w:p w14:paraId="230E9484" w14:textId="77777777" w:rsidR="007E7BB7" w:rsidRPr="00DB3C11" w:rsidRDefault="007E7BB7" w:rsidP="007E7BB7">
            <w:pPr>
              <w:pStyle w:val="NoSpacing"/>
            </w:pPr>
          </w:p>
        </w:tc>
        <w:tc>
          <w:tcPr>
            <w:tcW w:w="1201" w:type="dxa"/>
          </w:tcPr>
          <w:p w14:paraId="016452C4" w14:textId="77777777" w:rsidR="007E7BB7" w:rsidRPr="00DB3C11" w:rsidRDefault="007E7BB7" w:rsidP="007E7BB7">
            <w:pPr>
              <w:pStyle w:val="NoSpacing"/>
            </w:pPr>
            <w:r w:rsidRPr="00DB3C11">
              <w:fldChar w:fldCharType="begin" w:fldLock="1"/>
            </w:r>
            <w:r>
              <w:instrText>ADDIN CSL_CITATION {"citationItems":[{"id":"ITEM-1","itemData":{"DOI":"10.1093/occmed/kqh077","ISBN":"0962-7480","ISSN":"09627480","PMID":"15289593","abstract":"BACKGROUND: Emotional distress has major implications for employees and employers. Cognitive behavioural therapy (CBT) is a recommended treatment, but demand outstrips supply. CBT is well suited to computerization. Most employee assistance programmes have not been systematically evaluated and computerized CBT has not previously been studied in the workplace.\\n\\nAIMS: To evaluate the effect of an 8 week computerized cognitive behavioural therapy programme, 'Beating The Blues', on emotional distress in employees with recent stress-related absenteeism, and to explore the reasons for non-participation.\\n\\nMETHODS: An open, randomized trial in a London NHS occupational health department. Forty-eight public sector employees, with 10 or more cumulative days stress-related absenteeism in the last 6 months, randomized equally to 'Beating The Blues' plus conventional care, or conventional care alone. Main outcome measures were Hospital Anxiety and Depression Scale and Attributional Style Questionnaire scores at end of treatment and 1, 3 and 6 months later; and reasons for non-participation.\\n\\nRESULTS: At end of treatment and 1 month later, adjusted mean depression scores and adjusted mean negative attributional style scores were significantly lower in the intervention group. One month post-treatment, adjusted mean anxiety scores were also significantly lower in the intervention group. The differences were not statistically significant at 3 and 6 months post-treatment. Non-participation was common and related to access problems, preference for other treatments, time commitment, scepticism about the intervention and the employer connection.\\n\\nCONCLUSIONS: 'Beating The Blues' may accelerate psychological recovery in employees with recent stress-related absenteeism. Greater flexibility and accessibility might improve uptake.","author":[{"dropping-particle":"","family":"Grime","given":"Paul R.","non-dropping-particle":"","parse-names":false,"suffix":""}],"container-title":"Occupational Medicine","id":"ITEM-1","issue":"5","issued":{"date-parts":[["2004"]]},"page":"353-359","title":"Computerized cognitive behavioural therapy at work: A randomized controlled trial in employees with recent stress-related absenteeism","type":"article-journal","volume":"54"},"uris":["http://www.mendeley.com/documents/?uuid=48d45dcc-2fa1-4d6f-934f-134fac93abfa"]}],"mendeley":{"formattedCitation":"(Grime, 2004)","manualFormatting":"Grime (2004)","plainTextFormattedCitation":"(Grime, 2004)","previouslyFormattedCitation":"(Grime, 2004)"},"properties":{"noteIndex":0},"schema":"https://github.com/citation-style-language/schema/raw/master/csl-citation.json"}</w:instrText>
            </w:r>
            <w:r w:rsidRPr="00DB3C11">
              <w:fldChar w:fldCharType="separate"/>
            </w:r>
            <w:r w:rsidRPr="00DB3C11">
              <w:rPr>
                <w:noProof/>
              </w:rPr>
              <w:t>Grime (2004)</w:t>
            </w:r>
            <w:r w:rsidRPr="00DB3C11">
              <w:fldChar w:fldCharType="end"/>
            </w:r>
          </w:p>
        </w:tc>
        <w:tc>
          <w:tcPr>
            <w:tcW w:w="2102" w:type="dxa"/>
            <w:shd w:val="clear" w:color="auto" w:fill="auto"/>
          </w:tcPr>
          <w:p w14:paraId="00C7CF45" w14:textId="77777777" w:rsidR="007E7BB7" w:rsidRDefault="007E7BB7" w:rsidP="007E7BB7">
            <w:pPr>
              <w:pStyle w:val="NoSpacing"/>
            </w:pPr>
            <w:r w:rsidRPr="00DB3C11">
              <w:t>Public sector employees</w:t>
            </w:r>
          </w:p>
          <w:p w14:paraId="0C674809" w14:textId="77777777" w:rsidR="007E7BB7" w:rsidRPr="00DB3C11" w:rsidRDefault="007E7BB7" w:rsidP="007E7BB7">
            <w:pPr>
              <w:pStyle w:val="NoSpacing"/>
            </w:pPr>
            <w:r w:rsidRPr="00DB3C11">
              <w:t>Clinical sample</w:t>
            </w:r>
            <w:r>
              <w:t xml:space="preserve"> </w:t>
            </w:r>
            <w:r w:rsidRPr="00DB3C11">
              <w:t>Stress</w:t>
            </w:r>
            <w:r>
              <w:t>/A</w:t>
            </w:r>
            <w:r w:rsidRPr="00DB3C11">
              <w:t>nxiety</w:t>
            </w:r>
            <w:r>
              <w:t>/D</w:t>
            </w:r>
            <w:r w:rsidRPr="00DB3C11">
              <w:t>epression</w:t>
            </w:r>
          </w:p>
        </w:tc>
        <w:tc>
          <w:tcPr>
            <w:tcW w:w="708" w:type="dxa"/>
          </w:tcPr>
          <w:p w14:paraId="7143488F" w14:textId="77777777" w:rsidR="007E7BB7" w:rsidRPr="00DB3C11" w:rsidRDefault="007E7BB7" w:rsidP="007E7BB7">
            <w:pPr>
              <w:pStyle w:val="NoSpacing"/>
            </w:pPr>
            <w:r w:rsidRPr="00DB3C11">
              <w:t>48</w:t>
            </w:r>
          </w:p>
        </w:tc>
        <w:tc>
          <w:tcPr>
            <w:tcW w:w="851" w:type="dxa"/>
          </w:tcPr>
          <w:p w14:paraId="3D438BDC" w14:textId="77777777" w:rsidR="007E7BB7" w:rsidRDefault="007E7BB7" w:rsidP="007E7BB7">
            <w:pPr>
              <w:pStyle w:val="NoSpacing"/>
            </w:pPr>
            <w:r w:rsidRPr="00DB3C11">
              <w:t>39</w:t>
            </w:r>
          </w:p>
          <w:p w14:paraId="635945AB" w14:textId="77777777" w:rsidR="007E7BB7" w:rsidRPr="00DB3C11" w:rsidRDefault="007E7BB7" w:rsidP="007E7BB7">
            <w:pPr>
              <w:pStyle w:val="NoSpacing"/>
            </w:pPr>
            <w:r w:rsidRPr="00DB3C11">
              <w:t>(9.74)</w:t>
            </w:r>
          </w:p>
        </w:tc>
        <w:tc>
          <w:tcPr>
            <w:tcW w:w="1276" w:type="dxa"/>
          </w:tcPr>
          <w:p w14:paraId="72D2ADA6" w14:textId="77777777" w:rsidR="007E7BB7" w:rsidRDefault="007E7BB7" w:rsidP="007E7BB7">
            <w:pPr>
              <w:pStyle w:val="NoSpacing"/>
            </w:pPr>
            <w:r>
              <w:t>41.66%</w:t>
            </w:r>
          </w:p>
          <w:p w14:paraId="175CB52A" w14:textId="77777777" w:rsidR="007E7BB7" w:rsidRPr="00DB3C11" w:rsidRDefault="007E7BB7" w:rsidP="007E7BB7">
            <w:pPr>
              <w:pStyle w:val="NoSpacing"/>
            </w:pPr>
            <w:r>
              <w:t>(20)</w:t>
            </w:r>
          </w:p>
        </w:tc>
        <w:tc>
          <w:tcPr>
            <w:tcW w:w="1701" w:type="dxa"/>
          </w:tcPr>
          <w:p w14:paraId="5A9EC979" w14:textId="77777777" w:rsidR="007E7BB7" w:rsidRPr="00DB3C11" w:rsidRDefault="007E7BB7" w:rsidP="007E7BB7">
            <w:pPr>
              <w:pStyle w:val="NoSpacing"/>
            </w:pPr>
            <w:r>
              <w:t>No COI</w:t>
            </w:r>
            <w:r w:rsidRPr="00DB3C11">
              <w:t>.</w:t>
            </w:r>
          </w:p>
          <w:p w14:paraId="18A41029" w14:textId="77777777" w:rsidR="007E7BB7" w:rsidRPr="00DB3C11" w:rsidRDefault="007E7BB7" w:rsidP="007E7BB7">
            <w:pPr>
              <w:pStyle w:val="NoSpacing"/>
            </w:pPr>
            <w:r w:rsidRPr="00DB3C11">
              <w:t xml:space="preserve">Open, </w:t>
            </w:r>
            <w:r>
              <w:t>2</w:t>
            </w:r>
            <w:r w:rsidRPr="00DB3C11">
              <w:t xml:space="preserve"> </w:t>
            </w:r>
            <w:proofErr w:type="gramStart"/>
            <w:r w:rsidRPr="00DB3C11">
              <w:t>arm</w:t>
            </w:r>
            <w:proofErr w:type="gramEnd"/>
            <w:r w:rsidRPr="00DB3C11">
              <w:t>, parallel.</w:t>
            </w:r>
          </w:p>
          <w:p w14:paraId="690CA944" w14:textId="77777777" w:rsidR="007E7BB7" w:rsidRPr="00DB3C11" w:rsidRDefault="007E7BB7" w:rsidP="007E7BB7">
            <w:pPr>
              <w:pStyle w:val="NoSpacing"/>
            </w:pPr>
            <w:r w:rsidRPr="00DB3C11">
              <w:t>ITT</w:t>
            </w:r>
          </w:p>
        </w:tc>
        <w:tc>
          <w:tcPr>
            <w:tcW w:w="2126" w:type="dxa"/>
          </w:tcPr>
          <w:p w14:paraId="25C694A2" w14:textId="77777777" w:rsidR="007E7BB7" w:rsidRPr="00DB3C11" w:rsidRDefault="007E7BB7" w:rsidP="007E7BB7">
            <w:pPr>
              <w:pStyle w:val="NoSpacing"/>
            </w:pPr>
            <w:r>
              <w:t>P</w:t>
            </w:r>
            <w:r w:rsidRPr="00D7305E">
              <w:t>redominantly self-hel</w:t>
            </w:r>
            <w:r>
              <w:t>p.</w:t>
            </w:r>
          </w:p>
          <w:p w14:paraId="4E40D927" w14:textId="77777777" w:rsidR="007E7BB7" w:rsidRDefault="007E7BB7" w:rsidP="007E7BB7">
            <w:pPr>
              <w:pStyle w:val="NoSpacing"/>
            </w:pPr>
            <w:r w:rsidRPr="00DB3C11">
              <w:t>8</w:t>
            </w:r>
            <w:r>
              <w:t xml:space="preserve"> Sessions.</w:t>
            </w:r>
          </w:p>
          <w:p w14:paraId="28D77FE4" w14:textId="77777777" w:rsidR="007E7BB7" w:rsidRPr="00DB3C11" w:rsidRDefault="007E7BB7" w:rsidP="007E7BB7">
            <w:pPr>
              <w:pStyle w:val="NoSpacing"/>
            </w:pPr>
            <w:r w:rsidRPr="00DB3C11">
              <w:t>Weekl</w:t>
            </w:r>
            <w:r>
              <w:t>y.</w:t>
            </w:r>
          </w:p>
        </w:tc>
        <w:tc>
          <w:tcPr>
            <w:tcW w:w="850" w:type="dxa"/>
          </w:tcPr>
          <w:p w14:paraId="6E5215AF" w14:textId="77777777" w:rsidR="007E7BB7" w:rsidRPr="00DB3C11" w:rsidRDefault="007E7BB7" w:rsidP="007E7BB7">
            <w:pPr>
              <w:pStyle w:val="NoSpacing"/>
            </w:pPr>
            <w:r>
              <w:t xml:space="preserve">1. </w:t>
            </w:r>
            <w:r w:rsidRPr="00DB3C11">
              <w:t>TAU</w:t>
            </w:r>
          </w:p>
        </w:tc>
        <w:tc>
          <w:tcPr>
            <w:tcW w:w="993" w:type="dxa"/>
          </w:tcPr>
          <w:p w14:paraId="5E16BBD4" w14:textId="77777777" w:rsidR="007E7BB7" w:rsidRPr="00DB3C11" w:rsidRDefault="007E7BB7" w:rsidP="007E7BB7">
            <w:pPr>
              <w:pStyle w:val="NoSpacing"/>
            </w:pPr>
            <w:r w:rsidRPr="00DB3C11">
              <w:t>HADS-D</w:t>
            </w:r>
          </w:p>
        </w:tc>
        <w:tc>
          <w:tcPr>
            <w:tcW w:w="1134" w:type="dxa"/>
          </w:tcPr>
          <w:p w14:paraId="2930AB87" w14:textId="77777777" w:rsidR="007E7BB7" w:rsidRPr="00DB3C11" w:rsidRDefault="007E7BB7" w:rsidP="007E7BB7">
            <w:pPr>
              <w:pStyle w:val="NoSpacing"/>
            </w:pPr>
            <w:r>
              <w:t>e</w:t>
            </w:r>
            <w:r>
              <w:noBreakHyphen/>
              <w:t xml:space="preserve">therapy - </w:t>
            </w:r>
            <w:r w:rsidRPr="00DB3C11">
              <w:t>21% (5)</w:t>
            </w:r>
          </w:p>
          <w:p w14:paraId="4B312904" w14:textId="77777777" w:rsidR="007E7BB7" w:rsidRPr="00DB3C11" w:rsidRDefault="007E7BB7" w:rsidP="007E7BB7">
            <w:pPr>
              <w:pStyle w:val="NoSpacing"/>
            </w:pPr>
            <w:r>
              <w:t xml:space="preserve">1. </w:t>
            </w:r>
            <w:r w:rsidRPr="00DB3C11">
              <w:t>0% (0)</w:t>
            </w:r>
          </w:p>
        </w:tc>
        <w:tc>
          <w:tcPr>
            <w:tcW w:w="777" w:type="dxa"/>
          </w:tcPr>
          <w:p w14:paraId="37FF6987" w14:textId="77777777" w:rsidR="007E7BB7" w:rsidRPr="00DB3C11" w:rsidRDefault="007E7BB7" w:rsidP="007E7BB7">
            <w:pPr>
              <w:pStyle w:val="NoSpacing"/>
            </w:pPr>
            <w:r w:rsidRPr="00DB3C11">
              <w:t>6 months</w:t>
            </w:r>
          </w:p>
        </w:tc>
      </w:tr>
      <w:tr w:rsidR="007E7BB7" w:rsidRPr="00DB3C11" w14:paraId="0146E8D1" w14:textId="77777777" w:rsidTr="007E7BB7">
        <w:trPr>
          <w:trHeight w:val="766"/>
        </w:trPr>
        <w:tc>
          <w:tcPr>
            <w:tcW w:w="1200" w:type="dxa"/>
            <w:vMerge/>
          </w:tcPr>
          <w:p w14:paraId="3BB8619D" w14:textId="77777777" w:rsidR="007E7BB7" w:rsidRPr="00DB3C11" w:rsidRDefault="007E7BB7" w:rsidP="007E7BB7">
            <w:pPr>
              <w:pStyle w:val="NoSpacing"/>
            </w:pPr>
          </w:p>
        </w:tc>
        <w:tc>
          <w:tcPr>
            <w:tcW w:w="1201" w:type="dxa"/>
          </w:tcPr>
          <w:p w14:paraId="2B859BB4" w14:textId="1D54664A" w:rsidR="007E7BB7" w:rsidRPr="00DB3C11" w:rsidRDefault="007E7BB7" w:rsidP="007E7BB7">
            <w:pPr>
              <w:pStyle w:val="NoSpacing"/>
            </w:pPr>
            <w:r w:rsidRPr="00DB3C11">
              <w:fldChar w:fldCharType="begin" w:fldLock="1"/>
            </w:r>
            <w:r w:rsidR="00056473">
              <w:instrText>ADDIN CSL_CITATION {"citationItems":[{"id":"ITEM-1","itemData":{"DOI":"10.1017/S0033291702007225","ISBN":"0033-2917, 0033-2917","ISSN":"00332917","PMID":"15231556","abstract":"Background. Cognitive-behavioural therapy (CBT) brings about significant clinical improvement in anxiety and depression, but therapists are in short supply. We report the first phase of a randomized controlled trial of an interactive multimedia program of cognitive-behavioural techniques, Beating the Blues TM (BtB), in the treatment of patients in general practice with anxiety, depression or mixed anxiety/depression. Method. One hundred and sixty-seven adults suffering from anxiety and/or depression and not receiving any form of psychological treatment or counselling were randomly allocated to receive, with or without medication, BtB or treatment as usual (TAU). Measures were taken on five oc-casions : prior to treatment, 2 months later, and at 1, 3 and 6 months follow-up using the Beck Depression Inventory, Beck Anxiety Inventory and Work and Social Adjustment Scale. Results. Patients who received BtB showed significantly greater improvement in depression and anxiety compared to TAU by the end of treatment (2 months) and to 6 months follow-up. Symptom reduction was paralleled by improvement in work and social adjustment. There were no interactions of BtB with concomitant pharmacotherapy or duration of illness, but evidence, on the Beck Anxiety Inventory only, of interaction with primary care practice. Importantly, there was no interaction between the effects of BtB and baseline severity of depression, from which we conclude that the effects of the computer program are independent of starting level of depression. Conclusions. These results demonstrate that computerized interactive multimedia cognitive-behavioural techniques under minimal clinical supervision can bring about improvements in de-pression and anxiety, as well as in work and social adjustment, with and without pharmacotherapy and in patients with pre-treatment illness of durations greater or less than 6 months. Thus, our results indicate that wider dissemination of cognitive-behavioural techniques is possible for patients suf-fering from anxiety and/or depression.","author":[{"dropping-particle":"","family":"Proudfoot","given":"Judith","non-dropping-particle":"","parse-names":false,"suffix":""},{"dropping-particle":"","family":"Goldberg","given":"D.","non-dropping-particle":"","parse-names":false,"suffix":""},{"dropping-particle":"","family":"Mann","given":"A.","non-dropping-particle":"","parse-names":false,"suffix":""},{"dropping-particle":"","family":"Everitt","given":"B.","non-dropping-particle":"","parse-names":false,"suffix":""},{"dropping-particle":"","family":"Marks","given":"I.","non-dropping-particle":"","parse-names":false,"suffix":""},{"dropping-particle":"","family":"Gray","given":"J. A.","non-dropping-particle":"","parse-names":false,"suffix":""}],"container-title":"Psychological Medicine","id":"ITEM-1","issue":"2","issued":{"date-parts":[["2003","2","1"]]},"language":"English","page":"217-227","publisher":"Cambridge University Press","title":"Computerized, interactive, multimedia cognitive-behavioural program for anxiety and depression in general practice","type":"article-journal","volume":"33"},"uris":["http://www.mendeley.com/documents/?uuid=9c138622-251d-4b91-b24a-678317e560d0"]}],"mendeley":{"formattedCitation":"(Judith Proudfoot, Goldberg, Mann, Everitt, Marks and Gray, 2003)","manualFormatting":"Proudfoot et al. (2003)","plainTextFormattedCitation":"(Judith Proudfoot, Goldberg, Mann, Everitt, Marks and Gray, 2003)","previouslyFormattedCitation":"(Judith Proudfoot, Goldberg, Mann, Everitt, Marks and Gray, 2003)"},"properties":{"noteIndex":0},"schema":"https://github.com/citation-style-language/schema/raw/master/csl-citation.json"}</w:instrText>
            </w:r>
            <w:r w:rsidRPr="00DB3C11">
              <w:fldChar w:fldCharType="separate"/>
            </w:r>
            <w:r w:rsidRPr="00DB3C11">
              <w:rPr>
                <w:noProof/>
              </w:rPr>
              <w:t>Proudfoot et al. (2003)</w:t>
            </w:r>
            <w:r w:rsidRPr="00DB3C11">
              <w:fldChar w:fldCharType="end"/>
            </w:r>
          </w:p>
        </w:tc>
        <w:tc>
          <w:tcPr>
            <w:tcW w:w="2102" w:type="dxa"/>
            <w:shd w:val="clear" w:color="auto" w:fill="auto"/>
          </w:tcPr>
          <w:p w14:paraId="3FB30FCC" w14:textId="77777777" w:rsidR="007E7BB7" w:rsidRDefault="007E7BB7" w:rsidP="007E7BB7">
            <w:pPr>
              <w:pStyle w:val="NoSpacing"/>
            </w:pPr>
            <w:r w:rsidRPr="00DB3C11">
              <w:t>Primary Care</w:t>
            </w:r>
          </w:p>
          <w:p w14:paraId="5371E2EB" w14:textId="77777777" w:rsidR="007E7BB7" w:rsidRDefault="007E7BB7" w:rsidP="007E7BB7">
            <w:pPr>
              <w:pStyle w:val="NoSpacing"/>
            </w:pPr>
            <w:r w:rsidRPr="00DB3C11">
              <w:t xml:space="preserve">Clinical </w:t>
            </w:r>
            <w:r>
              <w:t>S</w:t>
            </w:r>
            <w:r w:rsidRPr="00DB3C11">
              <w:t>ample</w:t>
            </w:r>
          </w:p>
          <w:p w14:paraId="531B3B18" w14:textId="77777777" w:rsidR="007E7BB7" w:rsidRPr="00DB3C11" w:rsidRDefault="007E7BB7" w:rsidP="007E7BB7">
            <w:pPr>
              <w:pStyle w:val="NoSpacing"/>
            </w:pPr>
            <w:r w:rsidRPr="00DB3C11">
              <w:t>Anxiety</w:t>
            </w:r>
            <w:r>
              <w:t>/D</w:t>
            </w:r>
            <w:r w:rsidRPr="00DB3C11">
              <w:t>epression</w:t>
            </w:r>
          </w:p>
        </w:tc>
        <w:tc>
          <w:tcPr>
            <w:tcW w:w="708" w:type="dxa"/>
          </w:tcPr>
          <w:p w14:paraId="56B6ECDF" w14:textId="77777777" w:rsidR="007E7BB7" w:rsidRPr="00DB3C11" w:rsidRDefault="007E7BB7" w:rsidP="007E7BB7">
            <w:pPr>
              <w:pStyle w:val="NoSpacing"/>
            </w:pPr>
            <w:r w:rsidRPr="00DB3C11">
              <w:t>167</w:t>
            </w:r>
          </w:p>
        </w:tc>
        <w:tc>
          <w:tcPr>
            <w:tcW w:w="851" w:type="dxa"/>
          </w:tcPr>
          <w:p w14:paraId="42AA0918" w14:textId="77777777" w:rsidR="007E7BB7" w:rsidRPr="00DB3C11" w:rsidRDefault="007E7BB7" w:rsidP="007E7BB7">
            <w:pPr>
              <w:pStyle w:val="NoSpacing"/>
            </w:pPr>
            <w:r w:rsidRPr="00DB3C11">
              <w:t>44.63 (14.41)</w:t>
            </w:r>
          </w:p>
        </w:tc>
        <w:tc>
          <w:tcPr>
            <w:tcW w:w="1276" w:type="dxa"/>
          </w:tcPr>
          <w:p w14:paraId="102BAEA5" w14:textId="77777777" w:rsidR="007E7BB7" w:rsidRDefault="007E7BB7" w:rsidP="007E7BB7">
            <w:pPr>
              <w:pStyle w:val="NoSpacing"/>
            </w:pPr>
            <w:r>
              <w:t>26.35%</w:t>
            </w:r>
          </w:p>
          <w:p w14:paraId="76D7AA02" w14:textId="77777777" w:rsidR="007E7BB7" w:rsidRPr="00DB3C11" w:rsidRDefault="007E7BB7" w:rsidP="007E7BB7">
            <w:pPr>
              <w:pStyle w:val="NoSpacing"/>
            </w:pPr>
            <w:r>
              <w:t>(44)</w:t>
            </w:r>
          </w:p>
        </w:tc>
        <w:tc>
          <w:tcPr>
            <w:tcW w:w="1701" w:type="dxa"/>
          </w:tcPr>
          <w:p w14:paraId="4AA20629" w14:textId="77777777" w:rsidR="007E7BB7" w:rsidRDefault="007E7BB7" w:rsidP="007E7BB7">
            <w:pPr>
              <w:pStyle w:val="NoSpacing"/>
            </w:pPr>
            <w:r w:rsidRPr="008C4675">
              <w:t xml:space="preserve">No </w:t>
            </w:r>
            <w:r>
              <w:t>COI.</w:t>
            </w:r>
          </w:p>
          <w:p w14:paraId="44D3416A" w14:textId="77777777" w:rsidR="007E7BB7" w:rsidRPr="00DB3C11" w:rsidRDefault="007E7BB7" w:rsidP="007E7BB7">
            <w:pPr>
              <w:pStyle w:val="NoSpacing"/>
            </w:pPr>
            <w:r w:rsidRPr="00DB3C11">
              <w:t>Phase I, parallel</w:t>
            </w:r>
          </w:p>
          <w:p w14:paraId="77815646" w14:textId="77777777" w:rsidR="007E7BB7" w:rsidRPr="00DB3C11" w:rsidRDefault="007E7BB7" w:rsidP="007E7BB7">
            <w:pPr>
              <w:pStyle w:val="NoSpacing"/>
            </w:pPr>
            <w:r w:rsidRPr="00DB3C11">
              <w:t>ITT</w:t>
            </w:r>
          </w:p>
        </w:tc>
        <w:tc>
          <w:tcPr>
            <w:tcW w:w="2126" w:type="dxa"/>
          </w:tcPr>
          <w:p w14:paraId="37D7A24F" w14:textId="77777777" w:rsidR="007E7BB7" w:rsidRDefault="007E7BB7" w:rsidP="007E7BB7">
            <w:pPr>
              <w:pStyle w:val="NoSpacing"/>
            </w:pPr>
            <w:r>
              <w:t>P</w:t>
            </w:r>
            <w:r w:rsidRPr="00D7305E">
              <w:t>redominantly self-hel</w:t>
            </w:r>
            <w:r>
              <w:t>p.</w:t>
            </w:r>
          </w:p>
          <w:p w14:paraId="667A734F" w14:textId="77777777" w:rsidR="007E7BB7" w:rsidRPr="00DB3C11" w:rsidRDefault="007E7BB7" w:rsidP="007E7BB7">
            <w:pPr>
              <w:pStyle w:val="NoSpacing"/>
            </w:pPr>
            <w:r w:rsidRPr="00DB3C11">
              <w:t>8 x 50 min</w:t>
            </w:r>
            <w:r>
              <w:t xml:space="preserve"> Sessions.</w:t>
            </w:r>
          </w:p>
          <w:p w14:paraId="02A689E6" w14:textId="77777777" w:rsidR="007E7BB7" w:rsidRPr="00DB3C11" w:rsidRDefault="007E7BB7" w:rsidP="007E7BB7">
            <w:pPr>
              <w:pStyle w:val="NoSpacing"/>
            </w:pPr>
            <w:r>
              <w:t>1 x</w:t>
            </w:r>
            <w:r w:rsidRPr="00DB3C11">
              <w:t xml:space="preserve"> 15 min intro vid</w:t>
            </w:r>
            <w:r>
              <w:t>eo.</w:t>
            </w:r>
          </w:p>
        </w:tc>
        <w:tc>
          <w:tcPr>
            <w:tcW w:w="850" w:type="dxa"/>
          </w:tcPr>
          <w:p w14:paraId="4A04FB1F" w14:textId="77777777" w:rsidR="007E7BB7" w:rsidRPr="00DB3C11" w:rsidRDefault="007E7BB7" w:rsidP="007E7BB7">
            <w:pPr>
              <w:pStyle w:val="NoSpacing"/>
            </w:pPr>
            <w:r>
              <w:t xml:space="preserve">1. </w:t>
            </w:r>
            <w:r w:rsidRPr="00DB3C11">
              <w:t>TAU</w:t>
            </w:r>
          </w:p>
        </w:tc>
        <w:tc>
          <w:tcPr>
            <w:tcW w:w="993" w:type="dxa"/>
          </w:tcPr>
          <w:p w14:paraId="3C22A171" w14:textId="77777777" w:rsidR="007E7BB7" w:rsidRPr="00DB3C11" w:rsidRDefault="007E7BB7" w:rsidP="007E7BB7">
            <w:pPr>
              <w:pStyle w:val="NoSpacing"/>
            </w:pPr>
            <w:r w:rsidRPr="00DB3C11">
              <w:t>BDI</w:t>
            </w:r>
          </w:p>
        </w:tc>
        <w:tc>
          <w:tcPr>
            <w:tcW w:w="1134" w:type="dxa"/>
          </w:tcPr>
          <w:p w14:paraId="179839FB" w14:textId="77777777" w:rsidR="007E7BB7" w:rsidRPr="00DB3C11" w:rsidRDefault="007E7BB7" w:rsidP="007E7BB7">
            <w:pPr>
              <w:pStyle w:val="NoSpacing"/>
            </w:pPr>
            <w:r>
              <w:t>e</w:t>
            </w:r>
            <w:r>
              <w:noBreakHyphen/>
              <w:t xml:space="preserve">therapy - </w:t>
            </w:r>
            <w:r w:rsidRPr="00DB3C11">
              <w:t>46% (41)</w:t>
            </w:r>
          </w:p>
          <w:p w14:paraId="45F50210" w14:textId="77777777" w:rsidR="007E7BB7" w:rsidRPr="00DB3C11" w:rsidRDefault="007E7BB7" w:rsidP="007E7BB7">
            <w:pPr>
              <w:pStyle w:val="NoSpacing"/>
            </w:pPr>
            <w:r>
              <w:t xml:space="preserve">1. </w:t>
            </w:r>
            <w:r w:rsidRPr="00DB3C11">
              <w:t>45% (35)</w:t>
            </w:r>
          </w:p>
        </w:tc>
        <w:tc>
          <w:tcPr>
            <w:tcW w:w="777" w:type="dxa"/>
          </w:tcPr>
          <w:p w14:paraId="635CFC46" w14:textId="77777777" w:rsidR="007E7BB7" w:rsidRPr="00DB3C11" w:rsidRDefault="007E7BB7" w:rsidP="007E7BB7">
            <w:pPr>
              <w:pStyle w:val="NoSpacing"/>
            </w:pPr>
            <w:r w:rsidRPr="00DB3C11">
              <w:t xml:space="preserve">6 months </w:t>
            </w:r>
          </w:p>
        </w:tc>
      </w:tr>
      <w:tr w:rsidR="007E7BB7" w:rsidRPr="00DB3C11" w14:paraId="632D534E" w14:textId="77777777" w:rsidTr="007E7BB7">
        <w:trPr>
          <w:trHeight w:val="203"/>
        </w:trPr>
        <w:tc>
          <w:tcPr>
            <w:tcW w:w="1200" w:type="dxa"/>
            <w:vMerge w:val="restart"/>
          </w:tcPr>
          <w:p w14:paraId="185E562C" w14:textId="77777777" w:rsidR="007E7BB7" w:rsidRPr="00DB3C11" w:rsidRDefault="007E7BB7" w:rsidP="007E7BB7">
            <w:pPr>
              <w:pStyle w:val="NoSpacing"/>
            </w:pPr>
            <w:proofErr w:type="spellStart"/>
            <w:r w:rsidRPr="00DB3C11">
              <w:t>FearFighter</w:t>
            </w:r>
            <w:proofErr w:type="spellEnd"/>
          </w:p>
        </w:tc>
        <w:tc>
          <w:tcPr>
            <w:tcW w:w="1201" w:type="dxa"/>
          </w:tcPr>
          <w:p w14:paraId="761C8AF5" w14:textId="77777777" w:rsidR="007E7BB7" w:rsidRPr="00DB3C11" w:rsidRDefault="007E7BB7" w:rsidP="007E7BB7">
            <w:pPr>
              <w:pStyle w:val="NoSpacing"/>
            </w:pPr>
            <w:r w:rsidRPr="00DB3C11">
              <w:fldChar w:fldCharType="begin" w:fldLock="1"/>
            </w:r>
            <w:r>
              <w:instrText>ADDIN CSL_CITATION {"citationItems":[{"id":"ITEM-1","itemData":{"DOI":"10.1159/000084000","ISBN":"0033-3190 (Print)\\r0033-3190 (Linking)","ISSN":"00333190","PMID":"15832066","abstract":"Background: As many sufferers from phobic and panic (phobia/panic) disorders cannot get to suitable thera- pists, routine aspects of therapy were delegated to inter- net-accessed computer-aided self-help with or without exposure instructions. Methods: Phobia/panic referrals were randomised to computer-aided self-help via the in- ternet at home in a 2: 1 ratio either by self-exposure cog- nitive behaviour therapy (CBT) [FearFighter (FF), n = 45] or by minimal CBT without exposure [Managing Anxiety (MA), n = 23]. All had brief backup phone advice from a clinician concerning their computer guidance. Results: On self-ratings and blinded assessor ratings, patients im- proved equally with each form of self-help over 10 treat- ment weeks but signifi cantly more on 5 out of 10 mea- sures by week 14 (1-month follow-up) when the self-help included self-exposure instructions than when it did not. In accord with this, standardised effect sizes (Cohen’s d) indicated superiority of FF over MA on 5 measures by week 14. Satisfaction with treatment in all patients pooled correlated positively with improvement after treatment and at 1-month follow-up. Conclusions: At the end of treatment, computer-aided CBT self-help at home via the internet plus brief live helpline support was effective with or without exposure instructions, and at 1-month follow-up it was more effective on some measures if ex- posure instructions had been included. Analysis is need- ed of how non-exposure CBT produced its shorter-term effect.","author":[{"dropping-particle":"","family":"Schneider","given":"Andreas J.","non-dropping-particle":"","parse-names":false,"suffix":""},{"dropping-particle":"","family":"Mataix-Cols","given":"David","non-dropping-particle":"","parse-names":false,"suffix":""},{"dropping-particle":"","family":"Marks","given":"Isaac M.","non-dropping-particle":"","parse-names":false,"suffix":""},{"dropping-particle":"","family":"Bachofen","given":"Martin","non-dropping-particle":"","parse-names":false,"suffix":""}],"container-title":"Psychotherapy and Psychosomatics","id":"ITEM-1","issue":"3","issued":{"date-parts":[["2005"]]},"page":"154-164","title":"Internet-guided self-help with or without exposure therapy for phobic and panic disorders: A randomised controlled trial","type":"article-journal","volume":"74"},"uris":["http://www.mendeley.com/documents/?uuid=ee729c98-e0ea-448f-b956-bc4b309b18f6"]}],"mendeley":{"formattedCitation":"(Schneider &lt;i&gt;et al.&lt;/i&gt;, 2005)","manualFormatting":"Schneider, Mataix-Cols, Marks, &amp; Bachofen (2005)","plainTextFormattedCitation":"(Schneider et al., 2005)","previouslyFormattedCitation":"(Schneider &lt;i&gt;et al.&lt;/i&gt;, 2005)"},"properties":{"noteIndex":0},"schema":"https://github.com/citation-style-language/schema/raw/master/csl-citation.json"}</w:instrText>
            </w:r>
            <w:r w:rsidRPr="00DB3C11">
              <w:fldChar w:fldCharType="separate"/>
            </w:r>
            <w:r w:rsidRPr="00DB3C11">
              <w:rPr>
                <w:noProof/>
              </w:rPr>
              <w:t xml:space="preserve">Schneider, Mataix-Cols, </w:t>
            </w:r>
            <w:r w:rsidRPr="00DB3C11">
              <w:rPr>
                <w:noProof/>
              </w:rPr>
              <w:lastRenderedPageBreak/>
              <w:t>Marks, &amp; Bachofen (2005)</w:t>
            </w:r>
            <w:r w:rsidRPr="00DB3C11">
              <w:fldChar w:fldCharType="end"/>
            </w:r>
          </w:p>
        </w:tc>
        <w:tc>
          <w:tcPr>
            <w:tcW w:w="2102" w:type="dxa"/>
            <w:shd w:val="clear" w:color="auto" w:fill="auto"/>
          </w:tcPr>
          <w:p w14:paraId="400BCE74" w14:textId="77777777" w:rsidR="007E7BB7" w:rsidRDefault="007E7BB7" w:rsidP="007E7BB7">
            <w:pPr>
              <w:pStyle w:val="NoSpacing"/>
            </w:pPr>
            <w:r w:rsidRPr="00DB3C11">
              <w:lastRenderedPageBreak/>
              <w:t>Psychiatric out-patients</w:t>
            </w:r>
            <w:r>
              <w:t xml:space="preserve"> </w:t>
            </w:r>
            <w:r w:rsidRPr="00DB3C11">
              <w:t>Clinical sample</w:t>
            </w:r>
          </w:p>
          <w:p w14:paraId="1FFC1A86" w14:textId="77777777" w:rsidR="007E7BB7" w:rsidRPr="00DB3C11" w:rsidRDefault="007E7BB7" w:rsidP="007E7BB7">
            <w:pPr>
              <w:pStyle w:val="NoSpacing"/>
            </w:pPr>
            <w:r w:rsidRPr="00DB3C11">
              <w:lastRenderedPageBreak/>
              <w:t>Panic/phobia</w:t>
            </w:r>
          </w:p>
        </w:tc>
        <w:tc>
          <w:tcPr>
            <w:tcW w:w="708" w:type="dxa"/>
          </w:tcPr>
          <w:p w14:paraId="25924D1D" w14:textId="77777777" w:rsidR="007E7BB7" w:rsidRPr="00DB3C11" w:rsidRDefault="007E7BB7" w:rsidP="007E7BB7">
            <w:pPr>
              <w:pStyle w:val="NoSpacing"/>
            </w:pPr>
            <w:r w:rsidRPr="00DB3C11">
              <w:lastRenderedPageBreak/>
              <w:t>68</w:t>
            </w:r>
          </w:p>
        </w:tc>
        <w:tc>
          <w:tcPr>
            <w:tcW w:w="851" w:type="dxa"/>
          </w:tcPr>
          <w:p w14:paraId="78A5217B" w14:textId="77777777" w:rsidR="007E7BB7" w:rsidRDefault="007E7BB7" w:rsidP="007E7BB7">
            <w:pPr>
              <w:pStyle w:val="NoSpacing"/>
            </w:pPr>
            <w:r w:rsidRPr="00DB3C11">
              <w:t>39</w:t>
            </w:r>
          </w:p>
          <w:p w14:paraId="7202649D" w14:textId="77777777" w:rsidR="007E7BB7" w:rsidRPr="00DB3C11" w:rsidRDefault="007E7BB7" w:rsidP="007E7BB7">
            <w:pPr>
              <w:pStyle w:val="NoSpacing"/>
            </w:pPr>
            <w:r w:rsidRPr="00DB3C11">
              <w:t>(11)</w:t>
            </w:r>
          </w:p>
        </w:tc>
        <w:tc>
          <w:tcPr>
            <w:tcW w:w="1276" w:type="dxa"/>
          </w:tcPr>
          <w:p w14:paraId="60DAE1D4" w14:textId="77777777" w:rsidR="007E7BB7" w:rsidRDefault="007E7BB7" w:rsidP="007E7BB7">
            <w:pPr>
              <w:pStyle w:val="NoSpacing"/>
            </w:pPr>
            <w:r>
              <w:t>26.47</w:t>
            </w:r>
            <w:r w:rsidRPr="00DB3C11">
              <w:t>%</w:t>
            </w:r>
          </w:p>
          <w:p w14:paraId="48167987" w14:textId="77777777" w:rsidR="007E7BB7" w:rsidRPr="00DB3C11" w:rsidRDefault="007E7BB7" w:rsidP="007E7BB7">
            <w:pPr>
              <w:pStyle w:val="NoSpacing"/>
            </w:pPr>
            <w:r w:rsidRPr="00DB3C11">
              <w:t>(</w:t>
            </w:r>
            <w:r>
              <w:t>16</w:t>
            </w:r>
            <w:r w:rsidRPr="00DB3C11">
              <w:t>)</w:t>
            </w:r>
          </w:p>
        </w:tc>
        <w:tc>
          <w:tcPr>
            <w:tcW w:w="1701" w:type="dxa"/>
          </w:tcPr>
          <w:p w14:paraId="2140FF05" w14:textId="77777777" w:rsidR="007E7BB7" w:rsidRPr="00DB3C11" w:rsidRDefault="007E7BB7" w:rsidP="007E7BB7">
            <w:pPr>
              <w:pStyle w:val="NoSpacing"/>
            </w:pPr>
            <w:r w:rsidRPr="008C4675">
              <w:t xml:space="preserve">No </w:t>
            </w:r>
            <w:r>
              <w:t>COI.</w:t>
            </w:r>
          </w:p>
          <w:p w14:paraId="55842786" w14:textId="77777777" w:rsidR="007E7BB7" w:rsidRPr="00DB3C11" w:rsidRDefault="007E7BB7" w:rsidP="007E7BB7">
            <w:pPr>
              <w:pStyle w:val="NoSpacing"/>
            </w:pPr>
            <w:r w:rsidRPr="00DB3C11">
              <w:t>ITT</w:t>
            </w:r>
          </w:p>
        </w:tc>
        <w:tc>
          <w:tcPr>
            <w:tcW w:w="2126" w:type="dxa"/>
          </w:tcPr>
          <w:p w14:paraId="49ED2F2C" w14:textId="77777777" w:rsidR="007E7BB7" w:rsidRPr="00DB3C11" w:rsidRDefault="007E7BB7" w:rsidP="007E7BB7">
            <w:pPr>
              <w:pStyle w:val="NoSpacing"/>
            </w:pPr>
            <w:r>
              <w:t>M</w:t>
            </w:r>
            <w:r w:rsidRPr="00CA39FF">
              <w:t>inimal-contact therapy</w:t>
            </w:r>
            <w:r>
              <w:t>.</w:t>
            </w:r>
          </w:p>
          <w:p w14:paraId="2B378F9D" w14:textId="77777777" w:rsidR="007E7BB7" w:rsidRDefault="007E7BB7" w:rsidP="007E7BB7">
            <w:pPr>
              <w:pStyle w:val="NoSpacing"/>
            </w:pPr>
            <w:r w:rsidRPr="00DB3C11">
              <w:t>9</w:t>
            </w:r>
            <w:r>
              <w:t xml:space="preserve"> Sessions.</w:t>
            </w:r>
          </w:p>
          <w:p w14:paraId="0D8D51B4" w14:textId="77777777" w:rsidR="007E7BB7" w:rsidRPr="00DB3C11" w:rsidRDefault="007E7BB7" w:rsidP="007E7BB7">
            <w:pPr>
              <w:pStyle w:val="NoSpacing"/>
            </w:pPr>
            <w:r w:rsidRPr="00DB3C11">
              <w:lastRenderedPageBreak/>
              <w:t>10 weeks</w:t>
            </w:r>
            <w:r>
              <w:t>.</w:t>
            </w:r>
          </w:p>
        </w:tc>
        <w:tc>
          <w:tcPr>
            <w:tcW w:w="850" w:type="dxa"/>
          </w:tcPr>
          <w:p w14:paraId="01842DCD" w14:textId="77777777" w:rsidR="007E7BB7" w:rsidRPr="00DB3C11" w:rsidRDefault="007E7BB7" w:rsidP="007E7BB7">
            <w:pPr>
              <w:pStyle w:val="NoSpacing"/>
            </w:pPr>
            <w:r>
              <w:lastRenderedPageBreak/>
              <w:t xml:space="preserve">1. </w:t>
            </w:r>
            <w:r w:rsidRPr="00DB3C11">
              <w:t xml:space="preserve">Managing </w:t>
            </w:r>
            <w:r>
              <w:lastRenderedPageBreak/>
              <w:t>A</w:t>
            </w:r>
            <w:r w:rsidRPr="00DB3C11">
              <w:t>nxiety</w:t>
            </w:r>
          </w:p>
        </w:tc>
        <w:tc>
          <w:tcPr>
            <w:tcW w:w="993" w:type="dxa"/>
          </w:tcPr>
          <w:p w14:paraId="46DDC8EB" w14:textId="77777777" w:rsidR="007E7BB7" w:rsidRPr="00DB3C11" w:rsidRDefault="007E7BB7" w:rsidP="007E7BB7">
            <w:pPr>
              <w:pStyle w:val="NoSpacing"/>
            </w:pPr>
            <w:r w:rsidRPr="00DB3C11">
              <w:lastRenderedPageBreak/>
              <w:t>FQ</w:t>
            </w:r>
          </w:p>
        </w:tc>
        <w:tc>
          <w:tcPr>
            <w:tcW w:w="1134" w:type="dxa"/>
          </w:tcPr>
          <w:p w14:paraId="4571C919" w14:textId="77777777" w:rsidR="007E7BB7" w:rsidRPr="00DB3C11" w:rsidRDefault="007E7BB7" w:rsidP="007E7BB7">
            <w:pPr>
              <w:pStyle w:val="NoSpacing"/>
            </w:pPr>
            <w:r>
              <w:t>e</w:t>
            </w:r>
            <w:r>
              <w:noBreakHyphen/>
              <w:t xml:space="preserve">therapy - </w:t>
            </w:r>
            <w:r w:rsidRPr="00DB3C11">
              <w:t>28% (12)</w:t>
            </w:r>
            <w:r w:rsidRPr="00DB3C11">
              <w:br/>
            </w:r>
            <w:r>
              <w:t xml:space="preserve">1. </w:t>
            </w:r>
            <w:r w:rsidRPr="00DB3C11">
              <w:t>38% (8)</w:t>
            </w:r>
          </w:p>
        </w:tc>
        <w:tc>
          <w:tcPr>
            <w:tcW w:w="777" w:type="dxa"/>
          </w:tcPr>
          <w:p w14:paraId="393C8E56" w14:textId="77777777" w:rsidR="007E7BB7" w:rsidRPr="00DB3C11" w:rsidRDefault="007E7BB7" w:rsidP="007E7BB7">
            <w:pPr>
              <w:pStyle w:val="NoSpacing"/>
            </w:pPr>
            <w:r w:rsidRPr="00DB3C11">
              <w:t>1 month</w:t>
            </w:r>
          </w:p>
        </w:tc>
      </w:tr>
      <w:tr w:rsidR="007E7BB7" w:rsidRPr="00DB3C11" w14:paraId="36B8F790" w14:textId="77777777" w:rsidTr="007E7BB7">
        <w:trPr>
          <w:trHeight w:val="982"/>
        </w:trPr>
        <w:tc>
          <w:tcPr>
            <w:tcW w:w="1200" w:type="dxa"/>
            <w:vMerge/>
          </w:tcPr>
          <w:p w14:paraId="5CE1BDE9" w14:textId="77777777" w:rsidR="007E7BB7" w:rsidRPr="00DB3C11" w:rsidRDefault="007E7BB7" w:rsidP="007E7BB7">
            <w:pPr>
              <w:pStyle w:val="NoSpacing"/>
            </w:pPr>
          </w:p>
        </w:tc>
        <w:tc>
          <w:tcPr>
            <w:tcW w:w="1201" w:type="dxa"/>
          </w:tcPr>
          <w:p w14:paraId="5B3F8708" w14:textId="77777777" w:rsidR="007E7BB7" w:rsidRPr="00DB3C11" w:rsidRDefault="007E7BB7" w:rsidP="007E7BB7">
            <w:pPr>
              <w:pStyle w:val="NoSpacing"/>
            </w:pPr>
            <w:r w:rsidRPr="00DB3C11">
              <w:fldChar w:fldCharType="begin" w:fldLock="1"/>
            </w:r>
            <w:r>
              <w:instrText>ADDIN CSL_CITATION {"citationItems":[{"id":"ITEM-1","itemData":{"DOI":"10.1017/S003329170300878X","ISBN":"0033291703008","ISSN":"00332917","PMID":"14971623","abstract":"Background. The demand for time-consuming psychotherapy of phobia/panic exceeds the supply of trained therapists. Delegating routine therapy aspects to a computer might ease this problem. Method. Ninety-three out-patients with phobia or panic disorder were randomized in a 2:2:1 ratio to have self-exposure therapy guided either mainly by a stand-alone computer system (FearFighter) or entirely face-to-face by a clinician, or to have mainly computer-guided self-relaxation as a placebo. Both computer groups (FeurFighter and relaxation) had brief back-up advice from a clinician. Primary outcome measures were self- and blind-assessor ratings of Main Problem and Goals, and Global Phobia. Results. Drop-outs occurred significantly more often in the two self-exposure groups (43% if mainly computer-guided, 24% if entirely clinician-guided) than with self-relaxation (6%); the difference between the two self-exposure groups was not significant. Even with all drop-outs included, the mainly computer-guided exposure group and the relaxation group had 73 % less clinician time per patient than did the entirely clinician-guided exposure group. The two self-exposure groups had comparable improvement and satisfaction at post-treatment and at 1-month follow-up, while relaxation was ineffective. Mean improvement on the primary outcome measures (self- and assessor-rated) was 46% computer, 49% clinician, 9% relaxation at post-treatment (week 10) and 58% computer, 53% clinician and -4% relaxation at 1-month follow-up (week 14). Mean effect sizes on the primary outcome measures were 2.9 computer, 3.5 clinician and 0.5 relaxation at post-treatment; and 3.7 computer, 3.5 clinician and 0.5 relaxation at 1-month follow-up. The assessor did not rate patients at follow-up. Conclusions. Despite its (non-significantly) higher dropout rate, self-exposure therapy for panic/ phobia cut clinician time per patient by 73% without losing efficacy when guided mainly by a computer rather than entirely by a clinician. The finding needs confirmation at a follow-up that is longer and includes a blind assessor. Self-relaxation had the highest rate of completers but was ineffective.","author":[{"dropping-particle":"","family":"Marks","given":"Isaac M.","non-dropping-particle":"","parse-names":false,"suffix":""},{"dropping-particle":"","family":"Kenwright","given":"M.","non-dropping-particle":"","parse-names":false,"suffix":""},{"dropping-particle":"","family":"McDonough","given":"M.","non-dropping-particle":"","parse-names":false,"suffix":""},{"dropping-particle":"","family":"Whittaker","given":"M.","non-dropping-particle":"","parse-names":false,"suffix":""},{"dropping-particle":"","family":"Mataix-Cols","given":"D.","non-dropping-particle":"","parse-names":false,"suffix":""}],"container-title":"Psychological Medicine","id":"ITEM-1","issue":"1","issued":{"date-parts":[["2004"]]},"page":"9-17","title":"Saving clinicians' time by delegating routine aspects of therapy to a computer: A randomized controlled trial in phobia/panic disorder","type":"article-journal","volume":"34"},"uris":["http://www.mendeley.com/documents/?uuid=d88886d6-b9c9-4e8f-b838-f9645d76ab0a"]}],"mendeley":{"formattedCitation":"(Marks &lt;i&gt;et al.&lt;/i&gt;, 2004)","manualFormatting":"Marks, Kenwright, McDonough, Whittaker, &amp; Mataix-Cols (2004)","plainTextFormattedCitation":"(Marks et al., 2004)","previouslyFormattedCitation":"(Marks &lt;i&gt;et al.&lt;/i&gt;, 2004)"},"properties":{"noteIndex":0},"schema":"https://github.com/citation-style-language/schema/raw/master/csl-citation.json"}</w:instrText>
            </w:r>
            <w:r w:rsidRPr="00DB3C11">
              <w:fldChar w:fldCharType="separate"/>
            </w:r>
            <w:r w:rsidRPr="00DB3C11">
              <w:rPr>
                <w:noProof/>
              </w:rPr>
              <w:t>Marks, Kenwright, McDonough, Whittaker, &amp; Mataix-Cols (2004)</w:t>
            </w:r>
            <w:r w:rsidRPr="00DB3C11">
              <w:fldChar w:fldCharType="end"/>
            </w:r>
          </w:p>
        </w:tc>
        <w:tc>
          <w:tcPr>
            <w:tcW w:w="2102" w:type="dxa"/>
            <w:shd w:val="clear" w:color="auto" w:fill="auto"/>
          </w:tcPr>
          <w:p w14:paraId="2F2C339F" w14:textId="77777777" w:rsidR="007E7BB7" w:rsidRPr="00DB3C11" w:rsidRDefault="007E7BB7" w:rsidP="007E7BB7">
            <w:pPr>
              <w:pStyle w:val="NoSpacing"/>
            </w:pPr>
            <w:r w:rsidRPr="00DB3C11">
              <w:t>Psychiatric out-patients</w:t>
            </w:r>
          </w:p>
          <w:p w14:paraId="4DC51BF3" w14:textId="77777777" w:rsidR="007E7BB7" w:rsidRDefault="007E7BB7" w:rsidP="007E7BB7">
            <w:pPr>
              <w:pStyle w:val="NoSpacing"/>
            </w:pPr>
            <w:r w:rsidRPr="00DB3C11">
              <w:t>Clinical sample</w:t>
            </w:r>
          </w:p>
          <w:p w14:paraId="1DCE142B" w14:textId="77777777" w:rsidR="007E7BB7" w:rsidRPr="00DB3C11" w:rsidRDefault="007E7BB7" w:rsidP="007E7BB7">
            <w:pPr>
              <w:pStyle w:val="NoSpacing"/>
            </w:pPr>
            <w:r w:rsidRPr="00DB3C11">
              <w:t>Panic/phobia</w:t>
            </w:r>
          </w:p>
        </w:tc>
        <w:tc>
          <w:tcPr>
            <w:tcW w:w="708" w:type="dxa"/>
          </w:tcPr>
          <w:p w14:paraId="05E875C3" w14:textId="77777777" w:rsidR="007E7BB7" w:rsidRPr="00DB3C11" w:rsidRDefault="007E7BB7" w:rsidP="007E7BB7">
            <w:pPr>
              <w:pStyle w:val="NoSpacing"/>
            </w:pPr>
            <w:r w:rsidRPr="00DB3C11">
              <w:t>90 (93)</w:t>
            </w:r>
          </w:p>
        </w:tc>
        <w:tc>
          <w:tcPr>
            <w:tcW w:w="851" w:type="dxa"/>
          </w:tcPr>
          <w:p w14:paraId="41FA7FE6" w14:textId="77777777" w:rsidR="007E7BB7" w:rsidRPr="00DB3C11" w:rsidRDefault="007E7BB7" w:rsidP="007E7BB7">
            <w:pPr>
              <w:pStyle w:val="NoSpacing"/>
            </w:pPr>
            <w:r w:rsidRPr="00DB3C11">
              <w:t>38.13 (12.42)</w:t>
            </w:r>
          </w:p>
        </w:tc>
        <w:tc>
          <w:tcPr>
            <w:tcW w:w="1276" w:type="dxa"/>
          </w:tcPr>
          <w:p w14:paraId="42096E06" w14:textId="77777777" w:rsidR="007E7BB7" w:rsidRDefault="007E7BB7" w:rsidP="007E7BB7">
            <w:pPr>
              <w:pStyle w:val="NoSpacing"/>
            </w:pPr>
            <w:r w:rsidRPr="00DB3C11">
              <w:t>59%</w:t>
            </w:r>
          </w:p>
          <w:p w14:paraId="7ECEC35A" w14:textId="77777777" w:rsidR="007E7BB7" w:rsidRPr="00DB3C11" w:rsidRDefault="007E7BB7" w:rsidP="007E7BB7">
            <w:pPr>
              <w:pStyle w:val="NoSpacing"/>
            </w:pPr>
            <w:r w:rsidRPr="00DB3C11">
              <w:t>(</w:t>
            </w:r>
            <w:r>
              <w:t>28</w:t>
            </w:r>
            <w:r w:rsidRPr="00DB3C11">
              <w:t>)</w:t>
            </w:r>
          </w:p>
        </w:tc>
        <w:tc>
          <w:tcPr>
            <w:tcW w:w="1701" w:type="dxa"/>
          </w:tcPr>
          <w:p w14:paraId="5D295877" w14:textId="77777777" w:rsidR="007E7BB7" w:rsidRPr="00DB3C11" w:rsidRDefault="007E7BB7" w:rsidP="007E7BB7">
            <w:pPr>
              <w:pStyle w:val="NoSpacing"/>
            </w:pPr>
            <w:r w:rsidRPr="00DB3C11">
              <w:t xml:space="preserve">No </w:t>
            </w:r>
            <w:r>
              <w:t>COI.</w:t>
            </w:r>
          </w:p>
          <w:p w14:paraId="1633C857" w14:textId="77777777" w:rsidR="007E7BB7" w:rsidRPr="00DB3C11" w:rsidRDefault="007E7BB7" w:rsidP="007E7BB7">
            <w:pPr>
              <w:pStyle w:val="NoSpacing"/>
            </w:pPr>
            <w:r w:rsidRPr="00DB3C11">
              <w:t>ITT</w:t>
            </w:r>
          </w:p>
        </w:tc>
        <w:tc>
          <w:tcPr>
            <w:tcW w:w="2126" w:type="dxa"/>
          </w:tcPr>
          <w:p w14:paraId="5B9975CA" w14:textId="77777777" w:rsidR="007E7BB7" w:rsidRDefault="007E7BB7" w:rsidP="007E7BB7">
            <w:pPr>
              <w:pStyle w:val="NoSpacing"/>
            </w:pPr>
            <w:r>
              <w:t>M</w:t>
            </w:r>
            <w:r w:rsidRPr="00CA39FF">
              <w:t>inimal-contact therapy</w:t>
            </w:r>
            <w:r>
              <w:t>,</w:t>
            </w:r>
          </w:p>
          <w:p w14:paraId="2948AB76" w14:textId="77777777" w:rsidR="007E7BB7" w:rsidRDefault="007E7BB7" w:rsidP="007E7BB7">
            <w:pPr>
              <w:pStyle w:val="NoSpacing"/>
            </w:pPr>
            <w:r w:rsidRPr="00DB3C11">
              <w:t>9</w:t>
            </w:r>
            <w:r>
              <w:t xml:space="preserve"> Sessions.</w:t>
            </w:r>
          </w:p>
          <w:p w14:paraId="63E6A8FA" w14:textId="77777777" w:rsidR="007E7BB7" w:rsidRPr="00DB3C11" w:rsidRDefault="007E7BB7" w:rsidP="007E7BB7">
            <w:pPr>
              <w:pStyle w:val="NoSpacing"/>
            </w:pPr>
            <w:r w:rsidRPr="00DB3C11">
              <w:t>10 weeks</w:t>
            </w:r>
            <w:r>
              <w:t>.</w:t>
            </w:r>
          </w:p>
        </w:tc>
        <w:tc>
          <w:tcPr>
            <w:tcW w:w="850" w:type="dxa"/>
          </w:tcPr>
          <w:p w14:paraId="22ED7A3B" w14:textId="77777777" w:rsidR="007E7BB7" w:rsidRPr="00DB3C11" w:rsidRDefault="007E7BB7" w:rsidP="007E7BB7">
            <w:pPr>
              <w:pStyle w:val="NoSpacing"/>
            </w:pPr>
            <w:r>
              <w:t xml:space="preserve">1. </w:t>
            </w:r>
            <w:r w:rsidRPr="00DB3C11">
              <w:t>TAU</w:t>
            </w:r>
          </w:p>
          <w:p w14:paraId="0B76E322" w14:textId="77777777" w:rsidR="007E7BB7" w:rsidRPr="00DB3C11" w:rsidRDefault="007E7BB7" w:rsidP="007E7BB7">
            <w:pPr>
              <w:pStyle w:val="NoSpacing"/>
            </w:pPr>
            <w:r>
              <w:t xml:space="preserve">2. </w:t>
            </w:r>
            <w:r w:rsidRPr="00DB3C11">
              <w:t>de-STRESS</w:t>
            </w:r>
          </w:p>
        </w:tc>
        <w:tc>
          <w:tcPr>
            <w:tcW w:w="993" w:type="dxa"/>
          </w:tcPr>
          <w:p w14:paraId="6AF43D94" w14:textId="77777777" w:rsidR="007E7BB7" w:rsidRPr="00DB3C11" w:rsidRDefault="007E7BB7" w:rsidP="007E7BB7">
            <w:pPr>
              <w:pStyle w:val="NoSpacing"/>
            </w:pPr>
            <w:r w:rsidRPr="00DB3C11">
              <w:t>FQ</w:t>
            </w:r>
          </w:p>
        </w:tc>
        <w:tc>
          <w:tcPr>
            <w:tcW w:w="1134" w:type="dxa"/>
          </w:tcPr>
          <w:p w14:paraId="36EB59BE" w14:textId="77777777" w:rsidR="007E7BB7" w:rsidRPr="00DB3C11" w:rsidRDefault="007E7BB7" w:rsidP="007E7BB7">
            <w:pPr>
              <w:pStyle w:val="NoSpacing"/>
            </w:pPr>
            <w:r>
              <w:t>e</w:t>
            </w:r>
            <w:r>
              <w:noBreakHyphen/>
              <w:t xml:space="preserve">therapy - </w:t>
            </w:r>
            <w:r w:rsidRPr="00DB3C11">
              <w:t>49% (16)</w:t>
            </w:r>
          </w:p>
          <w:p w14:paraId="7DDE94FA" w14:textId="77777777" w:rsidR="007E7BB7" w:rsidRPr="00DB3C11" w:rsidRDefault="007E7BB7" w:rsidP="007E7BB7">
            <w:pPr>
              <w:pStyle w:val="NoSpacing"/>
            </w:pPr>
            <w:r>
              <w:t xml:space="preserve">1. </w:t>
            </w:r>
            <w:r w:rsidRPr="00DB3C11">
              <w:t xml:space="preserve">31% (12) </w:t>
            </w:r>
          </w:p>
          <w:p w14:paraId="5F063B8C" w14:textId="77777777" w:rsidR="007E7BB7" w:rsidRPr="00DB3C11" w:rsidRDefault="007E7BB7" w:rsidP="007E7BB7">
            <w:pPr>
              <w:pStyle w:val="NoSpacing"/>
            </w:pPr>
            <w:r>
              <w:t xml:space="preserve">2. </w:t>
            </w:r>
            <w:r w:rsidRPr="00DB3C11">
              <w:t>18% (3)</w:t>
            </w:r>
          </w:p>
        </w:tc>
        <w:tc>
          <w:tcPr>
            <w:tcW w:w="777" w:type="dxa"/>
          </w:tcPr>
          <w:p w14:paraId="0D274619" w14:textId="77777777" w:rsidR="007E7BB7" w:rsidRPr="00DB3C11" w:rsidRDefault="007E7BB7" w:rsidP="007E7BB7">
            <w:pPr>
              <w:pStyle w:val="NoSpacing"/>
            </w:pPr>
            <w:r w:rsidRPr="00DB3C11">
              <w:t>1 month</w:t>
            </w:r>
          </w:p>
        </w:tc>
      </w:tr>
      <w:tr w:rsidR="007E7BB7" w:rsidRPr="00DB3C11" w14:paraId="41E31F2A" w14:textId="77777777" w:rsidTr="007E7BB7">
        <w:trPr>
          <w:trHeight w:val="1281"/>
        </w:trPr>
        <w:tc>
          <w:tcPr>
            <w:tcW w:w="1200" w:type="dxa"/>
          </w:tcPr>
          <w:p w14:paraId="70FE17EA" w14:textId="77777777" w:rsidR="007E7BB7" w:rsidRPr="00DB3C11" w:rsidRDefault="007E7BB7" w:rsidP="007E7BB7">
            <w:pPr>
              <w:pStyle w:val="NoSpacing"/>
            </w:pPr>
            <w:r w:rsidRPr="00DB3C11">
              <w:t>Headspace</w:t>
            </w:r>
          </w:p>
        </w:tc>
        <w:tc>
          <w:tcPr>
            <w:tcW w:w="1201" w:type="dxa"/>
          </w:tcPr>
          <w:p w14:paraId="5EE86C95" w14:textId="77777777" w:rsidR="007E7BB7" w:rsidRPr="00DB3C11" w:rsidRDefault="007E7BB7" w:rsidP="007E7BB7">
            <w:pPr>
              <w:pStyle w:val="NoSpacing"/>
            </w:pPr>
            <w:r w:rsidRPr="00DB3C11">
              <w:fldChar w:fldCharType="begin" w:fldLock="1"/>
            </w:r>
            <w:r>
              <w:instrText>ADDIN CSL_CITATION {"citationItems":[{"id":"ITEM-1","itemData":{"DOI":"10.1007/s10902-014-9589-1","ISBN":"1389-4978","ISSN":"15737780","abstract":"Smartphones are revolutionizing approaches to wellbeing investment. Those seeking greater happiness can engage with thousands of downloadable self-help applica- tions instantly, yet their effectiveness remains largely unknown. This investigation explored the viability of delivering a positive psychological intervention in application format to authentic happiness seekers. A smartphone-based randomized-controlled trial was conducted with a diverse self-selecting pool, randomly assigned to engage with an empirically supported mindfulness intervention (n = 57) or a control intervention (n = 64) for 10 days. The study explored smartphone methodology, the importance of empirically based content for wellbeing enhancement and the extent to which user expe- rience related to wellbeing gains. Results of repeated measures ANOVAs showed statis- tically significant increases in positive affect with a medium effect size and reduced depressive symptoms with a small effect size, although no statistically significant differ- ences in satisfaction with life, flourishing or negative affect were found. No statistically significant gains were observed in the control condition. Ratings of task enjoyment were positively correlated (Pearson’s r) with positive affect increase. Findings support the viability of smartphone-based interventions to significantly enhance elements of wellbeing, underscoring the importance of application content and the role of person-activity fit. This investigation presents implications for happiness seeking strategies in the real world whilst showcasing a dynamic method of intervention delivery that can benefit future research and practice. If the greatest mission of positive psychology is to enhance global flourishing, the potential of smartphone-based interventions may play a vital role.","author":[{"dropping-particle":"","family":"Howells","given":"Annika","non-dropping-particle":"","parse-names":false,"suffix":""},{"dropping-particle":"","family":"Ivtzan","given":"Itai","non-dropping-particle":"","parse-names":false,"suffix":""},{"dropping-particle":"","family":"Eiroa-Orosa","given":"Francisco Jose","non-dropping-particle":"","parse-names":false,"suffix":""}],"container-title":"Journal of Happiness Studies","id":"ITEM-1","issue":"1","issued":{"date-parts":[["2014"]]},"page":"163-185","title":"Putting the 'app' in Happiness: A Randomised Controlled Trial of a Smartphone-Based Mindfulness Intervention to Enhance Wellbeing","type":"article-journal","volume":"17"},"uris":["http://www.mendeley.com/documents/?uuid=ffb8e51b-d98e-40d9-8f97-9c4c5832b929"]}],"mendeley":{"formattedCitation":"(Howells, Ivtzan and Eiroa-Orosa, 2014)","manualFormatting":"Howells, Ivtzan, &amp; Eiroa-Orosa (2016)","plainTextFormattedCitation":"(Howells, Ivtzan and Eiroa-Orosa, 2014)","previouslyFormattedCitation":"(Howells, Ivtzan and Eiroa-Orosa, 2014)"},"properties":{"noteIndex":0},"schema":"https://github.com/citation-style-language/schema/raw/master/csl-citation.json"}</w:instrText>
            </w:r>
            <w:r w:rsidRPr="00DB3C11">
              <w:fldChar w:fldCharType="separate"/>
            </w:r>
            <w:r w:rsidRPr="00DB3C11">
              <w:rPr>
                <w:noProof/>
              </w:rPr>
              <w:t>Howells, Ivtzan, &amp; Eiroa-Orosa (2016)</w:t>
            </w:r>
            <w:r w:rsidRPr="00DB3C11">
              <w:fldChar w:fldCharType="end"/>
            </w:r>
          </w:p>
        </w:tc>
        <w:tc>
          <w:tcPr>
            <w:tcW w:w="2102" w:type="dxa"/>
            <w:shd w:val="clear" w:color="auto" w:fill="auto"/>
          </w:tcPr>
          <w:p w14:paraId="159A84A5" w14:textId="77777777" w:rsidR="007E7BB7" w:rsidRDefault="007E7BB7" w:rsidP="007E7BB7">
            <w:pPr>
              <w:pStyle w:val="NoSpacing"/>
            </w:pPr>
            <w:r w:rsidRPr="00DB3C11">
              <w:t xml:space="preserve">Internet </w:t>
            </w:r>
          </w:p>
          <w:p w14:paraId="63DF72B9" w14:textId="77777777" w:rsidR="007E7BB7" w:rsidRPr="00DB3C11" w:rsidRDefault="007E7BB7" w:rsidP="007E7BB7">
            <w:pPr>
              <w:pStyle w:val="NoSpacing"/>
            </w:pPr>
            <w:r w:rsidRPr="00DB3C11">
              <w:t>Community sample</w:t>
            </w:r>
          </w:p>
          <w:p w14:paraId="0E4119AC" w14:textId="77777777" w:rsidR="007E7BB7" w:rsidRPr="00DB3C11" w:rsidRDefault="007E7BB7" w:rsidP="007E7BB7">
            <w:pPr>
              <w:pStyle w:val="NoSpacing"/>
            </w:pPr>
            <w:r>
              <w:t>No criteria</w:t>
            </w:r>
          </w:p>
        </w:tc>
        <w:tc>
          <w:tcPr>
            <w:tcW w:w="708" w:type="dxa"/>
          </w:tcPr>
          <w:p w14:paraId="728295A0" w14:textId="77777777" w:rsidR="007E7BB7" w:rsidRPr="00DB3C11" w:rsidRDefault="007E7BB7" w:rsidP="007E7BB7">
            <w:pPr>
              <w:pStyle w:val="NoSpacing"/>
            </w:pPr>
            <w:r w:rsidRPr="00DB3C11">
              <w:t>194</w:t>
            </w:r>
          </w:p>
        </w:tc>
        <w:tc>
          <w:tcPr>
            <w:tcW w:w="851" w:type="dxa"/>
          </w:tcPr>
          <w:p w14:paraId="16B31988" w14:textId="77777777" w:rsidR="007E7BB7" w:rsidRPr="00DB3C11" w:rsidRDefault="007E7BB7" w:rsidP="007E7BB7">
            <w:pPr>
              <w:pStyle w:val="NoSpacing"/>
            </w:pPr>
            <w:r w:rsidRPr="00DB3C11">
              <w:t>40.3 (10.54)</w:t>
            </w:r>
          </w:p>
        </w:tc>
        <w:tc>
          <w:tcPr>
            <w:tcW w:w="1276" w:type="dxa"/>
          </w:tcPr>
          <w:p w14:paraId="6FE73A5D" w14:textId="77777777" w:rsidR="007E7BB7" w:rsidRDefault="007E7BB7" w:rsidP="007E7BB7">
            <w:pPr>
              <w:pStyle w:val="NoSpacing"/>
            </w:pPr>
            <w:r>
              <w:t>11.86%</w:t>
            </w:r>
          </w:p>
          <w:p w14:paraId="14B6F853" w14:textId="77777777" w:rsidR="007E7BB7" w:rsidRPr="00DB3C11" w:rsidRDefault="007E7BB7" w:rsidP="007E7BB7">
            <w:pPr>
              <w:pStyle w:val="NoSpacing"/>
            </w:pPr>
            <w:r>
              <w:t>(23)</w:t>
            </w:r>
          </w:p>
        </w:tc>
        <w:tc>
          <w:tcPr>
            <w:tcW w:w="1701" w:type="dxa"/>
          </w:tcPr>
          <w:p w14:paraId="4A61496A" w14:textId="77777777" w:rsidR="007E7BB7" w:rsidRPr="00DB3C11" w:rsidRDefault="007E7BB7" w:rsidP="007E7BB7">
            <w:pPr>
              <w:pStyle w:val="NoSpacing"/>
            </w:pPr>
            <w:r w:rsidRPr="00DB3C11">
              <w:t xml:space="preserve">No </w:t>
            </w:r>
            <w:r>
              <w:t>COI</w:t>
            </w:r>
            <w:r w:rsidRPr="00DB3C11">
              <w:t xml:space="preserve"> declaration.</w:t>
            </w:r>
          </w:p>
          <w:p w14:paraId="114A495E" w14:textId="77777777" w:rsidR="007E7BB7" w:rsidRPr="00DB3C11" w:rsidRDefault="007E7BB7" w:rsidP="007E7BB7">
            <w:pPr>
              <w:pStyle w:val="NoSpacing"/>
            </w:pPr>
            <w:r>
              <w:t>2</w:t>
            </w:r>
            <w:r w:rsidRPr="00DB3C11">
              <w:t xml:space="preserve"> arm, parallel.</w:t>
            </w:r>
          </w:p>
          <w:p w14:paraId="69ED572A" w14:textId="77777777" w:rsidR="007E7BB7" w:rsidRPr="00DB3C11" w:rsidRDefault="007E7BB7" w:rsidP="007E7BB7">
            <w:pPr>
              <w:pStyle w:val="NoSpacing"/>
            </w:pPr>
            <w:r w:rsidRPr="00DB3C11">
              <w:t>ITT</w:t>
            </w:r>
          </w:p>
        </w:tc>
        <w:tc>
          <w:tcPr>
            <w:tcW w:w="2126" w:type="dxa"/>
          </w:tcPr>
          <w:p w14:paraId="5135D30E" w14:textId="77777777" w:rsidR="007E7BB7" w:rsidRPr="00DB3C11" w:rsidRDefault="007E7BB7" w:rsidP="007E7BB7">
            <w:pPr>
              <w:pStyle w:val="NoSpacing"/>
            </w:pPr>
            <w:r>
              <w:t>S</w:t>
            </w:r>
            <w:r w:rsidRPr="00CA39FF">
              <w:t>elf-administered therapy</w:t>
            </w:r>
            <w:r>
              <w:t>.</w:t>
            </w:r>
          </w:p>
          <w:p w14:paraId="18EE900A" w14:textId="77777777" w:rsidR="007E7BB7" w:rsidRDefault="007E7BB7" w:rsidP="007E7BB7">
            <w:pPr>
              <w:pStyle w:val="NoSpacing"/>
            </w:pPr>
            <w:r>
              <w:t xml:space="preserve">10 x </w:t>
            </w:r>
            <w:r w:rsidRPr="00DB3C11">
              <w:t>10 min</w:t>
            </w:r>
            <w:r>
              <w:t xml:space="preserve"> Sessions.</w:t>
            </w:r>
          </w:p>
          <w:p w14:paraId="13187BD8" w14:textId="77777777" w:rsidR="007E7BB7" w:rsidRPr="00DB3C11" w:rsidRDefault="007E7BB7" w:rsidP="007E7BB7">
            <w:pPr>
              <w:pStyle w:val="NoSpacing"/>
            </w:pPr>
            <w:r w:rsidRPr="00DB3C11">
              <w:t>10 day</w:t>
            </w:r>
            <w:r>
              <w:t>s.</w:t>
            </w:r>
          </w:p>
        </w:tc>
        <w:tc>
          <w:tcPr>
            <w:tcW w:w="850" w:type="dxa"/>
          </w:tcPr>
          <w:p w14:paraId="2D53C764" w14:textId="77777777" w:rsidR="007E7BB7" w:rsidRPr="00DB3C11" w:rsidRDefault="007E7BB7" w:rsidP="007E7BB7">
            <w:pPr>
              <w:pStyle w:val="NoSpacing"/>
            </w:pPr>
            <w:r>
              <w:t xml:space="preserve">1. </w:t>
            </w:r>
            <w:r w:rsidRPr="00DB3C11">
              <w:t xml:space="preserve">Catch notes </w:t>
            </w:r>
            <w:r>
              <w:t>(</w:t>
            </w:r>
            <w:r w:rsidRPr="00D2505D">
              <w:t>neutral task</w:t>
            </w:r>
            <w:r>
              <w:t>)</w:t>
            </w:r>
          </w:p>
        </w:tc>
        <w:tc>
          <w:tcPr>
            <w:tcW w:w="993" w:type="dxa"/>
          </w:tcPr>
          <w:p w14:paraId="02150A78" w14:textId="77777777" w:rsidR="007E7BB7" w:rsidRPr="00DB3C11" w:rsidRDefault="007E7BB7" w:rsidP="007E7BB7">
            <w:pPr>
              <w:pStyle w:val="NoSpacing"/>
            </w:pPr>
            <w:r w:rsidRPr="00DB3C11">
              <w:t>CES-D</w:t>
            </w:r>
          </w:p>
        </w:tc>
        <w:tc>
          <w:tcPr>
            <w:tcW w:w="1134" w:type="dxa"/>
          </w:tcPr>
          <w:p w14:paraId="7C3F477A" w14:textId="77777777" w:rsidR="007E7BB7" w:rsidRPr="00DB3C11" w:rsidRDefault="007E7BB7" w:rsidP="007E7BB7">
            <w:pPr>
              <w:pStyle w:val="NoSpacing"/>
            </w:pPr>
            <w:r>
              <w:t>e</w:t>
            </w:r>
            <w:r>
              <w:noBreakHyphen/>
              <w:t xml:space="preserve">therapy - </w:t>
            </w:r>
            <w:r w:rsidRPr="00DB3C11">
              <w:t>41% (40)</w:t>
            </w:r>
          </w:p>
          <w:p w14:paraId="22A601C5" w14:textId="77777777" w:rsidR="007E7BB7" w:rsidRPr="00DB3C11" w:rsidRDefault="007E7BB7" w:rsidP="007E7BB7">
            <w:pPr>
              <w:pStyle w:val="NoSpacing"/>
            </w:pPr>
            <w:r>
              <w:t xml:space="preserve">1.  </w:t>
            </w:r>
            <w:r w:rsidRPr="00DB3C11">
              <w:t>34% (33)</w:t>
            </w:r>
          </w:p>
        </w:tc>
        <w:tc>
          <w:tcPr>
            <w:tcW w:w="777" w:type="dxa"/>
          </w:tcPr>
          <w:p w14:paraId="559EA314" w14:textId="77777777" w:rsidR="007E7BB7" w:rsidRPr="00DB3C11" w:rsidRDefault="007E7BB7" w:rsidP="007E7BB7">
            <w:pPr>
              <w:pStyle w:val="NoSpacing"/>
            </w:pPr>
            <w:r w:rsidRPr="00DB3C11">
              <w:t>None</w:t>
            </w:r>
          </w:p>
        </w:tc>
      </w:tr>
      <w:tr w:rsidR="007E7BB7" w:rsidRPr="00DB3C11" w14:paraId="34BBE768" w14:textId="77777777" w:rsidTr="007E7BB7">
        <w:trPr>
          <w:trHeight w:val="694"/>
        </w:trPr>
        <w:tc>
          <w:tcPr>
            <w:tcW w:w="1200" w:type="dxa"/>
          </w:tcPr>
          <w:p w14:paraId="412F737C" w14:textId="77777777" w:rsidR="007E7BB7" w:rsidRPr="00DB3C11" w:rsidRDefault="007E7BB7" w:rsidP="007E7BB7">
            <w:pPr>
              <w:pStyle w:val="NoSpacing"/>
            </w:pPr>
            <w:r w:rsidRPr="00DB3C11">
              <w:t>IESO</w:t>
            </w:r>
          </w:p>
        </w:tc>
        <w:tc>
          <w:tcPr>
            <w:tcW w:w="1201" w:type="dxa"/>
          </w:tcPr>
          <w:p w14:paraId="546E4518" w14:textId="77777777" w:rsidR="007E7BB7" w:rsidRPr="00DB3C11" w:rsidRDefault="007E7BB7" w:rsidP="007E7BB7">
            <w:pPr>
              <w:pStyle w:val="NoSpacing"/>
            </w:pPr>
            <w:r w:rsidRPr="00DB3C11">
              <w:fldChar w:fldCharType="begin" w:fldLock="1"/>
            </w:r>
            <w:r>
              <w:instrText>ADDIN CSL_CITATION {"citationItems":[{"id":"ITEM-1","itemData":{"DOI":"10.1016/S0140-6736(09)61257-5","ISSN":"1474-547X","PMID":"19700005","abstract":"BACKGROUND: Despite strong evidence for its effectiveness, cognitive-behavioural therapy (CBT) remains difficult to access. Computerised programs have been developed to improve accessibility, but whether these interventions are responsive to individual needs is unknown. We investigated the effectiveness of CBT delivered online in real time by a therapist for patients with depression in primary care. METHODS: In this multicentre, randomised controlled trial, 297 individuals with a score of 14 or more on the Beck depression inventory (BDI) and a confirmed diagnosis of depression were recruited from 55 general practices in Bristol, London, and Warwickshire, UK. Participants were randomly assigned, by a computer-generated code, to online CBT in addition to usual care (intervention; n=149) or to usual care from their general practitioner while on an 8-month waiting list for online CBT (control; n=148). Participants, researchers involved in recruitment, and therapists were masked in advance to allocation. The primary outcome was recovery from depression (BDI score &lt;10) at 4 months. Analysis was by intention to treat. This trial is registered, number ISRCTN 45444578. FINDINGS: 113 participants in the intervention group and 97 in the control group completed 4-month follow-up. 43 (38%) patients recovered from depression (BDI score &lt;10) in the intervention group versus 23 (24%) in the control group at 4 months (odds ratio 2.39, 95% CI 1.23-4.67; p=0.011), and 46 (42%) versus 26 (26%) at 8 months (2.07, 1.11-3.87; p=0.023). INTERPRETATION: CBT seems to be effective when delivered online in real time by a therapist, with benefits maintained over 8 months. This method of delivery could broaden access to CBT. FUNDING: BUPA Foundation.","author":[{"dropping-particle":"","family":"Kessler","given":"David","non-dropping-particle":"","parse-names":false,"suffix":""},{"dropping-particle":"","family":"Lewis","given":"Glyn","non-dropping-particle":"","parse-names":false,"suffix":""},{"dropping-particle":"","family":"Kaur","given":"Surinder","non-dropping-particle":"","parse-names":false,"suffix":""},{"dropping-particle":"","family":"Wiles","given":"Nicola","non-dropping-particle":"","parse-names":false,"suffix":""},{"dropping-particle":"","family":"King","given":"Michael","non-dropping-particle":"","parse-names":false,"suffix":""},{"dropping-particle":"","family":"Weich","given":"Scott","non-dropping-particle":"","parse-names":false,"suffix":""},{"dropping-particle":"","family":"Sharp","given":"Debbie J","non-dropping-particle":"","parse-names":false,"suffix":""},{"dropping-particle":"","family":"Araya","given":"Ricardo","non-dropping-particle":"","parse-names":false,"suffix":""},{"dropping-particle":"","family":"Hollinghurst","given":"Sandra","non-dropping-particle":"","parse-names":false,"suffix":""},{"dropping-particle":"","family":"Peters","given":"Tim J","non-dropping-particle":"","parse-names":false,"suffix":""}],"container-title":"Lancet","id":"ITEM-1","issue":"9690","issued":{"date-parts":[["2009","8","22"]]},"page":"628-34","publisher":"Elsevier Ltd","title":"Therapist-delivered Internet psychotherapy for depression in primary care: a randomised controlled trial.","type":"article-journal","volume":"374"},"uris":["http://www.mendeley.com/documents/?uuid=f23b1723-1727-4adc-bf14-d834ab05b76b"]}],"mendeley":{"formattedCitation":"(Kessler &lt;i&gt;et al.&lt;/i&gt;, 2009)","manualFormatting":"Kessler et al. (2009)","plainTextFormattedCitation":"(Kessler et al., 2009)","previouslyFormattedCitation":"(Kessler &lt;i&gt;et al.&lt;/i&gt;, 2009)"},"properties":{"noteIndex":0},"schema":"https://github.com/citation-style-language/schema/raw/master/csl-citation.json"}</w:instrText>
            </w:r>
            <w:r w:rsidRPr="00DB3C11">
              <w:fldChar w:fldCharType="separate"/>
            </w:r>
            <w:r w:rsidRPr="00DB3C11">
              <w:rPr>
                <w:noProof/>
              </w:rPr>
              <w:t>Kessler et al. (2009)</w:t>
            </w:r>
            <w:r w:rsidRPr="00DB3C11">
              <w:fldChar w:fldCharType="end"/>
            </w:r>
          </w:p>
        </w:tc>
        <w:tc>
          <w:tcPr>
            <w:tcW w:w="2102" w:type="dxa"/>
            <w:shd w:val="clear" w:color="auto" w:fill="auto"/>
          </w:tcPr>
          <w:p w14:paraId="255D9CE3" w14:textId="77777777" w:rsidR="007E7BB7" w:rsidRDefault="007E7BB7" w:rsidP="007E7BB7">
            <w:pPr>
              <w:pStyle w:val="NoSpacing"/>
            </w:pPr>
            <w:r w:rsidRPr="00DB3C11">
              <w:t>Primary Care</w:t>
            </w:r>
          </w:p>
          <w:p w14:paraId="13586AE9" w14:textId="77777777" w:rsidR="007E7BB7" w:rsidRDefault="007E7BB7" w:rsidP="007E7BB7">
            <w:pPr>
              <w:pStyle w:val="NoSpacing"/>
            </w:pPr>
            <w:r w:rsidRPr="00DB3C11">
              <w:t>Clinical sample</w:t>
            </w:r>
          </w:p>
          <w:p w14:paraId="420A3A32" w14:textId="77777777" w:rsidR="007E7BB7" w:rsidRPr="00DB3C11" w:rsidRDefault="007E7BB7" w:rsidP="007E7BB7">
            <w:pPr>
              <w:pStyle w:val="NoSpacing"/>
            </w:pPr>
            <w:r w:rsidRPr="00DB3C11">
              <w:t>Depression</w:t>
            </w:r>
          </w:p>
        </w:tc>
        <w:tc>
          <w:tcPr>
            <w:tcW w:w="708" w:type="dxa"/>
          </w:tcPr>
          <w:p w14:paraId="1D6769EE" w14:textId="77777777" w:rsidR="007E7BB7" w:rsidRPr="00DB3C11" w:rsidRDefault="007E7BB7" w:rsidP="007E7BB7">
            <w:pPr>
              <w:pStyle w:val="NoSpacing"/>
            </w:pPr>
            <w:r w:rsidRPr="00DB3C11">
              <w:t>297</w:t>
            </w:r>
          </w:p>
        </w:tc>
        <w:tc>
          <w:tcPr>
            <w:tcW w:w="851" w:type="dxa"/>
          </w:tcPr>
          <w:p w14:paraId="23579A2B" w14:textId="77777777" w:rsidR="007E7BB7" w:rsidRPr="00DB3C11" w:rsidRDefault="007E7BB7" w:rsidP="007E7BB7">
            <w:pPr>
              <w:pStyle w:val="NoSpacing"/>
            </w:pPr>
            <w:r w:rsidRPr="00DB3C11">
              <w:t>34.95 (11.60)</w:t>
            </w:r>
          </w:p>
        </w:tc>
        <w:tc>
          <w:tcPr>
            <w:tcW w:w="1276" w:type="dxa"/>
          </w:tcPr>
          <w:p w14:paraId="72C21AC4" w14:textId="77777777" w:rsidR="007E7BB7" w:rsidRDefault="007E7BB7" w:rsidP="007E7BB7">
            <w:pPr>
              <w:pStyle w:val="NoSpacing"/>
            </w:pPr>
            <w:r>
              <w:t>31.99%</w:t>
            </w:r>
          </w:p>
          <w:p w14:paraId="1B89C56B" w14:textId="77777777" w:rsidR="007E7BB7" w:rsidRPr="00DB3C11" w:rsidRDefault="007E7BB7" w:rsidP="007E7BB7">
            <w:pPr>
              <w:pStyle w:val="NoSpacing"/>
            </w:pPr>
            <w:r>
              <w:t>(95)</w:t>
            </w:r>
          </w:p>
          <w:p w14:paraId="0F676939" w14:textId="77777777" w:rsidR="007E7BB7" w:rsidRPr="00DB3C11" w:rsidRDefault="007E7BB7" w:rsidP="007E7BB7">
            <w:pPr>
              <w:pStyle w:val="NoSpacing"/>
            </w:pPr>
          </w:p>
        </w:tc>
        <w:tc>
          <w:tcPr>
            <w:tcW w:w="1701" w:type="dxa"/>
          </w:tcPr>
          <w:p w14:paraId="0D3C70E6" w14:textId="77777777" w:rsidR="007E7BB7" w:rsidRPr="00DB3C11" w:rsidRDefault="007E7BB7" w:rsidP="007E7BB7">
            <w:pPr>
              <w:pStyle w:val="NoSpacing"/>
            </w:pPr>
            <w:r w:rsidRPr="00DB3C11">
              <w:t xml:space="preserve">No </w:t>
            </w:r>
            <w:r>
              <w:t>COI.</w:t>
            </w:r>
          </w:p>
          <w:p w14:paraId="62C3DC14" w14:textId="77777777" w:rsidR="007E7BB7" w:rsidRPr="00DB3C11" w:rsidRDefault="007E7BB7" w:rsidP="007E7BB7">
            <w:pPr>
              <w:pStyle w:val="NoSpacing"/>
            </w:pPr>
            <w:r>
              <w:t>M</w:t>
            </w:r>
            <w:r w:rsidRPr="00DB3C11">
              <w:t xml:space="preserve">ulticentre, parallel, </w:t>
            </w:r>
            <w:r>
              <w:t>2</w:t>
            </w:r>
            <w:r w:rsidRPr="00DB3C11">
              <w:t xml:space="preserve"> arm.</w:t>
            </w:r>
          </w:p>
          <w:p w14:paraId="0EDED1C5" w14:textId="77777777" w:rsidR="007E7BB7" w:rsidRPr="00DB3C11" w:rsidRDefault="007E7BB7" w:rsidP="007E7BB7">
            <w:pPr>
              <w:pStyle w:val="NoSpacing"/>
            </w:pPr>
            <w:r w:rsidRPr="00DB3C11">
              <w:t>ITT</w:t>
            </w:r>
          </w:p>
        </w:tc>
        <w:tc>
          <w:tcPr>
            <w:tcW w:w="2126" w:type="dxa"/>
          </w:tcPr>
          <w:p w14:paraId="152238A1" w14:textId="77777777" w:rsidR="007E7BB7" w:rsidRPr="00DB3C11" w:rsidRDefault="007E7BB7" w:rsidP="007E7BB7">
            <w:pPr>
              <w:pStyle w:val="NoSpacing"/>
            </w:pPr>
            <w:r>
              <w:t>P</w:t>
            </w:r>
            <w:r w:rsidRPr="00CA39FF">
              <w:t>redominantly therapist administered treatment</w:t>
            </w:r>
            <w:r>
              <w:t>.</w:t>
            </w:r>
          </w:p>
          <w:p w14:paraId="5CE32598" w14:textId="77777777" w:rsidR="007E7BB7" w:rsidRDefault="007E7BB7" w:rsidP="007E7BB7">
            <w:pPr>
              <w:pStyle w:val="NoSpacing"/>
            </w:pPr>
            <w:r w:rsidRPr="00DB3C11">
              <w:t>10 x 55 min</w:t>
            </w:r>
            <w:r>
              <w:t xml:space="preserve"> Sessions.</w:t>
            </w:r>
          </w:p>
          <w:p w14:paraId="11261F66" w14:textId="77777777" w:rsidR="007E7BB7" w:rsidRPr="00DB3C11" w:rsidRDefault="007E7BB7" w:rsidP="007E7BB7">
            <w:pPr>
              <w:pStyle w:val="NoSpacing"/>
            </w:pPr>
            <w:r w:rsidRPr="00DB3C11">
              <w:t>16 weeks</w:t>
            </w:r>
            <w:r>
              <w:t>.</w:t>
            </w:r>
          </w:p>
        </w:tc>
        <w:tc>
          <w:tcPr>
            <w:tcW w:w="850" w:type="dxa"/>
          </w:tcPr>
          <w:p w14:paraId="7E8F4419" w14:textId="77777777" w:rsidR="007E7BB7" w:rsidRPr="00DB3C11" w:rsidRDefault="007E7BB7" w:rsidP="007E7BB7">
            <w:pPr>
              <w:pStyle w:val="NoSpacing"/>
            </w:pPr>
            <w:r>
              <w:t xml:space="preserve">1. </w:t>
            </w:r>
            <w:r w:rsidRPr="00DB3C11">
              <w:t>Waiting list</w:t>
            </w:r>
          </w:p>
        </w:tc>
        <w:tc>
          <w:tcPr>
            <w:tcW w:w="993" w:type="dxa"/>
          </w:tcPr>
          <w:p w14:paraId="59346E30" w14:textId="77777777" w:rsidR="007E7BB7" w:rsidRPr="00DB3C11" w:rsidRDefault="007E7BB7" w:rsidP="007E7BB7">
            <w:pPr>
              <w:pStyle w:val="NoSpacing"/>
            </w:pPr>
            <w:r w:rsidRPr="00DB3C11">
              <w:t>BDI</w:t>
            </w:r>
          </w:p>
        </w:tc>
        <w:tc>
          <w:tcPr>
            <w:tcW w:w="1134" w:type="dxa"/>
          </w:tcPr>
          <w:p w14:paraId="4B74120F" w14:textId="77777777" w:rsidR="007E7BB7" w:rsidRPr="00DB3C11" w:rsidRDefault="007E7BB7" w:rsidP="007E7BB7">
            <w:pPr>
              <w:pStyle w:val="NoSpacing"/>
            </w:pPr>
            <w:r>
              <w:t>e</w:t>
            </w:r>
            <w:r>
              <w:noBreakHyphen/>
              <w:t xml:space="preserve">therapy - </w:t>
            </w:r>
            <w:r w:rsidRPr="00DB3C11">
              <w:t>24% (36)</w:t>
            </w:r>
          </w:p>
          <w:p w14:paraId="3EE5B57F" w14:textId="77777777" w:rsidR="007E7BB7" w:rsidRPr="00DB3C11" w:rsidRDefault="007E7BB7" w:rsidP="007E7BB7">
            <w:pPr>
              <w:pStyle w:val="NoSpacing"/>
            </w:pPr>
            <w:r>
              <w:t xml:space="preserve">1. </w:t>
            </w:r>
            <w:r w:rsidRPr="00DB3C11">
              <w:t>34% (51)</w:t>
            </w:r>
          </w:p>
        </w:tc>
        <w:tc>
          <w:tcPr>
            <w:tcW w:w="777" w:type="dxa"/>
          </w:tcPr>
          <w:p w14:paraId="0D70A022" w14:textId="77777777" w:rsidR="007E7BB7" w:rsidRPr="00DB3C11" w:rsidRDefault="007E7BB7" w:rsidP="007E7BB7">
            <w:pPr>
              <w:pStyle w:val="NoSpacing"/>
            </w:pPr>
            <w:r w:rsidRPr="00DB3C11">
              <w:t xml:space="preserve">4 months </w:t>
            </w:r>
          </w:p>
        </w:tc>
      </w:tr>
      <w:tr w:rsidR="007E7BB7" w:rsidRPr="00DB3C11" w14:paraId="56E961E2" w14:textId="77777777" w:rsidTr="007E7BB7">
        <w:trPr>
          <w:trHeight w:val="675"/>
        </w:trPr>
        <w:tc>
          <w:tcPr>
            <w:tcW w:w="1200" w:type="dxa"/>
            <w:vMerge w:val="restart"/>
          </w:tcPr>
          <w:p w14:paraId="27A95D52" w14:textId="77777777" w:rsidR="007E7BB7" w:rsidRPr="00DB3C11" w:rsidRDefault="007E7BB7" w:rsidP="007E7BB7">
            <w:pPr>
              <w:pStyle w:val="NoSpacing"/>
            </w:pPr>
            <w:proofErr w:type="spellStart"/>
            <w:r w:rsidRPr="00DB3C11">
              <w:t>MoodGYM</w:t>
            </w:r>
            <w:proofErr w:type="spellEnd"/>
          </w:p>
        </w:tc>
        <w:tc>
          <w:tcPr>
            <w:tcW w:w="1201" w:type="dxa"/>
          </w:tcPr>
          <w:p w14:paraId="276DD2C8" w14:textId="77777777" w:rsidR="007E7BB7" w:rsidRPr="00DB3C11" w:rsidRDefault="007E7BB7" w:rsidP="007E7BB7">
            <w:pPr>
              <w:pStyle w:val="NoSpacing"/>
            </w:pPr>
            <w:r w:rsidRPr="00DB3C11">
              <w:fldChar w:fldCharType="begin" w:fldLock="1"/>
            </w:r>
            <w:r>
              <w:instrText>ADDIN CSL_CITATION {"citationItems":[{"id":"ITEM-1","itemData":{"DOI":"10.1111/bjc.12055","ISBN":"0144-6657 IL:0144-6657","ISSN":"20448260","PMID":"24831119","abstract":"OBJECTIVES: To evaluate the effectiveness of the computerized CBT (cCBT) programme, MoodGYM, for the reduction in symptoms of general psychological distress (the primary outcome), depression, anxiety, stress, and impaired daily functioning.\\n\\nDESIGN: A randomized controlled trial, with a waiting list control condition, in a routine clinical setting.\\n\\nMETHODS: Participants were 149 public mental health service users (aged 18-61 [M = 35.3 years; SD = 10.3]) waiting for interventions. Self-report outcome measures were administered online at baseline and post-intervention (i.e., after 32 days).\\n\\nRESULTS: After high dropout rates, a post-intervention completers analysis examined 28 MoodGYM participants and 38 waiting list control participants. MoodGYM was significantly more effective than the waiting list control for the reduction of symptoms of general psychological distress (F[1, 64] = 4.45; p &lt; .05) and stress (F[1, 64] = 5.35; p &lt; .05) but not depression, anxiety, or impaired daily functioning.\\n\\nCONCLUSIONS: Due to their high associated dropout rates, self-help cCBT programmes such as MoodGYM should not be provided as front-line treatments. However, as it is likely to be agreeable and beneficial to some service users, perhaps self-help cCBT should be provided as an additional treatment option.\\n\\nPRACTITIONER POINTS: Computerized CBT has predominantly been evaluated in 'efficacy' trials which often include motivated, self-referred participants unrepresentative of clinical populations. Multi-site recruitment in the present trial allowed participants with characteristics typical of public mental health service users across Ireland to be included. MoodGYM's effectiveness was demonstrated for the primary outcome, general psychological distress symptoms, and one of four secondary outcomes (i.e., stress symptoms). However, 56.3% of MoodGYM participants (and 85% of males) dropped out of the study, limiting the validity of findings. Feedback to MoodGYM (for those who engaged with it) was generally positive (e.g., 68% of respondents would recommend MoodGYM to a friend if they needed some help). However, 73% of MoodGYM participants did not complete all five sessions. Due to their limited effectiveness and high associated dropout rates, self-help cCBT programmes such as MoodGYM should not be provided as front-line treatments, in place of higher intensity interventions such as one-to-one psychotherapy. However, as it is likely to be agreeable and beneficial t…","author":[{"dropping-particle":"","family":"Twomey","given":"Conal","non-dropping-particle":"","parse-names":false,"suffix":""},{"dropping-particle":"","family":"O'Reilly","given":"Gary","non-dropping-particle":"","parse-names":false,"suffix":""},{"dropping-particle":"","family":"Byrne","given":"Michael","non-dropping-particle":"","parse-names":false,"suffix":""},{"dropping-particle":"","family":"Bury","given":"Matthew","non-dropping-particle":"","parse-names":false,"suffix":""},{"dropping-particle":"","family":"White","given":"Aisling","non-dropping-particle":"","parse-names":false,"suffix":""},{"dropping-particle":"","family":"Kissane","given":"Sheila","non-dropping-particle":"","parse-names":false,"suffix":""},{"dropping-particle":"","family":"McMahon","given":"Aisling","non-dropping-particle":"","parse-names":false,"suffix":""},{"dropping-particle":"","family":"Clancy","given":"Nicola","non-dropping-particle":"","parse-names":false,"suffix":""}],"container-title":"British Journal of Clinical Psychology","id":"ITEM-1","issue":"4","issued":{"date-parts":[["2014","11"]]},"page":"433-450","title":"A randomized controlled trial of the computerized CBT programme, MoodGYM, for public mental health service users waiting for interventions","type":"article-journal","volume":"53"},"uris":["http://www.mendeley.com/documents/?uuid=7f8117c1-d882-4c82-b22d-78eda461af33"]}],"mendeley":{"formattedCitation":"(Twomey &lt;i&gt;et al.&lt;/i&gt;, 2014)","manualFormatting":"Twomey et al. (2014)","plainTextFormattedCitation":"(Twomey et al., 2014)","previouslyFormattedCitation":"(Twomey &lt;i&gt;et al.&lt;/i&gt;, 2014)"},"properties":{"noteIndex":0},"schema":"https://github.com/citation-style-language/schema/raw/master/csl-citation.json"}</w:instrText>
            </w:r>
            <w:r w:rsidRPr="00DB3C11">
              <w:fldChar w:fldCharType="separate"/>
            </w:r>
            <w:r w:rsidRPr="00DB3C11">
              <w:rPr>
                <w:noProof/>
              </w:rPr>
              <w:t>Twomey et al. (2014)</w:t>
            </w:r>
            <w:r w:rsidRPr="00DB3C11">
              <w:fldChar w:fldCharType="end"/>
            </w:r>
          </w:p>
        </w:tc>
        <w:tc>
          <w:tcPr>
            <w:tcW w:w="2102" w:type="dxa"/>
            <w:shd w:val="clear" w:color="auto" w:fill="auto"/>
          </w:tcPr>
          <w:p w14:paraId="3B3BFAC7" w14:textId="77777777" w:rsidR="007E7BB7" w:rsidRDefault="007E7BB7" w:rsidP="007E7BB7">
            <w:pPr>
              <w:pStyle w:val="NoSpacing"/>
            </w:pPr>
            <w:r w:rsidRPr="00DB3C11">
              <w:t>Primary Care</w:t>
            </w:r>
          </w:p>
          <w:p w14:paraId="07108002" w14:textId="77777777" w:rsidR="007E7BB7" w:rsidRPr="00DB3C11" w:rsidRDefault="007E7BB7" w:rsidP="007E7BB7">
            <w:pPr>
              <w:pStyle w:val="NoSpacing"/>
            </w:pPr>
            <w:r w:rsidRPr="00DB3C11">
              <w:t>Clinical Sample</w:t>
            </w:r>
          </w:p>
          <w:p w14:paraId="1F0B8CCB" w14:textId="77777777" w:rsidR="007E7BB7" w:rsidRPr="00DB3C11" w:rsidRDefault="007E7BB7" w:rsidP="007E7BB7">
            <w:pPr>
              <w:pStyle w:val="NoSpacing"/>
            </w:pPr>
            <w:r w:rsidRPr="00DB3C11">
              <w:t>Depression</w:t>
            </w:r>
            <w:r>
              <w:t>/</w:t>
            </w:r>
            <w:r w:rsidRPr="00DB3C11">
              <w:t>anxiety</w:t>
            </w:r>
            <w:r>
              <w:t>/</w:t>
            </w:r>
            <w:r w:rsidRPr="00DB3C11">
              <w:t>stress</w:t>
            </w:r>
            <w:r>
              <w:t>.</w:t>
            </w:r>
          </w:p>
        </w:tc>
        <w:tc>
          <w:tcPr>
            <w:tcW w:w="708" w:type="dxa"/>
          </w:tcPr>
          <w:p w14:paraId="192506D7" w14:textId="77777777" w:rsidR="007E7BB7" w:rsidRPr="00DB3C11" w:rsidRDefault="007E7BB7" w:rsidP="007E7BB7">
            <w:pPr>
              <w:pStyle w:val="NoSpacing"/>
            </w:pPr>
            <w:r w:rsidRPr="00DB3C11">
              <w:t>66 (201)</w:t>
            </w:r>
          </w:p>
        </w:tc>
        <w:tc>
          <w:tcPr>
            <w:tcW w:w="851" w:type="dxa"/>
          </w:tcPr>
          <w:p w14:paraId="3C841755" w14:textId="77777777" w:rsidR="007E7BB7" w:rsidRPr="00DB3C11" w:rsidRDefault="007E7BB7" w:rsidP="007E7BB7">
            <w:pPr>
              <w:pStyle w:val="NoSpacing"/>
            </w:pPr>
            <w:r w:rsidRPr="00DB3C11">
              <w:t>33.75 (10.01)</w:t>
            </w:r>
          </w:p>
        </w:tc>
        <w:tc>
          <w:tcPr>
            <w:tcW w:w="1276" w:type="dxa"/>
          </w:tcPr>
          <w:p w14:paraId="327FFEAF" w14:textId="77777777" w:rsidR="007E7BB7" w:rsidRDefault="007E7BB7" w:rsidP="007E7BB7">
            <w:pPr>
              <w:pStyle w:val="NoSpacing"/>
            </w:pPr>
            <w:r>
              <w:t>22</w:t>
            </w:r>
            <w:r w:rsidRPr="00DB3C11">
              <w:t>.</w:t>
            </w:r>
            <w:r>
              <w:t>7</w:t>
            </w:r>
            <w:r w:rsidRPr="00DB3C11">
              <w:t>3%</w:t>
            </w:r>
          </w:p>
          <w:p w14:paraId="735A3B24" w14:textId="77777777" w:rsidR="007E7BB7" w:rsidRPr="00DB3C11" w:rsidRDefault="007E7BB7" w:rsidP="007E7BB7">
            <w:pPr>
              <w:pStyle w:val="NoSpacing"/>
            </w:pPr>
            <w:r w:rsidRPr="00DB3C11">
              <w:t>(</w:t>
            </w:r>
            <w:r>
              <w:t>1</w:t>
            </w:r>
            <w:r w:rsidRPr="00DB3C11">
              <w:t>5</w:t>
            </w:r>
            <w:r>
              <w:t>)</w:t>
            </w:r>
          </w:p>
        </w:tc>
        <w:tc>
          <w:tcPr>
            <w:tcW w:w="1701" w:type="dxa"/>
          </w:tcPr>
          <w:p w14:paraId="679BBD6D" w14:textId="77777777" w:rsidR="007E7BB7" w:rsidRPr="00DB3C11" w:rsidRDefault="007E7BB7" w:rsidP="007E7BB7">
            <w:pPr>
              <w:pStyle w:val="NoSpacing"/>
            </w:pPr>
            <w:r w:rsidRPr="00DB3C11">
              <w:t xml:space="preserve">No </w:t>
            </w:r>
            <w:r>
              <w:t>COI</w:t>
            </w:r>
            <w:r w:rsidRPr="00DB3C11">
              <w:t xml:space="preserve"> declaration.</w:t>
            </w:r>
          </w:p>
          <w:p w14:paraId="5CBEE76C" w14:textId="77777777" w:rsidR="007E7BB7" w:rsidRPr="00DB3C11" w:rsidRDefault="007E7BB7" w:rsidP="007E7BB7">
            <w:pPr>
              <w:pStyle w:val="NoSpacing"/>
            </w:pPr>
            <w:r w:rsidRPr="00DB3C11">
              <w:t xml:space="preserve">Parallel, </w:t>
            </w:r>
            <w:r>
              <w:t>2</w:t>
            </w:r>
            <w:r w:rsidRPr="00DB3C11">
              <w:t xml:space="preserve"> </w:t>
            </w:r>
            <w:proofErr w:type="gramStart"/>
            <w:r w:rsidRPr="00DB3C11">
              <w:t>arm</w:t>
            </w:r>
            <w:proofErr w:type="gramEnd"/>
            <w:r w:rsidRPr="00DB3C11">
              <w:t>.</w:t>
            </w:r>
          </w:p>
          <w:p w14:paraId="22C0F87F" w14:textId="77777777" w:rsidR="007E7BB7" w:rsidRPr="00DB3C11" w:rsidRDefault="007E7BB7" w:rsidP="007E7BB7">
            <w:pPr>
              <w:pStyle w:val="NoSpacing"/>
            </w:pPr>
            <w:r w:rsidRPr="00DB3C11">
              <w:t>Completers</w:t>
            </w:r>
          </w:p>
          <w:p w14:paraId="6009E6F1" w14:textId="77777777" w:rsidR="007E7BB7" w:rsidRPr="00DB3C11" w:rsidRDefault="007E7BB7" w:rsidP="007E7BB7">
            <w:pPr>
              <w:pStyle w:val="NoSpacing"/>
            </w:pPr>
          </w:p>
        </w:tc>
        <w:tc>
          <w:tcPr>
            <w:tcW w:w="2126" w:type="dxa"/>
          </w:tcPr>
          <w:p w14:paraId="76ED9E57" w14:textId="77777777" w:rsidR="007E7BB7" w:rsidRPr="00DB3C11" w:rsidRDefault="007E7BB7" w:rsidP="007E7BB7">
            <w:pPr>
              <w:pStyle w:val="NoSpacing"/>
            </w:pPr>
            <w:r>
              <w:t>S</w:t>
            </w:r>
            <w:r w:rsidRPr="00CA39FF">
              <w:t>elf-administered therapy</w:t>
            </w:r>
            <w:r>
              <w:t>.</w:t>
            </w:r>
          </w:p>
          <w:p w14:paraId="14E053F0" w14:textId="77777777" w:rsidR="007E7BB7" w:rsidRDefault="007E7BB7" w:rsidP="007E7BB7">
            <w:pPr>
              <w:pStyle w:val="NoSpacing"/>
            </w:pPr>
            <w:r w:rsidRPr="00DB3C11">
              <w:t>6 x 20-40 min</w:t>
            </w:r>
            <w:r>
              <w:t xml:space="preserve"> Sessions.</w:t>
            </w:r>
          </w:p>
          <w:p w14:paraId="7D00DA0D" w14:textId="77777777" w:rsidR="007E7BB7" w:rsidRPr="00DB3C11" w:rsidRDefault="007E7BB7" w:rsidP="007E7BB7">
            <w:pPr>
              <w:pStyle w:val="NoSpacing"/>
            </w:pPr>
            <w:r>
              <w:t xml:space="preserve">1 x </w:t>
            </w:r>
            <w:r w:rsidRPr="00DB3C11">
              <w:t>brief introduct</w:t>
            </w:r>
            <w:r>
              <w:t>ion.</w:t>
            </w:r>
          </w:p>
        </w:tc>
        <w:tc>
          <w:tcPr>
            <w:tcW w:w="850" w:type="dxa"/>
          </w:tcPr>
          <w:p w14:paraId="24BA29F2" w14:textId="77777777" w:rsidR="007E7BB7" w:rsidRPr="00DB3C11" w:rsidRDefault="007E7BB7" w:rsidP="007E7BB7">
            <w:pPr>
              <w:pStyle w:val="NoSpacing"/>
            </w:pPr>
            <w:r>
              <w:t xml:space="preserve">1. </w:t>
            </w:r>
            <w:r w:rsidRPr="00DB3C11">
              <w:t>Waiting list</w:t>
            </w:r>
          </w:p>
        </w:tc>
        <w:tc>
          <w:tcPr>
            <w:tcW w:w="993" w:type="dxa"/>
          </w:tcPr>
          <w:p w14:paraId="14E80142" w14:textId="77777777" w:rsidR="007E7BB7" w:rsidRPr="00DB3C11" w:rsidRDefault="007E7BB7" w:rsidP="007E7BB7">
            <w:pPr>
              <w:pStyle w:val="NoSpacing"/>
            </w:pPr>
            <w:r w:rsidRPr="00DB3C11">
              <w:t>DASS-21</w:t>
            </w:r>
          </w:p>
        </w:tc>
        <w:tc>
          <w:tcPr>
            <w:tcW w:w="1134" w:type="dxa"/>
          </w:tcPr>
          <w:p w14:paraId="2384FA60" w14:textId="77777777" w:rsidR="007E7BB7" w:rsidRPr="00DB3C11" w:rsidRDefault="007E7BB7" w:rsidP="007E7BB7">
            <w:pPr>
              <w:pStyle w:val="NoSpacing"/>
            </w:pPr>
            <w:r>
              <w:t>e</w:t>
            </w:r>
            <w:r>
              <w:noBreakHyphen/>
              <w:t xml:space="preserve">therapy - </w:t>
            </w:r>
            <w:r w:rsidRPr="00DB3C11">
              <w:t>83% (84)</w:t>
            </w:r>
          </w:p>
          <w:p w14:paraId="3F85ED99" w14:textId="77777777" w:rsidR="007E7BB7" w:rsidRPr="00DB3C11" w:rsidRDefault="007E7BB7" w:rsidP="007E7BB7">
            <w:pPr>
              <w:pStyle w:val="NoSpacing"/>
            </w:pPr>
            <w:r>
              <w:t xml:space="preserve">1. </w:t>
            </w:r>
            <w:r w:rsidRPr="00DB3C11">
              <w:t>69% (69)</w:t>
            </w:r>
          </w:p>
        </w:tc>
        <w:tc>
          <w:tcPr>
            <w:tcW w:w="777" w:type="dxa"/>
          </w:tcPr>
          <w:p w14:paraId="0FF8CD51" w14:textId="77777777" w:rsidR="007E7BB7" w:rsidRPr="00DB3C11" w:rsidRDefault="007E7BB7" w:rsidP="007E7BB7">
            <w:pPr>
              <w:pStyle w:val="NoSpacing"/>
            </w:pPr>
            <w:r w:rsidRPr="00DB3C11">
              <w:t xml:space="preserve">3 months </w:t>
            </w:r>
          </w:p>
        </w:tc>
      </w:tr>
      <w:tr w:rsidR="007E7BB7" w:rsidRPr="00DB3C11" w14:paraId="369A8780" w14:textId="77777777" w:rsidTr="007E7BB7">
        <w:trPr>
          <w:trHeight w:val="697"/>
        </w:trPr>
        <w:tc>
          <w:tcPr>
            <w:tcW w:w="1200" w:type="dxa"/>
            <w:vMerge/>
          </w:tcPr>
          <w:p w14:paraId="525D038D" w14:textId="77777777" w:rsidR="007E7BB7" w:rsidRPr="00DB3C11" w:rsidRDefault="007E7BB7" w:rsidP="007E7BB7">
            <w:pPr>
              <w:pStyle w:val="NoSpacing"/>
            </w:pPr>
          </w:p>
        </w:tc>
        <w:tc>
          <w:tcPr>
            <w:tcW w:w="1201" w:type="dxa"/>
          </w:tcPr>
          <w:p w14:paraId="555E1A01" w14:textId="77777777" w:rsidR="007E7BB7" w:rsidRPr="00DB3C11" w:rsidRDefault="007E7BB7" w:rsidP="007E7BB7">
            <w:pPr>
              <w:pStyle w:val="NoSpacing"/>
            </w:pPr>
            <w:r w:rsidRPr="00DB3C11">
              <w:fldChar w:fldCharType="begin" w:fldLock="1"/>
            </w:r>
            <w:r>
              <w:instrText>ADDIN CSL_CITATION {"citationItems":[{"id":"ITEM-1","itemData":{"DOI":"10.2196/jmir.2240","ISBN":"1438-8871","ISSN":"14388871","PMID":"23302475","abstract":"BACKGROUND: Interventions to promote mental well-being can bring benefits to the individual and to society. The Internet can facilitate the large-scale and low-cost delivery of individually targeted health promoting interventions.\\n\\nOBJECTIVE: To evaluate the effectiveness of a self-directed Internet-delivered cognitive-behavioral skills training tool in improving mental well-being in a population sample.\\n\\nMETHODS: This was a randomized trial with a waiting-list control. Using advertisements on a national health portal and through its mailing list, we recruited 3070 participants aged 18 or over, resident in England, and willing to give their email address and access a fully automated Web-based intervention. The intervention (MoodGYM) consisted of 5 interactive modules that teach cognitive-behavioral principles. Participants in the intervention arm received weekly email reminders to access the intervention. The control group received access to the intervention after the trial was completed and received no specific intervention or email reminders. Outcomes were assessed by using self-completion questionnaires. The primary outcome was mental well-being measured with the Warwick-Edinburgh Mental Well-being Scale (WEMWBS). Secondary outcomes were Center for Epidemiologic Studies Depression scale (CES-D) depression scores, Generalized Anxiety Disorder 7-item scale (GAD-7) anxiety scores, EuroQol Group 5-Dimension Self-Report Questionnaire (EQ-5D) quality of life scores, physical activity, and health service use. All outcomes were measured at baseline, and at 6- and 12-week follow-ups.\\n\\nRESULTS: A total of 1529 (49.80%) participants completed final follow-up at 12 weeks. Retention was 73.11% (1123/1536) in the control arm and 26.47% (406/1534) in the intervention arm. No relationship between baseline measures and withdrawal could be established. The analysis of WEMWBS mental well-being scores using a linear mixed model for repeated measures showed no difference between intervention and control group at baseline (difference -0.124 points, 95% CI -0.814 to 0.566), and significant improvements for the intervention group at 6 weeks (2.542 points, 95% CI 1.693-3.390) and at 12 weeks (2.876 points, 95% CI 1.933-3.819). The model showed a highly significant (P&lt;.001) intervention by time interaction effect. There were also significant improvements in self-rated scores of depression and anxiety. Given the high level of attrition, a sensitivity analysis with impute…","author":[{"dropping-particle":"","family":"Powell","given":"John","non-dropping-particle":"","parse-names":false,"suffix":""},{"dropping-particle":"","family":"Hamborg","given":"Thomas","non-dropping-particle":"","parse-names":false,"suffix":""},{"dropping-particle":"","family":"Stallard","given":"Nigel","non-dropping-particle":"","parse-names":false,"suffix":""},{"dropping-particle":"","family":"Burls","given":"Amanda","non-dropping-particle":"","parse-names":false,"suffix":""},{"dropping-particle":"","family":"Mcsorley","given":"Jaime","non-dropping-particle":"","parse-names":false,"suffix":""},{"dropping-particle":"","family":"Bennett","given":"Kylie","non-dropping-particle":"","parse-names":false,"suffix":""},{"dropping-particle":"","family":"Griffiths","given":"Kathleen M.","non-dropping-particle":"","parse-names":false,"suffix":""},{"dropping-particle":"","family":"Christensen","given":"Helen","non-dropping-particle":"","parse-names":false,"suffix":""}],"container-title":"Journal of Medical Internet Research","id":"ITEM-1","issue":"1","issued":{"date-parts":[["2013","1"]]},"page":"1-17","title":"Effectiveness of a web-based cognitive-behavioral tool to improve mental well-being in the general population: Randomized controlled trial","type":"article-journal","volume":"15"},"uris":["http://www.mendeley.com/documents/?uuid=a0e7f24f-8558-4034-ae52-624841020821"]}],"mendeley":{"formattedCitation":"(Powell &lt;i&gt;et al.&lt;/i&gt;, 2013)","manualFormatting":"Powell et al. (2013)","plainTextFormattedCitation":"(Powell et al., 2013)","previouslyFormattedCitation":"(Powell &lt;i&gt;et al.&lt;/i&gt;, 2013)"},"properties":{"noteIndex":0},"schema":"https://github.com/citation-style-language/schema/raw/master/csl-citation.json"}</w:instrText>
            </w:r>
            <w:r w:rsidRPr="00DB3C11">
              <w:fldChar w:fldCharType="separate"/>
            </w:r>
            <w:r w:rsidRPr="00DB3C11">
              <w:rPr>
                <w:noProof/>
              </w:rPr>
              <w:t>Powell et al. (2013)</w:t>
            </w:r>
            <w:r w:rsidRPr="00DB3C11">
              <w:fldChar w:fldCharType="end"/>
            </w:r>
          </w:p>
        </w:tc>
        <w:tc>
          <w:tcPr>
            <w:tcW w:w="2102" w:type="dxa"/>
            <w:shd w:val="clear" w:color="auto" w:fill="auto"/>
          </w:tcPr>
          <w:p w14:paraId="161873C7" w14:textId="77777777" w:rsidR="007E7BB7" w:rsidRDefault="007E7BB7" w:rsidP="007E7BB7">
            <w:pPr>
              <w:pStyle w:val="NoSpacing"/>
            </w:pPr>
            <w:r w:rsidRPr="00DB3C11">
              <w:t>Internet</w:t>
            </w:r>
            <w:r>
              <w:t>.</w:t>
            </w:r>
          </w:p>
          <w:p w14:paraId="431E63D9" w14:textId="77777777" w:rsidR="007E7BB7" w:rsidRDefault="007E7BB7" w:rsidP="007E7BB7">
            <w:pPr>
              <w:pStyle w:val="NoSpacing"/>
            </w:pPr>
            <w:r w:rsidRPr="00DB3C11">
              <w:t>Community sample</w:t>
            </w:r>
            <w:r>
              <w:t>.</w:t>
            </w:r>
          </w:p>
          <w:p w14:paraId="7FE94B67" w14:textId="77777777" w:rsidR="007E7BB7" w:rsidRPr="00DB3C11" w:rsidRDefault="007E7BB7" w:rsidP="007E7BB7">
            <w:pPr>
              <w:pStyle w:val="NoSpacing"/>
            </w:pPr>
            <w:r>
              <w:t>No criteria.</w:t>
            </w:r>
          </w:p>
        </w:tc>
        <w:tc>
          <w:tcPr>
            <w:tcW w:w="708" w:type="dxa"/>
          </w:tcPr>
          <w:p w14:paraId="33FEAAE0" w14:textId="77777777" w:rsidR="007E7BB7" w:rsidRPr="00DB3C11" w:rsidRDefault="007E7BB7" w:rsidP="007E7BB7">
            <w:pPr>
              <w:pStyle w:val="NoSpacing"/>
            </w:pPr>
            <w:r w:rsidRPr="00DB3C11">
              <w:t>3070</w:t>
            </w:r>
          </w:p>
        </w:tc>
        <w:tc>
          <w:tcPr>
            <w:tcW w:w="851" w:type="dxa"/>
          </w:tcPr>
          <w:p w14:paraId="4BEE21F9" w14:textId="77777777" w:rsidR="007E7BB7" w:rsidRPr="00DB3C11" w:rsidRDefault="007E7BB7" w:rsidP="007E7BB7">
            <w:pPr>
              <w:pStyle w:val="NoSpacing"/>
            </w:pPr>
            <w:r w:rsidRPr="00DB3C11">
              <w:t>41.14 (13.01)</w:t>
            </w:r>
          </w:p>
        </w:tc>
        <w:tc>
          <w:tcPr>
            <w:tcW w:w="1276" w:type="dxa"/>
          </w:tcPr>
          <w:p w14:paraId="099A3C0E" w14:textId="77777777" w:rsidR="007E7BB7" w:rsidRDefault="007E7BB7" w:rsidP="007E7BB7">
            <w:pPr>
              <w:pStyle w:val="NoSpacing"/>
            </w:pPr>
            <w:r>
              <w:t>22.12%</w:t>
            </w:r>
          </w:p>
          <w:p w14:paraId="7CFE9C74" w14:textId="77777777" w:rsidR="007E7BB7" w:rsidRPr="00DB3C11" w:rsidRDefault="007E7BB7" w:rsidP="007E7BB7">
            <w:pPr>
              <w:pStyle w:val="NoSpacing"/>
            </w:pPr>
            <w:r>
              <w:t>(679)</w:t>
            </w:r>
          </w:p>
        </w:tc>
        <w:tc>
          <w:tcPr>
            <w:tcW w:w="1701" w:type="dxa"/>
          </w:tcPr>
          <w:p w14:paraId="4EC51742" w14:textId="77777777" w:rsidR="007E7BB7" w:rsidRPr="00DB3C11" w:rsidRDefault="007E7BB7" w:rsidP="007E7BB7">
            <w:pPr>
              <w:pStyle w:val="NoSpacing"/>
            </w:pPr>
            <w:r w:rsidRPr="00DB3C11">
              <w:t xml:space="preserve">No </w:t>
            </w:r>
            <w:r>
              <w:t>COI.</w:t>
            </w:r>
          </w:p>
          <w:p w14:paraId="7A1A2866" w14:textId="77777777" w:rsidR="007E7BB7" w:rsidRPr="00DB3C11" w:rsidRDefault="007E7BB7" w:rsidP="007E7BB7">
            <w:pPr>
              <w:pStyle w:val="NoSpacing"/>
            </w:pPr>
            <w:r w:rsidRPr="00DB3C11">
              <w:t xml:space="preserve">Parallel, </w:t>
            </w:r>
            <w:r>
              <w:t>2</w:t>
            </w:r>
            <w:r w:rsidRPr="00DB3C11">
              <w:t xml:space="preserve"> </w:t>
            </w:r>
            <w:proofErr w:type="gramStart"/>
            <w:r w:rsidRPr="00DB3C11">
              <w:t>arm</w:t>
            </w:r>
            <w:proofErr w:type="gramEnd"/>
            <w:r w:rsidRPr="00DB3C11">
              <w:t>.</w:t>
            </w:r>
          </w:p>
          <w:p w14:paraId="588CC0B2" w14:textId="77777777" w:rsidR="007E7BB7" w:rsidRPr="00DB3C11" w:rsidRDefault="007E7BB7" w:rsidP="007E7BB7">
            <w:pPr>
              <w:pStyle w:val="NoSpacing"/>
            </w:pPr>
            <w:r w:rsidRPr="00DB3C11">
              <w:t>ITT</w:t>
            </w:r>
          </w:p>
          <w:p w14:paraId="2AC95F62" w14:textId="77777777" w:rsidR="007E7BB7" w:rsidRPr="00DB3C11" w:rsidRDefault="007E7BB7" w:rsidP="007E7BB7">
            <w:pPr>
              <w:pStyle w:val="NoSpacing"/>
            </w:pPr>
          </w:p>
        </w:tc>
        <w:tc>
          <w:tcPr>
            <w:tcW w:w="2126" w:type="dxa"/>
          </w:tcPr>
          <w:p w14:paraId="0A5CE99A" w14:textId="77777777" w:rsidR="007E7BB7" w:rsidRPr="00DB3C11" w:rsidRDefault="007E7BB7" w:rsidP="007E7BB7">
            <w:pPr>
              <w:pStyle w:val="NoSpacing"/>
            </w:pPr>
            <w:r>
              <w:t>S</w:t>
            </w:r>
            <w:r w:rsidRPr="00CA39FF">
              <w:t>elf-administered therapy</w:t>
            </w:r>
            <w:r>
              <w:t>.</w:t>
            </w:r>
          </w:p>
          <w:p w14:paraId="297A78DC" w14:textId="77777777" w:rsidR="007E7BB7" w:rsidRDefault="007E7BB7" w:rsidP="007E7BB7">
            <w:pPr>
              <w:pStyle w:val="NoSpacing"/>
            </w:pPr>
            <w:r>
              <w:t>5 Sessions.</w:t>
            </w:r>
          </w:p>
          <w:p w14:paraId="5A7B6770" w14:textId="77777777" w:rsidR="007E7BB7" w:rsidRPr="00DB3C11" w:rsidRDefault="007E7BB7" w:rsidP="007E7BB7">
            <w:pPr>
              <w:pStyle w:val="NoSpacing"/>
            </w:pPr>
            <w:r w:rsidRPr="00DB3C11">
              <w:t>5 weeks</w:t>
            </w:r>
            <w:r>
              <w:t>.</w:t>
            </w:r>
          </w:p>
        </w:tc>
        <w:tc>
          <w:tcPr>
            <w:tcW w:w="850" w:type="dxa"/>
          </w:tcPr>
          <w:p w14:paraId="4B3C1385" w14:textId="77777777" w:rsidR="007E7BB7" w:rsidRPr="00DB3C11" w:rsidRDefault="007E7BB7" w:rsidP="007E7BB7">
            <w:pPr>
              <w:pStyle w:val="NoSpacing"/>
            </w:pPr>
            <w:r>
              <w:t xml:space="preserve">1. </w:t>
            </w:r>
            <w:r w:rsidRPr="00DB3C11">
              <w:t>Waiting list</w:t>
            </w:r>
          </w:p>
        </w:tc>
        <w:tc>
          <w:tcPr>
            <w:tcW w:w="993" w:type="dxa"/>
          </w:tcPr>
          <w:p w14:paraId="5AC5BB5E" w14:textId="77777777" w:rsidR="007E7BB7" w:rsidRPr="00DB3C11" w:rsidRDefault="007E7BB7" w:rsidP="007E7BB7">
            <w:pPr>
              <w:pStyle w:val="NoSpacing"/>
            </w:pPr>
            <w:r w:rsidRPr="00DB3C11">
              <w:t>WEMWBS</w:t>
            </w:r>
          </w:p>
        </w:tc>
        <w:tc>
          <w:tcPr>
            <w:tcW w:w="1134" w:type="dxa"/>
          </w:tcPr>
          <w:p w14:paraId="6EB1EE1F" w14:textId="77777777" w:rsidR="007E7BB7" w:rsidRPr="00DB3C11" w:rsidRDefault="007E7BB7" w:rsidP="007E7BB7">
            <w:pPr>
              <w:pStyle w:val="NoSpacing"/>
            </w:pPr>
            <w:r>
              <w:t>e</w:t>
            </w:r>
            <w:r>
              <w:noBreakHyphen/>
              <w:t xml:space="preserve">therapy - </w:t>
            </w:r>
            <w:r w:rsidRPr="00DB3C11">
              <w:t>74% (1128)</w:t>
            </w:r>
          </w:p>
          <w:p w14:paraId="3B090775" w14:textId="77777777" w:rsidR="007E7BB7" w:rsidRPr="00DB3C11" w:rsidRDefault="007E7BB7" w:rsidP="007E7BB7">
            <w:pPr>
              <w:pStyle w:val="NoSpacing"/>
            </w:pPr>
            <w:r>
              <w:t xml:space="preserve">1. </w:t>
            </w:r>
            <w:r w:rsidRPr="00DB3C11">
              <w:t xml:space="preserve">27% </w:t>
            </w:r>
            <w:r w:rsidRPr="00DB3C11">
              <w:lastRenderedPageBreak/>
              <w:t>(413)</w:t>
            </w:r>
          </w:p>
        </w:tc>
        <w:tc>
          <w:tcPr>
            <w:tcW w:w="777" w:type="dxa"/>
          </w:tcPr>
          <w:p w14:paraId="646FF86E" w14:textId="77777777" w:rsidR="007E7BB7" w:rsidRPr="00DB3C11" w:rsidRDefault="007E7BB7" w:rsidP="007E7BB7">
            <w:pPr>
              <w:pStyle w:val="NoSpacing"/>
            </w:pPr>
            <w:r w:rsidRPr="00DB3C11">
              <w:lastRenderedPageBreak/>
              <w:t>3 months</w:t>
            </w:r>
          </w:p>
        </w:tc>
      </w:tr>
      <w:tr w:rsidR="007E7BB7" w:rsidRPr="00DB3C11" w14:paraId="1FF16F11" w14:textId="77777777" w:rsidTr="007E7BB7">
        <w:trPr>
          <w:trHeight w:val="557"/>
        </w:trPr>
        <w:tc>
          <w:tcPr>
            <w:tcW w:w="1200" w:type="dxa"/>
            <w:vMerge/>
          </w:tcPr>
          <w:p w14:paraId="614D16C9" w14:textId="77777777" w:rsidR="007E7BB7" w:rsidRPr="00DB3C11" w:rsidRDefault="007E7BB7" w:rsidP="007E7BB7">
            <w:pPr>
              <w:pStyle w:val="NoSpacing"/>
            </w:pPr>
          </w:p>
        </w:tc>
        <w:tc>
          <w:tcPr>
            <w:tcW w:w="1201" w:type="dxa"/>
          </w:tcPr>
          <w:p w14:paraId="656FFC54" w14:textId="77777777" w:rsidR="007E7BB7" w:rsidRPr="00DB3C11" w:rsidRDefault="007E7BB7" w:rsidP="007E7BB7">
            <w:pPr>
              <w:pStyle w:val="NoSpacing"/>
            </w:pPr>
            <w:r w:rsidRPr="00DB3C11">
              <w:fldChar w:fldCharType="begin" w:fldLock="1"/>
            </w:r>
            <w:r>
              <w:instrText>ADDIN CSL_CITATION {"citationItems":[{"id":"ITEM-1","itemData":{"DOI":"10.1002/cpp.770","ISBN":"1099-0879","ISSN":"10633995","PMID":"21887811","abstract":"The Internet has the potential to increase the capacity and accessibility of mental health services. This study aimed to investigate whether an unguided Internet-based self-help intervention delivered without human support or guidance can reduce symptoms of depression in young people at risk of depression. The study also aimed to explore the usage of such sites in a real-life setting, to estimate the effects of the intervention for those who received a meaningful intervention dose and to evaluate user satisfaction. Young adults were recruited by means of a screening survey sent to all students at the University of Tromsø. Of those responding to the survey, 163 students (mean age 28.2 years) with elevated psychological distress were recruited to the trial and randomized to an Internet intervention condition or the waiting list control group. The Internet condition comprised a depression information website and a self-help Web application delivering automated cognitive behavioural therapy. The participants in the waiting list condition were free to access formal or informal help as usual. Two-thirds of the users who completed the trial initially reported an unmet need for help. The findings demonstrated that an unguided intervention was effective in reducing symptoms of depression and negative thoughts and in increasing depression literacy in young adults. Significant improvements were found at 2-month follow up. Internet-based interventions can be effective without tracking and thus constitute a minimal cost intervention for reaching a large number of people. User satisfaction among participants was high.","author":[{"dropping-particle":"","family":"Lintvedt","given":"Ove K.","non-dropping-particle":"","parse-names":false,"suffix":""},{"dropping-particle":"","family":"Griffiths","given":"Kathleen M.","non-dropping-particle":"","parse-names":false,"suffix":""},{"dropping-particle":"","family":"Sørensen","given":"Kristian","non-dropping-particle":"","parse-names":false,"suffix":""},{"dropping-particle":"","family":"Østvik","given":"Andreas R.","non-dropping-particle":"","parse-names":false,"suffix":""},{"dropping-particle":"","family":"Wang","given":"Catharina E.A.","non-dropping-particle":"","parse-names":false,"suffix":""},{"dropping-particle":"","family":"Eisemann","given":"Martin","non-dropping-particle":"","parse-names":false,"suffix":""},{"dropping-particle":"","family":"Waterloo","given":"Knut","non-dropping-particle":"","parse-names":false,"suffix":""}],"container-title":"Clinical Psychology and Psychotherapy","id":"ITEM-1","issue":"1","issued":{"date-parts":[["2013"]]},"page":"10-27","title":"Evaluating the effectiveness and efficacy of unguided internet-based self-help intervention for the prevention of depression: A randomized controlled trial","type":"article-journal","volume":"20"},"uris":["http://www.mendeley.com/documents/?uuid=2c501a11-faaf-4079-8fe4-f1482d4ff7d8"]}],"mendeley":{"formattedCitation":"(Lintvedt &lt;i&gt;et al.&lt;/i&gt;, 2013)","manualFormatting":"Lintvedt et al. (2013)","plainTextFormattedCitation":"(Lintvedt et al., 2013)","previouslyFormattedCitation":"(Lintvedt &lt;i&gt;et al.&lt;/i&gt;, 2013)"},"properties":{"noteIndex":0},"schema":"https://github.com/citation-style-language/schema/raw/master/csl-citation.json"}</w:instrText>
            </w:r>
            <w:r w:rsidRPr="00DB3C11">
              <w:fldChar w:fldCharType="separate"/>
            </w:r>
            <w:r w:rsidRPr="00DB3C11">
              <w:rPr>
                <w:noProof/>
              </w:rPr>
              <w:t>Lintvedt et al. (2013)</w:t>
            </w:r>
            <w:r w:rsidRPr="00DB3C11">
              <w:fldChar w:fldCharType="end"/>
            </w:r>
          </w:p>
        </w:tc>
        <w:tc>
          <w:tcPr>
            <w:tcW w:w="2102" w:type="dxa"/>
            <w:shd w:val="clear" w:color="auto" w:fill="auto"/>
          </w:tcPr>
          <w:p w14:paraId="142FFE28" w14:textId="77777777" w:rsidR="007E7BB7" w:rsidRPr="00DB3C11" w:rsidRDefault="007E7BB7" w:rsidP="007E7BB7">
            <w:pPr>
              <w:pStyle w:val="NoSpacing"/>
            </w:pPr>
            <w:r w:rsidRPr="00DB3C11">
              <w:t>University</w:t>
            </w:r>
            <w:r>
              <w:t xml:space="preserve">, </w:t>
            </w:r>
            <w:r w:rsidRPr="00DB3C11">
              <w:t>Adults</w:t>
            </w:r>
            <w:r>
              <w:t xml:space="preserve">, </w:t>
            </w:r>
            <w:r w:rsidRPr="00DB3C11">
              <w:t>Community sample</w:t>
            </w:r>
            <w:r>
              <w:t>, P</w:t>
            </w:r>
            <w:r w:rsidRPr="00DB3C11">
              <w:t xml:space="preserve">sychological </w:t>
            </w:r>
            <w:r>
              <w:t>D</w:t>
            </w:r>
            <w:r w:rsidRPr="00DB3C11">
              <w:t>istress</w:t>
            </w:r>
            <w:r>
              <w:t>.</w:t>
            </w:r>
          </w:p>
        </w:tc>
        <w:tc>
          <w:tcPr>
            <w:tcW w:w="708" w:type="dxa"/>
          </w:tcPr>
          <w:p w14:paraId="1035FDA1" w14:textId="77777777" w:rsidR="007E7BB7" w:rsidRPr="00DB3C11" w:rsidRDefault="007E7BB7" w:rsidP="007E7BB7">
            <w:pPr>
              <w:pStyle w:val="NoSpacing"/>
            </w:pPr>
            <w:r w:rsidRPr="00DB3C11">
              <w:t>163</w:t>
            </w:r>
          </w:p>
        </w:tc>
        <w:tc>
          <w:tcPr>
            <w:tcW w:w="851" w:type="dxa"/>
          </w:tcPr>
          <w:p w14:paraId="024FCCB4" w14:textId="77777777" w:rsidR="007E7BB7" w:rsidRPr="00DB3C11" w:rsidRDefault="007E7BB7" w:rsidP="007E7BB7">
            <w:pPr>
              <w:pStyle w:val="NoSpacing"/>
            </w:pPr>
            <w:r w:rsidRPr="00DB3C11">
              <w:t>28.15 (7.36)</w:t>
            </w:r>
          </w:p>
        </w:tc>
        <w:tc>
          <w:tcPr>
            <w:tcW w:w="1276" w:type="dxa"/>
          </w:tcPr>
          <w:p w14:paraId="4A6CC63E" w14:textId="77777777" w:rsidR="007E7BB7" w:rsidRDefault="007E7BB7" w:rsidP="007E7BB7">
            <w:pPr>
              <w:pStyle w:val="NoSpacing"/>
            </w:pPr>
            <w:r>
              <w:t>23.31%</w:t>
            </w:r>
          </w:p>
          <w:p w14:paraId="49FE22D9" w14:textId="77777777" w:rsidR="007E7BB7" w:rsidRPr="00DB3C11" w:rsidRDefault="007E7BB7" w:rsidP="007E7BB7">
            <w:pPr>
              <w:pStyle w:val="NoSpacing"/>
            </w:pPr>
            <w:r>
              <w:t>(38)</w:t>
            </w:r>
          </w:p>
        </w:tc>
        <w:tc>
          <w:tcPr>
            <w:tcW w:w="1701" w:type="dxa"/>
          </w:tcPr>
          <w:p w14:paraId="358BC602" w14:textId="77777777" w:rsidR="007E7BB7" w:rsidRPr="00DB3C11" w:rsidRDefault="007E7BB7" w:rsidP="007E7BB7">
            <w:pPr>
              <w:pStyle w:val="NoSpacing"/>
            </w:pPr>
            <w:r w:rsidRPr="00DB3C11">
              <w:t xml:space="preserve">No </w:t>
            </w:r>
            <w:r>
              <w:t>COI.</w:t>
            </w:r>
          </w:p>
          <w:p w14:paraId="4E381923" w14:textId="77777777" w:rsidR="007E7BB7" w:rsidRPr="00DB3C11" w:rsidRDefault="007E7BB7" w:rsidP="007E7BB7">
            <w:pPr>
              <w:pStyle w:val="NoSpacing"/>
            </w:pPr>
            <w:r w:rsidRPr="00DB3C11">
              <w:t>ITT / Completer / Compiler</w:t>
            </w:r>
          </w:p>
          <w:p w14:paraId="59292875" w14:textId="77777777" w:rsidR="007E7BB7" w:rsidRPr="00DB3C11" w:rsidRDefault="007E7BB7" w:rsidP="007E7BB7">
            <w:pPr>
              <w:pStyle w:val="NoSpacing"/>
            </w:pPr>
          </w:p>
        </w:tc>
        <w:tc>
          <w:tcPr>
            <w:tcW w:w="2126" w:type="dxa"/>
          </w:tcPr>
          <w:p w14:paraId="1B01FB0E" w14:textId="77777777" w:rsidR="007E7BB7" w:rsidRDefault="007E7BB7" w:rsidP="007E7BB7">
            <w:pPr>
              <w:pStyle w:val="NoSpacing"/>
            </w:pPr>
            <w:r>
              <w:t>S</w:t>
            </w:r>
            <w:r w:rsidRPr="00CA39FF">
              <w:t>elf-administered therapy</w:t>
            </w:r>
            <w:r>
              <w:t>.</w:t>
            </w:r>
          </w:p>
          <w:p w14:paraId="360906CD" w14:textId="77777777" w:rsidR="007E7BB7" w:rsidRPr="00DB3C11" w:rsidRDefault="007E7BB7" w:rsidP="007E7BB7">
            <w:pPr>
              <w:pStyle w:val="NoSpacing"/>
            </w:pPr>
            <w:r w:rsidRPr="00DB3C11">
              <w:t>5</w:t>
            </w:r>
            <w:r>
              <w:t xml:space="preserve"> Sessions.</w:t>
            </w:r>
          </w:p>
          <w:p w14:paraId="1356C197" w14:textId="77777777" w:rsidR="007E7BB7" w:rsidRPr="00DB3C11" w:rsidRDefault="007E7BB7" w:rsidP="007E7BB7">
            <w:pPr>
              <w:pStyle w:val="NoSpacing"/>
            </w:pPr>
            <w:r w:rsidRPr="00DB3C11">
              <w:t>5 weeks</w:t>
            </w:r>
            <w:r>
              <w:t>.</w:t>
            </w:r>
          </w:p>
        </w:tc>
        <w:tc>
          <w:tcPr>
            <w:tcW w:w="850" w:type="dxa"/>
          </w:tcPr>
          <w:p w14:paraId="024D6C8A" w14:textId="77777777" w:rsidR="007E7BB7" w:rsidRPr="00DB3C11" w:rsidRDefault="007E7BB7" w:rsidP="007E7BB7">
            <w:pPr>
              <w:pStyle w:val="NoSpacing"/>
            </w:pPr>
            <w:r>
              <w:t xml:space="preserve">1. </w:t>
            </w:r>
            <w:r w:rsidRPr="00DB3C11">
              <w:t>Waiting list</w:t>
            </w:r>
          </w:p>
        </w:tc>
        <w:tc>
          <w:tcPr>
            <w:tcW w:w="993" w:type="dxa"/>
          </w:tcPr>
          <w:p w14:paraId="6F49A3D3" w14:textId="77777777" w:rsidR="007E7BB7" w:rsidRPr="00DB3C11" w:rsidRDefault="007E7BB7" w:rsidP="007E7BB7">
            <w:pPr>
              <w:pStyle w:val="NoSpacing"/>
            </w:pPr>
            <w:r w:rsidRPr="00DB3C11">
              <w:t>CES-D</w:t>
            </w:r>
          </w:p>
        </w:tc>
        <w:tc>
          <w:tcPr>
            <w:tcW w:w="1134" w:type="dxa"/>
          </w:tcPr>
          <w:p w14:paraId="771ED09C" w14:textId="77777777" w:rsidR="007E7BB7" w:rsidRPr="00DB3C11" w:rsidRDefault="007E7BB7" w:rsidP="007E7BB7">
            <w:pPr>
              <w:pStyle w:val="NoSpacing"/>
            </w:pPr>
            <w:r>
              <w:t>e</w:t>
            </w:r>
            <w:r>
              <w:noBreakHyphen/>
              <w:t xml:space="preserve">therapy - </w:t>
            </w:r>
            <w:r w:rsidRPr="00DB3C11">
              <w:t>48% (39)</w:t>
            </w:r>
          </w:p>
          <w:p w14:paraId="7435E449" w14:textId="77777777" w:rsidR="007E7BB7" w:rsidRPr="00DB3C11" w:rsidRDefault="007E7BB7" w:rsidP="007E7BB7">
            <w:pPr>
              <w:pStyle w:val="NoSpacing"/>
            </w:pPr>
            <w:r>
              <w:t xml:space="preserve">1. </w:t>
            </w:r>
            <w:r w:rsidRPr="00DB3C11">
              <w:t>28% (23)</w:t>
            </w:r>
          </w:p>
        </w:tc>
        <w:tc>
          <w:tcPr>
            <w:tcW w:w="777" w:type="dxa"/>
          </w:tcPr>
          <w:p w14:paraId="5283A8D9" w14:textId="77777777" w:rsidR="007E7BB7" w:rsidRPr="00DB3C11" w:rsidRDefault="007E7BB7" w:rsidP="007E7BB7">
            <w:pPr>
              <w:pStyle w:val="NoSpacing"/>
            </w:pPr>
            <w:r w:rsidRPr="00DB3C11">
              <w:t xml:space="preserve">2 months </w:t>
            </w:r>
          </w:p>
        </w:tc>
      </w:tr>
      <w:tr w:rsidR="007E7BB7" w:rsidRPr="00DB3C11" w14:paraId="2E9B35AE" w14:textId="77777777" w:rsidTr="007E7BB7">
        <w:trPr>
          <w:trHeight w:val="983"/>
        </w:trPr>
        <w:tc>
          <w:tcPr>
            <w:tcW w:w="1200" w:type="dxa"/>
            <w:vMerge/>
          </w:tcPr>
          <w:p w14:paraId="0C3E97AD" w14:textId="77777777" w:rsidR="007E7BB7" w:rsidRPr="00DB3C11" w:rsidRDefault="007E7BB7" w:rsidP="007E7BB7">
            <w:pPr>
              <w:pStyle w:val="NoSpacing"/>
            </w:pPr>
          </w:p>
        </w:tc>
        <w:tc>
          <w:tcPr>
            <w:tcW w:w="1201" w:type="dxa"/>
          </w:tcPr>
          <w:p w14:paraId="584D79AC" w14:textId="77777777" w:rsidR="007E7BB7" w:rsidRPr="00DB3C11" w:rsidRDefault="007E7BB7" w:rsidP="007E7BB7">
            <w:pPr>
              <w:pStyle w:val="NoSpacing"/>
            </w:pPr>
            <w:r w:rsidRPr="00DB3C11">
              <w:fldChar w:fldCharType="begin" w:fldLock="1"/>
            </w:r>
            <w:r>
              <w:instrText>ADDIN CSL_CITATION {"citationItems":[{"id":"ITEM-1","itemData":{"DOI":"10.2196/jmir.2307","ISBN":"1438-8871","ISSN":"14388871","PMID":"23669884","abstract":"Background: Face-to-face cognitive behavioral therapy (CBT) and interpersonal psychotherapy (IPT) are both effective treatments for depressive disorders, but access is limited. Online CBT interventions have demonstrated efficacy in decreasing depressive symptoms and can facilitate the dissemination of therapies among the public. However, the efficacy of Internet-delivered IPT is as yet unknown. Objetives: This study examines whether IPT is effective, noninferior to, and as feasible as CBT when delivered online to spontaneous visitors of an online therapy website. Methods: An automated, 3-arm, fully self-guided, online noninferiority trial compared 2 new treatments (IPT: n=620; CBT: n=610) to an active control treatment (MoodGYM: n=613) over a 4-week period in the general population. Outcomes were assessed using online self-report questionnaires, the Center for Epidemiological Studies Depression scale (CES-D) and the Client Satisfaction Questionnaire (CSQ-8) completed immediately following treatment (posttest) and at 6-month follow-up. Results: Completers analyses showed a significant reduction in depressive symptoms at posttest and follow-up for both CBT and IPT, and were noninferior to MoodGYM. Within-group effect sizes were medium to large for all groups. There were no differences in clinical significant change between the programs. Reliable change was shown at posttest and follow-up for all programs, with consistently higher rates for CBT. Participants allocated to IPT showed significantly lower treatment satisfaction compared to CBT and MoodGYM. There was a dropout rate of 1294/1843 (70%) at posttest, highest for MoodGYM. Intention-to-treat analyses confirmed these findings. Conclusions: Despite a high dropout rate and lower satisfaction scores, this study suggests that Internet-delivered self-guided IPT is effective in reducing depressive symptoms, and may be noninferior to MoodGYM. The completion rates of IPT and CBT were higher than MoodGYM, indicating some progress in refining Internet-based self-help. Internet-delivered treatment options available for people suffering from depression now include IPT.","author":[{"dropping-particle":"","family":"Donker","given":"Tara","non-dropping-particle":"","parse-names":false,"suffix":""},{"dropping-particle":"","family":"Bennett","given":"Kylie","non-dropping-particle":"","parse-names":false,"suffix":""},{"dropping-particle":"","family":"Bennett","given":"Anthony","non-dropping-particle":"","parse-names":false,"suffix":""},{"dropping-particle":"","family":"Mackinnon","given":"Andrew","non-dropping-particle":"","parse-names":false,"suffix":""},{"dropping-particle":"","family":"Straten","given":"Annemieke","non-dropping-particle":"van","parse-names":false,"suffix":""},{"dropping-particle":"","family":"Cuijpers","given":"Pim","non-dropping-particle":"","parse-names":false,"suffix":""},{"dropping-particle":"","family":"Christensen","given":"Helen","non-dropping-particle":"","parse-names":false,"suffix":""},{"dropping-particle":"","family":"Griffiths","given":"Kathleen M.","non-dropping-particle":"","parse-names":false,"suffix":""}],"container-title":"Journal of Medical Internet Research","id":"ITEM-1","issue":"5","issued":{"date-parts":[["2013","1"]]},"page":"1-16","title":"Internet-delivered interpersonal psychotherapy versus internet-delivered cognitive behavioral therapy for adults with depressive symptoms: Randomized controlled noninferiority trial","type":"article-journal","volume":"15"},"uris":["http://www.mendeley.com/documents/?uuid=182f4688-b9ff-48e1-8cc9-11cd05d5e329"]}],"mendeley":{"formattedCitation":"(Donker, Bennett, &lt;i&gt;et al.&lt;/i&gt;, 2013)","manualFormatting":"Donker et al. (2013)","plainTextFormattedCitation":"(Donker, Bennett, et al., 2013)","previouslyFormattedCitation":"(Donker, Bennett, &lt;i&gt;et al.&lt;/i&gt;, 2013)"},"properties":{"noteIndex":0},"schema":"https://github.com/citation-style-language/schema/raw/master/csl-citation.json"}</w:instrText>
            </w:r>
            <w:r w:rsidRPr="00DB3C11">
              <w:fldChar w:fldCharType="separate"/>
            </w:r>
            <w:r w:rsidRPr="00DB3C11">
              <w:rPr>
                <w:noProof/>
              </w:rPr>
              <w:t>Donker et al. (2013)</w:t>
            </w:r>
            <w:r w:rsidRPr="00DB3C11">
              <w:fldChar w:fldCharType="end"/>
            </w:r>
          </w:p>
        </w:tc>
        <w:tc>
          <w:tcPr>
            <w:tcW w:w="2102" w:type="dxa"/>
            <w:shd w:val="clear" w:color="auto" w:fill="auto"/>
          </w:tcPr>
          <w:p w14:paraId="2F41B3AC" w14:textId="77777777" w:rsidR="007E7BB7" w:rsidRPr="00DB3C11" w:rsidRDefault="007E7BB7" w:rsidP="007E7BB7">
            <w:pPr>
              <w:pStyle w:val="NoSpacing"/>
            </w:pPr>
            <w:r w:rsidRPr="00DB3C11">
              <w:t>Internet</w:t>
            </w:r>
            <w:r>
              <w:t xml:space="preserve">, </w:t>
            </w:r>
            <w:r w:rsidRPr="00DB3C11">
              <w:t>Adults</w:t>
            </w:r>
            <w:r>
              <w:t xml:space="preserve">, </w:t>
            </w:r>
            <w:r w:rsidRPr="00DB3C11">
              <w:t>Community sample</w:t>
            </w:r>
            <w:r>
              <w:t>, Depression.</w:t>
            </w:r>
          </w:p>
        </w:tc>
        <w:tc>
          <w:tcPr>
            <w:tcW w:w="708" w:type="dxa"/>
          </w:tcPr>
          <w:p w14:paraId="06968E73" w14:textId="77777777" w:rsidR="007E7BB7" w:rsidRPr="00DB3C11" w:rsidRDefault="007E7BB7" w:rsidP="007E7BB7">
            <w:pPr>
              <w:pStyle w:val="NoSpacing"/>
            </w:pPr>
            <w:r w:rsidRPr="00DB3C11">
              <w:t>1929</w:t>
            </w:r>
          </w:p>
        </w:tc>
        <w:tc>
          <w:tcPr>
            <w:tcW w:w="851" w:type="dxa"/>
            <w:shd w:val="clear" w:color="auto" w:fill="FFFFFF" w:themeFill="background1"/>
          </w:tcPr>
          <w:p w14:paraId="58E397C2" w14:textId="77777777" w:rsidR="007E7BB7" w:rsidRPr="00DB3C11" w:rsidRDefault="007E7BB7" w:rsidP="007E7BB7">
            <w:pPr>
              <w:pStyle w:val="NoSpacing"/>
            </w:pPr>
            <w:r>
              <w:t>ND</w:t>
            </w:r>
          </w:p>
        </w:tc>
        <w:tc>
          <w:tcPr>
            <w:tcW w:w="1276" w:type="dxa"/>
            <w:shd w:val="clear" w:color="auto" w:fill="FFFFFF" w:themeFill="background1"/>
          </w:tcPr>
          <w:p w14:paraId="2E41E058" w14:textId="77777777" w:rsidR="007E7BB7" w:rsidRDefault="007E7BB7" w:rsidP="007E7BB7">
            <w:pPr>
              <w:pStyle w:val="NoSpacing"/>
            </w:pPr>
            <w:r>
              <w:t>27.62%</w:t>
            </w:r>
          </w:p>
          <w:p w14:paraId="304854E7" w14:textId="77777777" w:rsidR="007E7BB7" w:rsidRPr="00DB3C11" w:rsidRDefault="007E7BB7" w:rsidP="007E7BB7">
            <w:pPr>
              <w:pStyle w:val="NoSpacing"/>
            </w:pPr>
            <w:r>
              <w:t>(509)</w:t>
            </w:r>
          </w:p>
        </w:tc>
        <w:tc>
          <w:tcPr>
            <w:tcW w:w="1701" w:type="dxa"/>
            <w:shd w:val="clear" w:color="auto" w:fill="FFFFFF" w:themeFill="background1"/>
          </w:tcPr>
          <w:p w14:paraId="61EDFFF4" w14:textId="77777777" w:rsidR="007E7BB7" w:rsidRPr="00DB3C11" w:rsidRDefault="007E7BB7" w:rsidP="007E7BB7">
            <w:pPr>
              <w:pStyle w:val="NoSpacing"/>
            </w:pPr>
            <w:r w:rsidRPr="00DB3C11">
              <w:t xml:space="preserve">No </w:t>
            </w:r>
            <w:r>
              <w:t>COI.</w:t>
            </w:r>
          </w:p>
          <w:p w14:paraId="02810BE9" w14:textId="77777777" w:rsidR="007E7BB7" w:rsidRPr="00DB3C11" w:rsidRDefault="007E7BB7" w:rsidP="007E7BB7">
            <w:pPr>
              <w:pStyle w:val="NoSpacing"/>
            </w:pPr>
            <w:r w:rsidRPr="00DB3C11">
              <w:t xml:space="preserve">Parallel, </w:t>
            </w:r>
            <w:r>
              <w:t>3</w:t>
            </w:r>
            <w:r w:rsidRPr="00DB3C11">
              <w:t xml:space="preserve"> arm, </w:t>
            </w:r>
            <w:proofErr w:type="spellStart"/>
            <w:r w:rsidRPr="00DB3C11">
              <w:t>noninferiority</w:t>
            </w:r>
            <w:proofErr w:type="spellEnd"/>
            <w:r>
              <w:t>.</w:t>
            </w:r>
          </w:p>
          <w:p w14:paraId="2BB29C13" w14:textId="77777777" w:rsidR="007E7BB7" w:rsidRPr="00DB3C11" w:rsidRDefault="007E7BB7" w:rsidP="007E7BB7">
            <w:pPr>
              <w:pStyle w:val="NoSpacing"/>
            </w:pPr>
            <w:r w:rsidRPr="00DB3C11">
              <w:t>ITT / Completer</w:t>
            </w:r>
            <w:r>
              <w:t>.</w:t>
            </w:r>
          </w:p>
        </w:tc>
        <w:tc>
          <w:tcPr>
            <w:tcW w:w="2126" w:type="dxa"/>
          </w:tcPr>
          <w:p w14:paraId="7E1A41BE" w14:textId="77777777" w:rsidR="007E7BB7" w:rsidRPr="00DB3C11" w:rsidRDefault="007E7BB7" w:rsidP="007E7BB7">
            <w:pPr>
              <w:pStyle w:val="NoSpacing"/>
            </w:pPr>
            <w:r>
              <w:t>S</w:t>
            </w:r>
            <w:r w:rsidRPr="00CA39FF">
              <w:t>elf-administered therapy</w:t>
            </w:r>
            <w:r>
              <w:t>,</w:t>
            </w:r>
          </w:p>
          <w:p w14:paraId="505919BF" w14:textId="77777777" w:rsidR="007E7BB7" w:rsidRPr="00DB3C11" w:rsidRDefault="007E7BB7" w:rsidP="007E7BB7">
            <w:pPr>
              <w:pStyle w:val="NoSpacing"/>
            </w:pPr>
            <w:r w:rsidRPr="00DB3C11">
              <w:t>4 x 20-40 min</w:t>
            </w:r>
            <w:r>
              <w:t xml:space="preserve"> Sessions.</w:t>
            </w:r>
          </w:p>
          <w:p w14:paraId="053D9AD1" w14:textId="77777777" w:rsidR="007E7BB7" w:rsidRPr="00DB3C11" w:rsidRDefault="007E7BB7" w:rsidP="007E7BB7">
            <w:pPr>
              <w:pStyle w:val="NoSpacing"/>
            </w:pPr>
            <w:r w:rsidRPr="00DB3C11">
              <w:t>4 weeks</w:t>
            </w:r>
            <w:r>
              <w:t>.</w:t>
            </w:r>
          </w:p>
        </w:tc>
        <w:tc>
          <w:tcPr>
            <w:tcW w:w="850" w:type="dxa"/>
          </w:tcPr>
          <w:p w14:paraId="27690304" w14:textId="77777777" w:rsidR="007E7BB7" w:rsidRPr="00DB3C11" w:rsidRDefault="007E7BB7" w:rsidP="007E7BB7">
            <w:pPr>
              <w:pStyle w:val="NoSpacing"/>
            </w:pPr>
            <w:r>
              <w:t xml:space="preserve">1. </w:t>
            </w:r>
            <w:r w:rsidRPr="00DB3C11">
              <w:t>e-couch IPT</w:t>
            </w:r>
            <w:r w:rsidRPr="00DB3C11">
              <w:br/>
            </w:r>
            <w:r>
              <w:t xml:space="preserve">2. </w:t>
            </w:r>
            <w:r w:rsidRPr="00DB3C11">
              <w:t>e-couch CBT</w:t>
            </w:r>
          </w:p>
        </w:tc>
        <w:tc>
          <w:tcPr>
            <w:tcW w:w="993" w:type="dxa"/>
          </w:tcPr>
          <w:p w14:paraId="02A5880C" w14:textId="77777777" w:rsidR="007E7BB7" w:rsidRPr="00DB3C11" w:rsidRDefault="007E7BB7" w:rsidP="007E7BB7">
            <w:pPr>
              <w:pStyle w:val="NoSpacing"/>
            </w:pPr>
            <w:r w:rsidRPr="00DB3C11">
              <w:t>CES-D</w:t>
            </w:r>
          </w:p>
        </w:tc>
        <w:tc>
          <w:tcPr>
            <w:tcW w:w="1134" w:type="dxa"/>
          </w:tcPr>
          <w:p w14:paraId="2360F4CD" w14:textId="77777777" w:rsidR="007E7BB7" w:rsidRPr="00DB3C11" w:rsidRDefault="007E7BB7" w:rsidP="007E7BB7">
            <w:pPr>
              <w:pStyle w:val="NoSpacing"/>
            </w:pPr>
            <w:r>
              <w:t>e</w:t>
            </w:r>
            <w:r>
              <w:noBreakHyphen/>
              <w:t xml:space="preserve">therapy - </w:t>
            </w:r>
            <w:r w:rsidRPr="00DB3C11">
              <w:t>80% (514)</w:t>
            </w:r>
          </w:p>
          <w:p w14:paraId="599C180B" w14:textId="77777777" w:rsidR="007E7BB7" w:rsidRPr="00DB3C11" w:rsidRDefault="007E7BB7" w:rsidP="007E7BB7">
            <w:pPr>
              <w:pStyle w:val="NoSpacing"/>
            </w:pPr>
            <w:r>
              <w:t xml:space="preserve">1. </w:t>
            </w:r>
            <w:r w:rsidRPr="00DB3C11">
              <w:t>82% (528)</w:t>
            </w:r>
          </w:p>
          <w:p w14:paraId="545337FC" w14:textId="77777777" w:rsidR="007E7BB7" w:rsidRPr="00DB3C11" w:rsidRDefault="007E7BB7" w:rsidP="007E7BB7">
            <w:pPr>
              <w:pStyle w:val="NoSpacing"/>
            </w:pPr>
            <w:r>
              <w:t xml:space="preserve">2. </w:t>
            </w:r>
            <w:r w:rsidRPr="00DB3C11">
              <w:t>86% (551)</w:t>
            </w:r>
          </w:p>
        </w:tc>
        <w:tc>
          <w:tcPr>
            <w:tcW w:w="777" w:type="dxa"/>
          </w:tcPr>
          <w:p w14:paraId="17979E28" w14:textId="77777777" w:rsidR="007E7BB7" w:rsidRPr="00DB3C11" w:rsidRDefault="007E7BB7" w:rsidP="007E7BB7">
            <w:pPr>
              <w:pStyle w:val="NoSpacing"/>
            </w:pPr>
            <w:r w:rsidRPr="00DB3C11">
              <w:t xml:space="preserve">6 months </w:t>
            </w:r>
          </w:p>
        </w:tc>
      </w:tr>
      <w:tr w:rsidR="007E7BB7" w:rsidRPr="00DB3C11" w14:paraId="3356A464" w14:textId="77777777" w:rsidTr="007E7BB7">
        <w:trPr>
          <w:trHeight w:val="806"/>
        </w:trPr>
        <w:tc>
          <w:tcPr>
            <w:tcW w:w="1200" w:type="dxa"/>
            <w:vMerge/>
          </w:tcPr>
          <w:p w14:paraId="13672330" w14:textId="77777777" w:rsidR="007E7BB7" w:rsidRPr="00DB3C11" w:rsidRDefault="007E7BB7" w:rsidP="007E7BB7">
            <w:pPr>
              <w:pStyle w:val="NoSpacing"/>
            </w:pPr>
          </w:p>
        </w:tc>
        <w:tc>
          <w:tcPr>
            <w:tcW w:w="1201" w:type="dxa"/>
          </w:tcPr>
          <w:p w14:paraId="76BDAD25" w14:textId="77777777" w:rsidR="007E7BB7" w:rsidRPr="00DB3C11" w:rsidRDefault="007E7BB7" w:rsidP="007E7BB7">
            <w:pPr>
              <w:pStyle w:val="NoSpacing"/>
            </w:pPr>
            <w:r w:rsidRPr="00DB3C11">
              <w:fldChar w:fldCharType="begin" w:fldLock="1"/>
            </w:r>
            <w:r>
              <w:instrText>ADDIN CSL_CITATION {"citationItems":[{"id":"ITEM-1","itemData":{"DOI":"10.2196/jmir.2714","ISBN":"1438-8871 (Electronic)\\r1438-8871 (Linking)","ISSN":"14388871","PMID":"23916965","abstract":"Background: Most patients with mild to moderate depression receive treatment in primary care, but despite guideline recommendations, structured psychological interventions are infrequently delivered. Research supports the effectiveness of Internet-based treatment for depression; however, few trials have studied the effect of the MoodGYM program plus therapist support. The use of such interventions could improve the delivery of treatment in primary care. Objective: To evaluate the effectiveness and acceptability of a guided Web-based intervention for mild to moderate depression, which could be suitable for implementation in general practice. Methods: Participants (N=106) aged between 18 and 65 years were recruited from primary care and randomly allocated to a treatment condition comprising 6 weeks of therapist-assisted Web-based cognitive behavioral therapy (CBT), or to a 6-week delayed treatment condition. The intervention included the Norwegian version of the MoodGYM program, brief face-to-face support from a psychologist, and reminder emails. The primary outcome measure, depression symptoms, was measured by the Beck Depression Inventory-II (BDI-II). Secondary outcome measures included the Beck Anxiety Inventory (BAI), the Hospital Anxiety and Depression Scale (HADS), the Satisfaction with Life Scale (SWLS), and the EuroQol Group 5-Dimension Self-Report Questionnaire (EQ-5D). All outcomes were based on self-report and were assessed at baseline, postintervention, and at 6-month follow-up. Results: Postintervention measures were completed by 37 (71%) and 47 (87%) of the 52 participants in the intervention and 54 participants in the delayed treatment group, respectively. Linear mixed-models analyses revealed a significant difference in time trends between the groups for the BDI-II, (P=.002), for HADS depression and anxiety subscales (P&lt;.001 and P=.001, respectively), and for the SWLS (P&lt;.001). No differential group effects were found for the BAI and the EQ-5D. In comparison to the control group, significantly more participants in the intervention group experienced recovery from depression as measured by the BDI-II. Of the 52 participants in the treatment program, 31 (60%) adhered to the program, and overall treatment satisfaction was high. The reduction of depression and anxiety symptoms was largely maintained at 6-month follow-up, and positive gains in life satisfaction were partly maintained. Concöusions: The intervention combining MoodGYM and brief the…","author":[{"dropping-particle":"","family":"Høifødt","given":"Ragnhild Sørensen","non-dropping-particle":"","parse-names":false,"suffix":""},{"dropping-particle":"","family":"Lillevoll","given":"Kjersti R.","non-dropping-particle":"","parse-names":false,"suffix":""},{"dropping-particle":"","family":"Griffiths","given":"Kathleen M.","non-dropping-particle":"","parse-names":false,"suffix":""},{"dropping-particle":"","family":"Wilsgaard","given":"Tom","non-dropping-particle":"","parse-names":false,"suffix":""},{"dropping-particle":"","family":"Eisemann","given":"Martin","non-dropping-particle":"","parse-names":false,"suffix":""},{"dropping-particle":"","family":"Waterloo","given":"Knut","non-dropping-particle":"","parse-names":false,"suffix":""},{"dropping-particle":"","family":"Kolstrup","given":"Nils","non-dropping-particle":"","parse-names":false,"suffix":""}],"container-title":"Journal of Medical Internet Research","id":"ITEM-1","issue":"8","issued":{"date-parts":[["2013"]]},"page":"e153","title":"The clinical effectiveness of web-based cognitive behavioral therapy with face-to-face therapist support for depressed primary care patients: Randomized controlled trial","type":"article-journal","volume":"15"},"uris":["http://www.mendeley.com/documents/?uuid=19080642-73bf-4dae-8dea-fad94015cd09"]}],"mendeley":{"formattedCitation":"(Høifødt &lt;i&gt;et al.&lt;/i&gt;, 2013)","manualFormatting":"Høifødt et al. (2013)","plainTextFormattedCitation":"(Høifødt et al., 2013)","previouslyFormattedCitation":"(Høifødt &lt;i&gt;et al.&lt;/i&gt;, 2013)"},"properties":{"noteIndex":0},"schema":"https://github.com/citation-style-language/schema/raw/master/csl-citation.json"}</w:instrText>
            </w:r>
            <w:r w:rsidRPr="00DB3C11">
              <w:fldChar w:fldCharType="separate"/>
            </w:r>
            <w:r w:rsidRPr="00DB3C11">
              <w:rPr>
                <w:noProof/>
              </w:rPr>
              <w:t>Høifødt et al. (2013)</w:t>
            </w:r>
            <w:r w:rsidRPr="00DB3C11">
              <w:fldChar w:fldCharType="end"/>
            </w:r>
          </w:p>
        </w:tc>
        <w:tc>
          <w:tcPr>
            <w:tcW w:w="2102" w:type="dxa"/>
            <w:shd w:val="clear" w:color="auto" w:fill="auto"/>
          </w:tcPr>
          <w:p w14:paraId="65A853EF" w14:textId="77777777" w:rsidR="007E7BB7" w:rsidRDefault="007E7BB7" w:rsidP="007E7BB7">
            <w:pPr>
              <w:pStyle w:val="NoSpacing"/>
            </w:pPr>
            <w:r w:rsidRPr="00DB3C11">
              <w:t>Primary Care</w:t>
            </w:r>
            <w:r>
              <w:t xml:space="preserve">, </w:t>
            </w:r>
            <w:r w:rsidRPr="00DB3C11">
              <w:t>Adults</w:t>
            </w:r>
            <w:r>
              <w:t xml:space="preserve">, </w:t>
            </w:r>
            <w:r w:rsidRPr="00DB3C11">
              <w:t>Clinical sample</w:t>
            </w:r>
            <w:r>
              <w:t xml:space="preserve">, </w:t>
            </w:r>
          </w:p>
          <w:p w14:paraId="05A8DC75" w14:textId="77777777" w:rsidR="007E7BB7" w:rsidRPr="00DB3C11" w:rsidRDefault="007E7BB7" w:rsidP="007E7BB7">
            <w:pPr>
              <w:pStyle w:val="NoSpacing"/>
            </w:pPr>
            <w:r w:rsidRPr="00DB3C11">
              <w:t>Mild</w:t>
            </w:r>
            <w:r>
              <w:t>/Moderate Depression</w:t>
            </w:r>
          </w:p>
        </w:tc>
        <w:tc>
          <w:tcPr>
            <w:tcW w:w="708" w:type="dxa"/>
          </w:tcPr>
          <w:p w14:paraId="3A1E25CF" w14:textId="77777777" w:rsidR="007E7BB7" w:rsidRPr="00DB3C11" w:rsidRDefault="007E7BB7" w:rsidP="007E7BB7">
            <w:pPr>
              <w:pStyle w:val="NoSpacing"/>
            </w:pPr>
            <w:r w:rsidRPr="00DB3C11">
              <w:t>106</w:t>
            </w:r>
          </w:p>
        </w:tc>
        <w:tc>
          <w:tcPr>
            <w:tcW w:w="851" w:type="dxa"/>
          </w:tcPr>
          <w:p w14:paraId="319D3D9B" w14:textId="77777777" w:rsidR="007E7BB7" w:rsidRPr="00DB3C11" w:rsidRDefault="007E7BB7" w:rsidP="007E7BB7">
            <w:pPr>
              <w:pStyle w:val="NoSpacing"/>
            </w:pPr>
            <w:r w:rsidRPr="00DB3C11">
              <w:t>37.18 (11.09)</w:t>
            </w:r>
          </w:p>
        </w:tc>
        <w:tc>
          <w:tcPr>
            <w:tcW w:w="1276" w:type="dxa"/>
          </w:tcPr>
          <w:p w14:paraId="7851411E" w14:textId="77777777" w:rsidR="007E7BB7" w:rsidRPr="00DB3C11" w:rsidRDefault="007E7BB7" w:rsidP="007E7BB7">
            <w:pPr>
              <w:pStyle w:val="NoSpacing"/>
            </w:pPr>
            <w:r>
              <w:t>27.36% (29)</w:t>
            </w:r>
          </w:p>
        </w:tc>
        <w:tc>
          <w:tcPr>
            <w:tcW w:w="1701" w:type="dxa"/>
          </w:tcPr>
          <w:p w14:paraId="603C059F" w14:textId="77777777" w:rsidR="007E7BB7" w:rsidRPr="00DB3C11" w:rsidRDefault="007E7BB7" w:rsidP="007E7BB7">
            <w:pPr>
              <w:pStyle w:val="NoSpacing"/>
            </w:pPr>
            <w:r w:rsidRPr="00DB3C11">
              <w:t xml:space="preserve">No </w:t>
            </w:r>
            <w:r>
              <w:t>COI.</w:t>
            </w:r>
          </w:p>
          <w:p w14:paraId="79B089FD" w14:textId="77777777" w:rsidR="007E7BB7" w:rsidRPr="00DB3C11" w:rsidRDefault="007E7BB7" w:rsidP="007E7BB7">
            <w:pPr>
              <w:pStyle w:val="NoSpacing"/>
            </w:pPr>
            <w:r w:rsidRPr="00DB3C11">
              <w:t xml:space="preserve">Delayed, </w:t>
            </w:r>
            <w:r>
              <w:t>2</w:t>
            </w:r>
            <w:r w:rsidRPr="00DB3C11">
              <w:t xml:space="preserve"> arm.</w:t>
            </w:r>
          </w:p>
          <w:p w14:paraId="04AA97F7" w14:textId="77777777" w:rsidR="007E7BB7" w:rsidRPr="00DB3C11" w:rsidRDefault="007E7BB7" w:rsidP="007E7BB7">
            <w:pPr>
              <w:pStyle w:val="NoSpacing"/>
            </w:pPr>
            <w:r w:rsidRPr="00DB3C11">
              <w:t>ITT / Completer</w:t>
            </w:r>
            <w:r>
              <w:t>.</w:t>
            </w:r>
          </w:p>
          <w:p w14:paraId="1F948552" w14:textId="77777777" w:rsidR="007E7BB7" w:rsidRPr="00DB3C11" w:rsidRDefault="007E7BB7" w:rsidP="007E7BB7">
            <w:pPr>
              <w:pStyle w:val="NoSpacing"/>
            </w:pPr>
          </w:p>
        </w:tc>
        <w:tc>
          <w:tcPr>
            <w:tcW w:w="2126" w:type="dxa"/>
          </w:tcPr>
          <w:p w14:paraId="1FCB632C" w14:textId="77777777" w:rsidR="007E7BB7" w:rsidRDefault="007E7BB7" w:rsidP="007E7BB7">
            <w:pPr>
              <w:pStyle w:val="NoSpacing"/>
            </w:pPr>
            <w:r>
              <w:t>M</w:t>
            </w:r>
            <w:r w:rsidRPr="0054496B">
              <w:t>inimal-contact therapy</w:t>
            </w:r>
            <w:r>
              <w:t>,</w:t>
            </w:r>
          </w:p>
          <w:p w14:paraId="58A8544B" w14:textId="77777777" w:rsidR="007E7BB7" w:rsidRPr="00DB3C11" w:rsidRDefault="007E7BB7" w:rsidP="007E7BB7">
            <w:pPr>
              <w:pStyle w:val="NoSpacing"/>
            </w:pPr>
            <w:r>
              <w:t xml:space="preserve">1 x </w:t>
            </w:r>
            <w:r w:rsidRPr="00DB3C11">
              <w:t>brief intro</w:t>
            </w:r>
            <w:r>
              <w:t>.</w:t>
            </w:r>
          </w:p>
          <w:p w14:paraId="4CB69BC2" w14:textId="77777777" w:rsidR="007E7BB7" w:rsidRPr="00DB3C11" w:rsidRDefault="007E7BB7" w:rsidP="007E7BB7">
            <w:pPr>
              <w:pStyle w:val="NoSpacing"/>
            </w:pPr>
            <w:r w:rsidRPr="00DB3C11">
              <w:t>5</w:t>
            </w:r>
            <w:r>
              <w:t xml:space="preserve"> </w:t>
            </w:r>
            <w:r w:rsidRPr="00DB3C11">
              <w:t xml:space="preserve">x </w:t>
            </w:r>
            <w:r>
              <w:t>45</w:t>
            </w:r>
            <w:r w:rsidRPr="00DB3C11">
              <w:t>-</w:t>
            </w:r>
            <w:r>
              <w:t>60</w:t>
            </w:r>
            <w:r w:rsidRPr="00DB3C11">
              <w:t xml:space="preserve"> min</w:t>
            </w:r>
            <w:r>
              <w:t xml:space="preserve"> Sessions.</w:t>
            </w:r>
          </w:p>
          <w:p w14:paraId="14824B81" w14:textId="77777777" w:rsidR="007E7BB7" w:rsidRPr="00DB3C11" w:rsidRDefault="007E7BB7" w:rsidP="007E7BB7">
            <w:pPr>
              <w:pStyle w:val="NoSpacing"/>
            </w:pPr>
            <w:r>
              <w:t>7</w:t>
            </w:r>
            <w:r w:rsidRPr="00DB3C11">
              <w:t xml:space="preserve"> weeks</w:t>
            </w:r>
            <w:r>
              <w:t>.</w:t>
            </w:r>
          </w:p>
        </w:tc>
        <w:tc>
          <w:tcPr>
            <w:tcW w:w="850" w:type="dxa"/>
          </w:tcPr>
          <w:p w14:paraId="65974829" w14:textId="77777777" w:rsidR="007E7BB7" w:rsidRPr="00DB3C11" w:rsidRDefault="007E7BB7" w:rsidP="007E7BB7">
            <w:pPr>
              <w:pStyle w:val="NoSpacing"/>
            </w:pPr>
            <w:r>
              <w:t xml:space="preserve">1. </w:t>
            </w:r>
            <w:r w:rsidRPr="00DB3C11">
              <w:t>Waiting list</w:t>
            </w:r>
          </w:p>
        </w:tc>
        <w:tc>
          <w:tcPr>
            <w:tcW w:w="993" w:type="dxa"/>
          </w:tcPr>
          <w:p w14:paraId="77B844DA" w14:textId="77777777" w:rsidR="007E7BB7" w:rsidRPr="00DB3C11" w:rsidRDefault="007E7BB7" w:rsidP="007E7BB7">
            <w:pPr>
              <w:pStyle w:val="NoSpacing"/>
            </w:pPr>
            <w:r w:rsidRPr="00DB3C11">
              <w:t>BDI</w:t>
            </w:r>
          </w:p>
        </w:tc>
        <w:tc>
          <w:tcPr>
            <w:tcW w:w="1134" w:type="dxa"/>
          </w:tcPr>
          <w:p w14:paraId="733657FA" w14:textId="77777777" w:rsidR="007E7BB7" w:rsidRPr="00DB3C11" w:rsidRDefault="007E7BB7" w:rsidP="007E7BB7">
            <w:pPr>
              <w:pStyle w:val="NoSpacing"/>
            </w:pPr>
            <w:r>
              <w:t>e</w:t>
            </w:r>
            <w:r>
              <w:noBreakHyphen/>
              <w:t xml:space="preserve">therapy - </w:t>
            </w:r>
            <w:r w:rsidRPr="00DB3C11">
              <w:t>22% (12)</w:t>
            </w:r>
          </w:p>
          <w:p w14:paraId="06DA0A89" w14:textId="77777777" w:rsidR="007E7BB7" w:rsidRPr="00DB3C11" w:rsidRDefault="007E7BB7" w:rsidP="007E7BB7">
            <w:pPr>
              <w:pStyle w:val="NoSpacing"/>
            </w:pPr>
            <w:r>
              <w:t xml:space="preserve">1. </w:t>
            </w:r>
            <w:r w:rsidRPr="00DB3C11">
              <w:t>37% (20)</w:t>
            </w:r>
          </w:p>
        </w:tc>
        <w:tc>
          <w:tcPr>
            <w:tcW w:w="777" w:type="dxa"/>
          </w:tcPr>
          <w:p w14:paraId="75D2CEDB" w14:textId="77777777" w:rsidR="007E7BB7" w:rsidRPr="00DB3C11" w:rsidRDefault="007E7BB7" w:rsidP="007E7BB7">
            <w:pPr>
              <w:pStyle w:val="NoSpacing"/>
            </w:pPr>
            <w:r w:rsidRPr="00DB3C11">
              <w:t xml:space="preserve">6 months </w:t>
            </w:r>
          </w:p>
        </w:tc>
      </w:tr>
      <w:tr w:rsidR="007E7BB7" w:rsidRPr="00DB3C11" w14:paraId="61CCF7A7" w14:textId="77777777" w:rsidTr="007E7BB7">
        <w:trPr>
          <w:trHeight w:val="813"/>
        </w:trPr>
        <w:tc>
          <w:tcPr>
            <w:tcW w:w="1200" w:type="dxa"/>
            <w:vMerge/>
          </w:tcPr>
          <w:p w14:paraId="1DED5B7C" w14:textId="77777777" w:rsidR="007E7BB7" w:rsidRPr="00DB3C11" w:rsidRDefault="007E7BB7" w:rsidP="007E7BB7">
            <w:pPr>
              <w:pStyle w:val="NoSpacing"/>
            </w:pPr>
          </w:p>
        </w:tc>
        <w:tc>
          <w:tcPr>
            <w:tcW w:w="1201" w:type="dxa"/>
          </w:tcPr>
          <w:p w14:paraId="35DB5EA4" w14:textId="77777777" w:rsidR="007E7BB7" w:rsidRPr="00DB3C11" w:rsidRDefault="007E7BB7" w:rsidP="007E7BB7">
            <w:pPr>
              <w:pStyle w:val="NoSpacing"/>
            </w:pPr>
            <w:r w:rsidRPr="00DB3C11">
              <w:fldChar w:fldCharType="begin" w:fldLock="1"/>
            </w:r>
            <w:r>
              <w:instrText>ADDIN CSL_CITATION {"citationItems":[{"id":"ITEM-1","itemData":{"DOI":"10.1111/ap.12006","ISBN":"0005-0067","ISSN":"00050067","abstract":"Barriers to accessing psychologists for the treatment of depression and anxiety include a shortage of specialised therapists, long waiting lists, and the affordability of therapy. This study examined the efficacy of a computerised-based self-help program (MoodGYM) delivered in-conjunction with face-to-face cognitive behavioural therapy (CBT) to expand the delivery avenues of psychological treatment for young adults (aged 18-25 years). Eighty-nine participants suffering from depression and/or generalised anxiety were randomly allocated to a control intervention or to one of three experimental groups: receiving face-to-face CBT, receiving computerised CBT (cCBT), or receiving treatment in-conjunction (face-to-face CBT and cCBT). While MoodGYM did not significantly decrease depression in comparison to the control group, significant decreases were found for anxiety. MoodGYM delivered in-conjunction with face-to-face CBT is more effective in treating symptoms of depression and anxiety compared with standalone face-to-face or cCBT. This study suggests that for youth who are unable to access face-to-face therapy-such as those in rural or remote regions, or for communities in which there is stigma attached to seeking help-computerised therapy may be a viable option. This is an important finding, especially in light of the current capacity-to-treat and accessibility problems faced by youth when seeking treatment for depression and/or anxiety.","author":[{"dropping-particle":"","family":"Sethi","given":"Suvena","non-dropping-particle":"","parse-names":false,"suffix":""}],"container-title":"Australian Psychologist","id":"ITEM-1","issue":"4","issued":{"date-parts":[["2013","8","14"]]},"page":"249-257","title":"Treating youth depression and anxiety: A randomised controlled trial examining the efficacy of computerised versus face-to-face cognitive behaviour therapy","type":"article-journal","volume":"48"},"uris":["http://www.mendeley.com/documents/?uuid=4debbf52-cde4-489b-8646-84748f78ad19"]}],"mendeley":{"formattedCitation":"(Sethi, 2013)","manualFormatting":"Sethi (2013)","plainTextFormattedCitation":"(Sethi, 2013)","previouslyFormattedCitation":"(Sethi, 2013)"},"properties":{"noteIndex":0},"schema":"https://github.com/citation-style-language/schema/raw/master/csl-citation.json"}</w:instrText>
            </w:r>
            <w:r w:rsidRPr="00DB3C11">
              <w:fldChar w:fldCharType="separate"/>
            </w:r>
            <w:r w:rsidRPr="00DB3C11">
              <w:rPr>
                <w:noProof/>
              </w:rPr>
              <w:t>Sethi (2013)</w:t>
            </w:r>
            <w:r w:rsidRPr="00DB3C11">
              <w:fldChar w:fldCharType="end"/>
            </w:r>
          </w:p>
        </w:tc>
        <w:tc>
          <w:tcPr>
            <w:tcW w:w="2102" w:type="dxa"/>
            <w:shd w:val="clear" w:color="auto" w:fill="auto"/>
          </w:tcPr>
          <w:p w14:paraId="3BCA9511" w14:textId="77777777" w:rsidR="007E7BB7" w:rsidRDefault="007E7BB7" w:rsidP="007E7BB7">
            <w:pPr>
              <w:pStyle w:val="NoSpacing"/>
            </w:pPr>
            <w:r w:rsidRPr="00DB3C11">
              <w:t xml:space="preserve">Youth Centres </w:t>
            </w:r>
          </w:p>
          <w:p w14:paraId="65C57EB2" w14:textId="77777777" w:rsidR="007E7BB7" w:rsidRPr="00DB3C11" w:rsidRDefault="007E7BB7" w:rsidP="007E7BB7">
            <w:pPr>
              <w:pStyle w:val="NoSpacing"/>
            </w:pPr>
            <w:r w:rsidRPr="00DB3C11">
              <w:t>Community sample</w:t>
            </w:r>
          </w:p>
          <w:p w14:paraId="649A647A" w14:textId="77777777" w:rsidR="007E7BB7" w:rsidRPr="00DB3C11" w:rsidRDefault="007E7BB7" w:rsidP="007E7BB7">
            <w:pPr>
              <w:pStyle w:val="NoSpacing"/>
            </w:pPr>
            <w:r w:rsidRPr="00DB3C11">
              <w:t>Depression</w:t>
            </w:r>
            <w:r>
              <w:t>/A</w:t>
            </w:r>
            <w:r w:rsidRPr="00DB3C11">
              <w:t>nxiety</w:t>
            </w:r>
          </w:p>
        </w:tc>
        <w:tc>
          <w:tcPr>
            <w:tcW w:w="708" w:type="dxa"/>
          </w:tcPr>
          <w:p w14:paraId="120D9927" w14:textId="77777777" w:rsidR="007E7BB7" w:rsidRPr="00DB3C11" w:rsidRDefault="007E7BB7" w:rsidP="007E7BB7">
            <w:pPr>
              <w:pStyle w:val="NoSpacing"/>
            </w:pPr>
            <w:r w:rsidRPr="00DB3C11">
              <w:t>89</w:t>
            </w:r>
          </w:p>
        </w:tc>
        <w:tc>
          <w:tcPr>
            <w:tcW w:w="851" w:type="dxa"/>
          </w:tcPr>
          <w:p w14:paraId="2EB9382C" w14:textId="77777777" w:rsidR="007E7BB7" w:rsidRPr="00DB3C11" w:rsidRDefault="007E7BB7" w:rsidP="007E7BB7">
            <w:pPr>
              <w:pStyle w:val="NoSpacing"/>
            </w:pPr>
            <w:r w:rsidRPr="00DB3C11">
              <w:t>20.19 (1.39)</w:t>
            </w:r>
          </w:p>
        </w:tc>
        <w:tc>
          <w:tcPr>
            <w:tcW w:w="1276" w:type="dxa"/>
          </w:tcPr>
          <w:p w14:paraId="12ACC302" w14:textId="77777777" w:rsidR="007E7BB7" w:rsidRDefault="007E7BB7" w:rsidP="007E7BB7">
            <w:pPr>
              <w:pStyle w:val="NoSpacing"/>
            </w:pPr>
            <w:r>
              <w:t>41.57%</w:t>
            </w:r>
          </w:p>
          <w:p w14:paraId="08C1E119" w14:textId="77777777" w:rsidR="007E7BB7" w:rsidRPr="00DB3C11" w:rsidRDefault="007E7BB7" w:rsidP="007E7BB7">
            <w:pPr>
              <w:pStyle w:val="NoSpacing"/>
            </w:pPr>
            <w:r>
              <w:t>(29)</w:t>
            </w:r>
          </w:p>
        </w:tc>
        <w:tc>
          <w:tcPr>
            <w:tcW w:w="1701" w:type="dxa"/>
          </w:tcPr>
          <w:p w14:paraId="10E5267F" w14:textId="77777777" w:rsidR="007E7BB7" w:rsidRPr="00DB3C11" w:rsidRDefault="007E7BB7" w:rsidP="007E7BB7">
            <w:pPr>
              <w:pStyle w:val="NoSpacing"/>
            </w:pPr>
            <w:r w:rsidRPr="00DB3C11">
              <w:t xml:space="preserve">No </w:t>
            </w:r>
            <w:r>
              <w:t>COI</w:t>
            </w:r>
            <w:r w:rsidRPr="00DB3C11">
              <w:t xml:space="preserve"> declaration</w:t>
            </w:r>
            <w:r>
              <w:t>.</w:t>
            </w:r>
          </w:p>
          <w:p w14:paraId="42028245" w14:textId="77777777" w:rsidR="007E7BB7" w:rsidRPr="00DB3C11" w:rsidRDefault="007E7BB7" w:rsidP="007E7BB7">
            <w:pPr>
              <w:pStyle w:val="NoSpacing"/>
            </w:pPr>
            <w:r>
              <w:t>3</w:t>
            </w:r>
            <w:r w:rsidRPr="00DB3C11">
              <w:t xml:space="preserve"> </w:t>
            </w:r>
            <w:proofErr w:type="gramStart"/>
            <w:r w:rsidRPr="00DB3C11">
              <w:t>arm</w:t>
            </w:r>
            <w:proofErr w:type="gramEnd"/>
            <w:r w:rsidRPr="00DB3C11">
              <w:t>.</w:t>
            </w:r>
          </w:p>
          <w:p w14:paraId="754C6A61" w14:textId="77777777" w:rsidR="007E7BB7" w:rsidRPr="00DB3C11" w:rsidRDefault="007E7BB7" w:rsidP="007E7BB7">
            <w:pPr>
              <w:pStyle w:val="NoSpacing"/>
            </w:pPr>
            <w:r w:rsidRPr="00DB3C11">
              <w:t>Completers (no drop outs)</w:t>
            </w:r>
          </w:p>
          <w:p w14:paraId="0F99F8DD" w14:textId="77777777" w:rsidR="007E7BB7" w:rsidRPr="00DB3C11" w:rsidRDefault="007E7BB7" w:rsidP="007E7BB7">
            <w:pPr>
              <w:pStyle w:val="NoSpacing"/>
            </w:pPr>
          </w:p>
        </w:tc>
        <w:tc>
          <w:tcPr>
            <w:tcW w:w="2126" w:type="dxa"/>
          </w:tcPr>
          <w:p w14:paraId="20ECDFDF" w14:textId="77777777" w:rsidR="007E7BB7" w:rsidRDefault="007E7BB7" w:rsidP="007E7BB7">
            <w:pPr>
              <w:pStyle w:val="NoSpacing"/>
            </w:pPr>
            <w:r>
              <w:t>P</w:t>
            </w:r>
            <w:r w:rsidRPr="00FE2F41">
              <w:t>redominantly self-help</w:t>
            </w:r>
            <w:r>
              <w:t>,</w:t>
            </w:r>
          </w:p>
          <w:p w14:paraId="3A554095" w14:textId="77777777" w:rsidR="007E7BB7" w:rsidRDefault="007E7BB7" w:rsidP="007E7BB7">
            <w:pPr>
              <w:pStyle w:val="NoSpacing"/>
            </w:pPr>
            <w:r>
              <w:t>3</w:t>
            </w:r>
            <w:r w:rsidRPr="00873B4D">
              <w:t xml:space="preserve"> x </w:t>
            </w:r>
            <w:r>
              <w:t>1 hr Sessions.</w:t>
            </w:r>
          </w:p>
          <w:p w14:paraId="739B7469" w14:textId="77777777" w:rsidR="007E7BB7" w:rsidRDefault="007E7BB7" w:rsidP="007E7BB7">
            <w:pPr>
              <w:pStyle w:val="NoSpacing"/>
            </w:pPr>
            <w:r>
              <w:t xml:space="preserve">2 x 1 hr Sessions + 30 mins for </w:t>
            </w:r>
            <w:r w:rsidRPr="00873B4D">
              <w:t>measures</w:t>
            </w:r>
            <w:r>
              <w:t>.</w:t>
            </w:r>
          </w:p>
          <w:p w14:paraId="2DCDC9A5" w14:textId="77777777" w:rsidR="007E7BB7" w:rsidRDefault="007E7BB7" w:rsidP="007E7BB7">
            <w:pPr>
              <w:pStyle w:val="NoSpacing"/>
            </w:pPr>
            <w:r w:rsidRPr="00873B4D">
              <w:t>5 weeks</w:t>
            </w:r>
            <w:r>
              <w:t>.</w:t>
            </w:r>
          </w:p>
          <w:p w14:paraId="4ABD8F30" w14:textId="77777777" w:rsidR="007E7BB7" w:rsidRPr="00DB3C11" w:rsidRDefault="007E7BB7" w:rsidP="007E7BB7">
            <w:pPr>
              <w:pStyle w:val="NoSpacing"/>
            </w:pPr>
          </w:p>
          <w:p w14:paraId="652B12E1" w14:textId="77777777" w:rsidR="007E7BB7" w:rsidRPr="00DB3C11" w:rsidRDefault="007E7BB7" w:rsidP="007E7BB7">
            <w:pPr>
              <w:pStyle w:val="NoSpacing"/>
            </w:pPr>
          </w:p>
        </w:tc>
        <w:tc>
          <w:tcPr>
            <w:tcW w:w="850" w:type="dxa"/>
          </w:tcPr>
          <w:p w14:paraId="408037E7" w14:textId="77777777" w:rsidR="007E7BB7" w:rsidRPr="00DB3C11" w:rsidRDefault="007E7BB7" w:rsidP="007E7BB7">
            <w:pPr>
              <w:pStyle w:val="NoSpacing"/>
            </w:pPr>
            <w:r>
              <w:t xml:space="preserve">1. </w:t>
            </w:r>
            <w:r w:rsidRPr="00DB3C11">
              <w:t>No treatment</w:t>
            </w:r>
            <w:r w:rsidRPr="00DB3C11">
              <w:br/>
            </w:r>
            <w:r>
              <w:t xml:space="preserve">2. </w:t>
            </w:r>
            <w:r w:rsidRPr="00DB3C11">
              <w:t>face-to-face CBT</w:t>
            </w:r>
          </w:p>
        </w:tc>
        <w:tc>
          <w:tcPr>
            <w:tcW w:w="993" w:type="dxa"/>
          </w:tcPr>
          <w:p w14:paraId="11ED5D8E" w14:textId="77777777" w:rsidR="007E7BB7" w:rsidRPr="00DB3C11" w:rsidRDefault="007E7BB7" w:rsidP="007E7BB7">
            <w:pPr>
              <w:pStyle w:val="NoSpacing"/>
            </w:pPr>
            <w:r w:rsidRPr="00DB3C11">
              <w:t>DASS-21</w:t>
            </w:r>
          </w:p>
        </w:tc>
        <w:tc>
          <w:tcPr>
            <w:tcW w:w="1134" w:type="dxa"/>
          </w:tcPr>
          <w:p w14:paraId="5A2AD2BF" w14:textId="77777777" w:rsidR="007E7BB7" w:rsidRPr="00DB3C11" w:rsidRDefault="007E7BB7" w:rsidP="007E7BB7">
            <w:pPr>
              <w:pStyle w:val="NoSpacing"/>
            </w:pPr>
            <w:r>
              <w:t>e</w:t>
            </w:r>
            <w:r>
              <w:noBreakHyphen/>
              <w:t xml:space="preserve">therapy - </w:t>
            </w:r>
            <w:r w:rsidRPr="00DB3C11">
              <w:t>0% (0)</w:t>
            </w:r>
          </w:p>
          <w:p w14:paraId="37E3D223" w14:textId="77777777" w:rsidR="007E7BB7" w:rsidRPr="00DB3C11" w:rsidRDefault="007E7BB7" w:rsidP="007E7BB7">
            <w:pPr>
              <w:pStyle w:val="NoSpacing"/>
            </w:pPr>
            <w:r>
              <w:t xml:space="preserve">1. </w:t>
            </w:r>
            <w:r w:rsidRPr="00DB3C11">
              <w:t>0% (0)</w:t>
            </w:r>
          </w:p>
        </w:tc>
        <w:tc>
          <w:tcPr>
            <w:tcW w:w="777" w:type="dxa"/>
          </w:tcPr>
          <w:p w14:paraId="3A016002" w14:textId="77777777" w:rsidR="007E7BB7" w:rsidRPr="00DB3C11" w:rsidRDefault="007E7BB7" w:rsidP="007E7BB7">
            <w:pPr>
              <w:pStyle w:val="NoSpacing"/>
            </w:pPr>
            <w:r w:rsidRPr="00DB3C11">
              <w:t>None</w:t>
            </w:r>
          </w:p>
        </w:tc>
      </w:tr>
      <w:tr w:rsidR="007E7BB7" w:rsidRPr="00DB3C11" w14:paraId="14FD724E" w14:textId="77777777" w:rsidTr="007E7BB7">
        <w:trPr>
          <w:trHeight w:val="1036"/>
        </w:trPr>
        <w:tc>
          <w:tcPr>
            <w:tcW w:w="1200" w:type="dxa"/>
            <w:vMerge/>
          </w:tcPr>
          <w:p w14:paraId="0F45B416" w14:textId="77777777" w:rsidR="007E7BB7" w:rsidRPr="00DB3C11" w:rsidRDefault="007E7BB7" w:rsidP="007E7BB7">
            <w:pPr>
              <w:pStyle w:val="NoSpacing"/>
            </w:pPr>
          </w:p>
        </w:tc>
        <w:tc>
          <w:tcPr>
            <w:tcW w:w="1201" w:type="dxa"/>
          </w:tcPr>
          <w:p w14:paraId="001A717C" w14:textId="77777777" w:rsidR="007E7BB7" w:rsidRPr="00DB3C11" w:rsidRDefault="007E7BB7" w:rsidP="007E7BB7">
            <w:pPr>
              <w:pStyle w:val="NoSpacing"/>
            </w:pPr>
            <w:r w:rsidRPr="00DB3C11">
              <w:fldChar w:fldCharType="begin" w:fldLock="1"/>
            </w:r>
            <w:r>
              <w:instrText>ADDIN CSL_CITATION {"citationItems":[{"id":"ITEM-1","itemData":{"DOI":"10.1371/journal.pone.0028099","ISBN":"1932-6203","ISSN":"19326203","PMID":"22140514","abstract":"BACKGROUND: Telephone helplines are frequently and repeatedly used by individuals with chronic mental health problems and web interventions may be an effective tool for reducing depression in this population. AIM: To evaluate the effectiveness of a 6 week, web-based cognitive behaviour therapy (CBT) intervention with and without proactive weekly telephone tracking in the reduction of depression in callers to a helpline service. METHOD: 155 callers to a national helpline service with moderate to high psychological distress were recruited and randomised to receive either Internet CBT plus weekly telephone follow-up; Internet CBT only; weekly telephone follow-up only; or treatment as usual. RESULTS: Depression was lower in participants in the web intervention conditions both with and without telephone tracking compared to the treatment as usual condition both at post intervention and at 6 month follow-up. Telephone tracking provided by a lay telephone counsellor did not confer any additional advantage in terms of symptom reduction or adherence. CONCLUSIONS: A web-based CBT program is effective both with and without telephone tracking for reducing depression in callers to a national helpline. TRIAL REGISTRATION: Controlled-Trials.comISRCTN93903959.","author":[{"dropping-particle":"","family":"Farrer","given":"Louise","non-dropping-particle":"","parse-names":false,"suffix":""},{"dropping-particle":"","family":"Christensen","given":"Helen","non-dropping-particle":"","parse-names":false,"suffix":""},{"dropping-particle":"","family":"Griffiths","given":"Kathleen M.","non-dropping-particle":"","parse-names":false,"suffix":""},{"dropping-particle":"","family":"Mackinnon","given":"Andrew","non-dropping-particle":"","parse-names":false,"suffix":""}],"container-title":"PLoS ONE","id":"ITEM-1","issue":"11","issued":{"date-parts":[["2011"]]},"page":"e28099","title":"Internet-based CBT for depression with and without telephone tracking in a national helpline: Randomised controlled trial","type":"article-journal","volume":"6"},"uris":["http://www.mendeley.com/documents/?uuid=f6a5aca4-d101-41c7-ba25-c23d5e561494"]}],"mendeley":{"formattedCitation":"(Farrer &lt;i&gt;et al.&lt;/i&gt;, 2011)","manualFormatting":"Farrer, Christensen, Griffiths, &amp; Mackinnon (2011)","plainTextFormattedCitation":"(Farrer et al., 2011)","previouslyFormattedCitation":"(Farrer &lt;i&gt;et al.&lt;/i&gt;, 2011)"},"properties":{"noteIndex":0},"schema":"https://github.com/citation-style-language/schema/raw/master/csl-citation.json"}</w:instrText>
            </w:r>
            <w:r w:rsidRPr="00DB3C11">
              <w:fldChar w:fldCharType="separate"/>
            </w:r>
            <w:r w:rsidRPr="00DB3C11">
              <w:rPr>
                <w:noProof/>
              </w:rPr>
              <w:t>Farrer, Christensen, Griffiths, &amp; Mackinnon (2011)</w:t>
            </w:r>
            <w:r w:rsidRPr="00DB3C11">
              <w:fldChar w:fldCharType="end"/>
            </w:r>
          </w:p>
        </w:tc>
        <w:tc>
          <w:tcPr>
            <w:tcW w:w="2102" w:type="dxa"/>
            <w:shd w:val="clear" w:color="auto" w:fill="auto"/>
          </w:tcPr>
          <w:p w14:paraId="11804C16" w14:textId="77777777" w:rsidR="007E7BB7" w:rsidRPr="00DB3C11" w:rsidRDefault="007E7BB7" w:rsidP="007E7BB7">
            <w:pPr>
              <w:pStyle w:val="NoSpacing"/>
            </w:pPr>
            <w:r>
              <w:t>T</w:t>
            </w:r>
            <w:r w:rsidRPr="00DB3C11">
              <w:t>elephone counselling service</w:t>
            </w:r>
          </w:p>
          <w:p w14:paraId="01F397A7" w14:textId="77777777" w:rsidR="007E7BB7" w:rsidRDefault="007E7BB7" w:rsidP="007E7BB7">
            <w:pPr>
              <w:pStyle w:val="NoSpacing"/>
            </w:pPr>
            <w:r w:rsidRPr="00DB3C11">
              <w:t>Clinical sample</w:t>
            </w:r>
          </w:p>
          <w:p w14:paraId="790D913A" w14:textId="77777777" w:rsidR="007E7BB7" w:rsidRPr="00DB3C11" w:rsidRDefault="007E7BB7" w:rsidP="007E7BB7">
            <w:pPr>
              <w:pStyle w:val="NoSpacing"/>
            </w:pPr>
            <w:r>
              <w:t>A mental disorder.</w:t>
            </w:r>
          </w:p>
        </w:tc>
        <w:tc>
          <w:tcPr>
            <w:tcW w:w="708" w:type="dxa"/>
          </w:tcPr>
          <w:p w14:paraId="18894CE0" w14:textId="77777777" w:rsidR="007E7BB7" w:rsidRPr="00DB3C11" w:rsidRDefault="007E7BB7" w:rsidP="007E7BB7">
            <w:pPr>
              <w:pStyle w:val="NoSpacing"/>
            </w:pPr>
            <w:r w:rsidRPr="00DB3C11">
              <w:t>155</w:t>
            </w:r>
          </w:p>
        </w:tc>
        <w:tc>
          <w:tcPr>
            <w:tcW w:w="851" w:type="dxa"/>
          </w:tcPr>
          <w:p w14:paraId="6656F23B" w14:textId="77777777" w:rsidR="007E7BB7" w:rsidRPr="00DB3C11" w:rsidRDefault="007E7BB7" w:rsidP="007E7BB7">
            <w:pPr>
              <w:pStyle w:val="NoSpacing"/>
            </w:pPr>
            <w:r w:rsidRPr="00DB3C11">
              <w:t>41.53 (12.36)</w:t>
            </w:r>
          </w:p>
        </w:tc>
        <w:tc>
          <w:tcPr>
            <w:tcW w:w="1276" w:type="dxa"/>
          </w:tcPr>
          <w:p w14:paraId="3097BEDD" w14:textId="77777777" w:rsidR="007E7BB7" w:rsidRDefault="007E7BB7" w:rsidP="007E7BB7">
            <w:pPr>
              <w:pStyle w:val="NoSpacing"/>
            </w:pPr>
            <w:r>
              <w:t>18.06%</w:t>
            </w:r>
          </w:p>
          <w:p w14:paraId="488200AC" w14:textId="77777777" w:rsidR="007E7BB7" w:rsidRPr="00DB3C11" w:rsidRDefault="007E7BB7" w:rsidP="007E7BB7">
            <w:pPr>
              <w:pStyle w:val="NoSpacing"/>
            </w:pPr>
            <w:r>
              <w:t>(28)</w:t>
            </w:r>
          </w:p>
        </w:tc>
        <w:tc>
          <w:tcPr>
            <w:tcW w:w="1701" w:type="dxa"/>
          </w:tcPr>
          <w:p w14:paraId="3E609EE6" w14:textId="77777777" w:rsidR="007E7BB7" w:rsidRPr="00DB3C11" w:rsidRDefault="007E7BB7" w:rsidP="007E7BB7">
            <w:pPr>
              <w:pStyle w:val="NoSpacing"/>
            </w:pPr>
            <w:r w:rsidRPr="00DB3C11">
              <w:t xml:space="preserve">No </w:t>
            </w:r>
            <w:r>
              <w:t>COI.</w:t>
            </w:r>
          </w:p>
          <w:p w14:paraId="1BBCC449" w14:textId="77777777" w:rsidR="007E7BB7" w:rsidRPr="00DB3C11" w:rsidRDefault="007E7BB7" w:rsidP="007E7BB7">
            <w:pPr>
              <w:pStyle w:val="NoSpacing"/>
            </w:pPr>
            <w:r>
              <w:t>4</w:t>
            </w:r>
            <w:r w:rsidRPr="00DB3C11">
              <w:t xml:space="preserve"> arm, parallel, factorial</w:t>
            </w:r>
          </w:p>
          <w:p w14:paraId="33C2D91F" w14:textId="77777777" w:rsidR="007E7BB7" w:rsidRPr="00DB3C11" w:rsidRDefault="007E7BB7" w:rsidP="007E7BB7">
            <w:pPr>
              <w:pStyle w:val="NoSpacing"/>
            </w:pPr>
            <w:r w:rsidRPr="00DB3C11">
              <w:t>ITT</w:t>
            </w:r>
          </w:p>
        </w:tc>
        <w:tc>
          <w:tcPr>
            <w:tcW w:w="2126" w:type="dxa"/>
          </w:tcPr>
          <w:p w14:paraId="5510415E" w14:textId="77777777" w:rsidR="007E7BB7" w:rsidRDefault="007E7BB7" w:rsidP="007E7BB7">
            <w:pPr>
              <w:pStyle w:val="NoSpacing"/>
            </w:pPr>
            <w:r>
              <w:t>P</w:t>
            </w:r>
            <w:r w:rsidRPr="00FE2F41">
              <w:t>redominantly self-help</w:t>
            </w:r>
            <w:r>
              <w:t>.</w:t>
            </w:r>
          </w:p>
          <w:p w14:paraId="6BA89B72" w14:textId="77777777" w:rsidR="007E7BB7" w:rsidRDefault="007E7BB7" w:rsidP="007E7BB7">
            <w:pPr>
              <w:pStyle w:val="NoSpacing"/>
            </w:pPr>
            <w:r>
              <w:t>5 Sessions.</w:t>
            </w:r>
          </w:p>
          <w:p w14:paraId="3E605E9F" w14:textId="77777777" w:rsidR="007E7BB7" w:rsidRPr="00DB3C11" w:rsidRDefault="007E7BB7" w:rsidP="007E7BB7">
            <w:pPr>
              <w:pStyle w:val="NoSpacing"/>
            </w:pPr>
            <w:r w:rsidRPr="00DB3C11">
              <w:t>6 weeks</w:t>
            </w:r>
            <w:r>
              <w:t>.</w:t>
            </w:r>
          </w:p>
        </w:tc>
        <w:tc>
          <w:tcPr>
            <w:tcW w:w="850" w:type="dxa"/>
          </w:tcPr>
          <w:p w14:paraId="121ADD7F" w14:textId="77777777" w:rsidR="007E7BB7" w:rsidRPr="00DB3C11" w:rsidRDefault="007E7BB7" w:rsidP="007E7BB7">
            <w:pPr>
              <w:pStyle w:val="NoSpacing"/>
            </w:pPr>
            <w:r>
              <w:t xml:space="preserve">1. </w:t>
            </w:r>
            <w:r w:rsidRPr="00DB3C11">
              <w:t>Tracking + TAU</w:t>
            </w:r>
          </w:p>
        </w:tc>
        <w:tc>
          <w:tcPr>
            <w:tcW w:w="993" w:type="dxa"/>
          </w:tcPr>
          <w:p w14:paraId="2BAFFB8C" w14:textId="77777777" w:rsidR="007E7BB7" w:rsidRPr="00DB3C11" w:rsidRDefault="007E7BB7" w:rsidP="007E7BB7">
            <w:pPr>
              <w:pStyle w:val="NoSpacing"/>
            </w:pPr>
            <w:r w:rsidRPr="00DB3C11">
              <w:t>CES-D</w:t>
            </w:r>
          </w:p>
        </w:tc>
        <w:tc>
          <w:tcPr>
            <w:tcW w:w="1134" w:type="dxa"/>
          </w:tcPr>
          <w:p w14:paraId="1951FC5C" w14:textId="77777777" w:rsidR="007E7BB7" w:rsidRPr="00DB3C11" w:rsidRDefault="007E7BB7" w:rsidP="007E7BB7">
            <w:pPr>
              <w:pStyle w:val="NoSpacing"/>
            </w:pPr>
            <w:r>
              <w:t>e</w:t>
            </w:r>
            <w:r>
              <w:noBreakHyphen/>
              <w:t xml:space="preserve">therapy - </w:t>
            </w:r>
            <w:r w:rsidRPr="00DB3C11">
              <w:t>48% (40)</w:t>
            </w:r>
          </w:p>
          <w:p w14:paraId="794B085F" w14:textId="77777777" w:rsidR="007E7BB7" w:rsidRPr="00DB3C11" w:rsidRDefault="007E7BB7" w:rsidP="007E7BB7">
            <w:pPr>
              <w:pStyle w:val="NoSpacing"/>
            </w:pPr>
            <w:r>
              <w:t xml:space="preserve">1. </w:t>
            </w:r>
            <w:r w:rsidRPr="00DB3C11">
              <w:t>32% (23)</w:t>
            </w:r>
          </w:p>
        </w:tc>
        <w:tc>
          <w:tcPr>
            <w:tcW w:w="777" w:type="dxa"/>
          </w:tcPr>
          <w:p w14:paraId="4E8D1222" w14:textId="77777777" w:rsidR="007E7BB7" w:rsidRPr="00DB3C11" w:rsidRDefault="007E7BB7" w:rsidP="007E7BB7">
            <w:pPr>
              <w:pStyle w:val="NoSpacing"/>
            </w:pPr>
            <w:r w:rsidRPr="00DB3C11">
              <w:t xml:space="preserve">6 months </w:t>
            </w:r>
          </w:p>
        </w:tc>
      </w:tr>
      <w:tr w:rsidR="007E7BB7" w:rsidRPr="00DB3C11" w14:paraId="06BA0F29" w14:textId="77777777" w:rsidTr="007E7BB7">
        <w:trPr>
          <w:trHeight w:val="796"/>
        </w:trPr>
        <w:tc>
          <w:tcPr>
            <w:tcW w:w="1200" w:type="dxa"/>
            <w:vMerge/>
          </w:tcPr>
          <w:p w14:paraId="5A16C68B" w14:textId="77777777" w:rsidR="007E7BB7" w:rsidRPr="00DB3C11" w:rsidRDefault="007E7BB7" w:rsidP="007E7BB7">
            <w:pPr>
              <w:pStyle w:val="NoSpacing"/>
            </w:pPr>
          </w:p>
        </w:tc>
        <w:tc>
          <w:tcPr>
            <w:tcW w:w="1201" w:type="dxa"/>
          </w:tcPr>
          <w:p w14:paraId="36CBA2C8" w14:textId="77777777" w:rsidR="007E7BB7" w:rsidRPr="00DB3C11" w:rsidRDefault="007E7BB7" w:rsidP="007E7BB7">
            <w:pPr>
              <w:pStyle w:val="NoSpacing"/>
            </w:pPr>
            <w:r w:rsidRPr="00DB3C11">
              <w:fldChar w:fldCharType="begin" w:fldLock="1"/>
            </w:r>
            <w:r>
              <w:instrText>ADDIN CSL_CITATION {"citationItems":[{"id":"ITEM-1","itemData":{"DOI":"10.1192/bjp.bp.106.032078","ISBN":"0007-1250","ISSN":"00071250","PMID":"18245031","abstract":"BACKGROUND: An earlier paper reported positive outcomes immediately following access to a cognitive-behavioural therapy (CBT) internet intervention and a depression information website. AIMS: To determine 6-month and 12-month outcomes of the interventions relative to a placebo control condition. METHOD: Participants allocated to the depression information website condition, the CBT internet intervention and the placebo control condition were followed up at 6 and 12 months by survey. The primary outcome measure was the Center for Epidemiologic Studies-Depression (CES-D) scale. Of 525 participants recruited, 79% completed their assigned intervention and 60% were retained at 12-month follow-up. Attrition was handled using mixed-model repeated-measures ANOVA. RESULTS: Both the CBT site and depression information sites were associated with statistically significant benefits in CES-D score reduction compared with controls at post-test. At 6-months follow-up, the reduction seen for the people allocated to the CBT arm remained significant, whereas that for the depression information website arm was not. At 12 months, both active interventions were statistically significantly superior to the control condition. CONCLUSIONS: There is some evidence that benefits of these brief internet interventions are retained beyond their endpoint. The impact of human support provided by interviewers in the trial must be considered when comparing these outcomes to routine use of both internet interventions.","author":[{"dropping-particle":"","family":"Mackinnon","given":"Andrew","non-dropping-particle":"","parse-names":false,"suffix":""},{"dropping-particle":"","family":"Griffiths","given":"Kathleen M.","non-dropping-particle":"","parse-names":false,"suffix":""},{"dropping-particle":"","family":"Christensen","given":"Helen","non-dropping-particle":"","parse-names":false,"suffix":""}],"container-title":"British Journal of Psychiatry","id":"ITEM-1","issue":"2","issued":{"date-parts":[["2008"]]},"page":"130-134","title":"Comparative randomised trial of online cognitive-behavioural therapy and an information website for depression: 12-Month outcomes","type":"article-journal","volume":"192"},"uris":["http://www.mendeley.com/documents/?uuid=edf59ded-8d48-47e2-9627-f23ce8bf40d0"]}],"mendeley":{"formattedCitation":"(Mackinnon, Griffiths and Christensen, 2008)","manualFormatting":"Mackinnon, Griffiths, &amp; Christensen (2008)","plainTextFormattedCitation":"(Mackinnon, Griffiths and Christensen, 2008)","previouslyFormattedCitation":"(Mackinnon, Griffiths and Christensen, 2008)"},"properties":{"noteIndex":0},"schema":"https://github.com/citation-style-language/schema/raw/master/csl-citation.json"}</w:instrText>
            </w:r>
            <w:r w:rsidRPr="00DB3C11">
              <w:fldChar w:fldCharType="separate"/>
            </w:r>
            <w:r w:rsidRPr="00DB3C11">
              <w:rPr>
                <w:noProof/>
              </w:rPr>
              <w:t>Mackinnon, Griffiths, &amp; Christensen (2008)</w:t>
            </w:r>
            <w:r w:rsidRPr="00DB3C11">
              <w:fldChar w:fldCharType="end"/>
            </w:r>
          </w:p>
        </w:tc>
        <w:tc>
          <w:tcPr>
            <w:tcW w:w="2102" w:type="dxa"/>
            <w:shd w:val="clear" w:color="auto" w:fill="auto"/>
          </w:tcPr>
          <w:p w14:paraId="3D3095CB" w14:textId="77777777" w:rsidR="007E7BB7" w:rsidRDefault="007E7BB7" w:rsidP="007E7BB7">
            <w:pPr>
              <w:pStyle w:val="NoSpacing"/>
            </w:pPr>
            <w:r w:rsidRPr="000E0B97">
              <w:t>Canberra electoral roll</w:t>
            </w:r>
          </w:p>
          <w:p w14:paraId="0BEF5CFF" w14:textId="77777777" w:rsidR="007E7BB7" w:rsidRDefault="007E7BB7" w:rsidP="007E7BB7">
            <w:pPr>
              <w:pStyle w:val="NoSpacing"/>
            </w:pPr>
            <w:r w:rsidRPr="00DB3C11">
              <w:t>Community sample</w:t>
            </w:r>
          </w:p>
          <w:p w14:paraId="78CF6AB7" w14:textId="77777777" w:rsidR="007E7BB7" w:rsidRDefault="007E7BB7" w:rsidP="007E7BB7">
            <w:pPr>
              <w:pStyle w:val="NoSpacing"/>
            </w:pPr>
            <w:r>
              <w:t>Depression.</w:t>
            </w:r>
          </w:p>
          <w:p w14:paraId="483DE4A4" w14:textId="77777777" w:rsidR="007E7BB7" w:rsidRPr="00DB3C11" w:rsidRDefault="007E7BB7" w:rsidP="007E7BB7">
            <w:pPr>
              <w:pStyle w:val="NoSpacing"/>
            </w:pPr>
          </w:p>
        </w:tc>
        <w:tc>
          <w:tcPr>
            <w:tcW w:w="708" w:type="dxa"/>
          </w:tcPr>
          <w:p w14:paraId="097952A8" w14:textId="77777777" w:rsidR="007E7BB7" w:rsidRPr="00DB3C11" w:rsidRDefault="007E7BB7" w:rsidP="007E7BB7">
            <w:pPr>
              <w:pStyle w:val="NoSpacing"/>
            </w:pPr>
            <w:r w:rsidRPr="00DB3C11">
              <w:t>525</w:t>
            </w:r>
          </w:p>
        </w:tc>
        <w:tc>
          <w:tcPr>
            <w:tcW w:w="851" w:type="dxa"/>
          </w:tcPr>
          <w:p w14:paraId="0E6499CD" w14:textId="77777777" w:rsidR="007E7BB7" w:rsidRDefault="007E7BB7" w:rsidP="007E7BB7">
            <w:pPr>
              <w:pStyle w:val="NoSpacing"/>
            </w:pPr>
            <w:r w:rsidRPr="00DB3C11">
              <w:t>36.8</w:t>
            </w:r>
          </w:p>
          <w:p w14:paraId="446D0BBD" w14:textId="77777777" w:rsidR="007E7BB7" w:rsidRPr="00DB3C11" w:rsidRDefault="007E7BB7" w:rsidP="007E7BB7">
            <w:pPr>
              <w:pStyle w:val="NoSpacing"/>
            </w:pPr>
            <w:r w:rsidRPr="00DB3C11">
              <w:t>(9.3)</w:t>
            </w:r>
          </w:p>
        </w:tc>
        <w:tc>
          <w:tcPr>
            <w:tcW w:w="1276" w:type="dxa"/>
          </w:tcPr>
          <w:p w14:paraId="26682954" w14:textId="77777777" w:rsidR="007E7BB7" w:rsidRDefault="007E7BB7" w:rsidP="007E7BB7">
            <w:pPr>
              <w:pStyle w:val="NoSpacing"/>
            </w:pPr>
            <w:r>
              <w:t>27.54%</w:t>
            </w:r>
          </w:p>
          <w:p w14:paraId="050642ED" w14:textId="77777777" w:rsidR="007E7BB7" w:rsidRPr="00DB3C11" w:rsidRDefault="007E7BB7" w:rsidP="007E7BB7">
            <w:pPr>
              <w:pStyle w:val="NoSpacing"/>
            </w:pPr>
            <w:r>
              <w:t>(114)</w:t>
            </w:r>
          </w:p>
        </w:tc>
        <w:tc>
          <w:tcPr>
            <w:tcW w:w="1701" w:type="dxa"/>
          </w:tcPr>
          <w:p w14:paraId="5C42358B" w14:textId="77777777" w:rsidR="007E7BB7" w:rsidRPr="00DB3C11" w:rsidRDefault="007E7BB7" w:rsidP="007E7BB7">
            <w:pPr>
              <w:pStyle w:val="NoSpacing"/>
            </w:pPr>
            <w:r w:rsidRPr="00DB3C11">
              <w:t xml:space="preserve">No </w:t>
            </w:r>
            <w:r>
              <w:t>COI.</w:t>
            </w:r>
          </w:p>
          <w:p w14:paraId="730CFF38" w14:textId="77777777" w:rsidR="007E7BB7" w:rsidRPr="00DB3C11" w:rsidRDefault="007E7BB7" w:rsidP="007E7BB7">
            <w:pPr>
              <w:pStyle w:val="NoSpacing"/>
            </w:pPr>
            <w:r>
              <w:t>3</w:t>
            </w:r>
            <w:r w:rsidRPr="00DB3C11">
              <w:t xml:space="preserve"> arm</w:t>
            </w:r>
          </w:p>
          <w:p w14:paraId="54A7EC7F" w14:textId="77777777" w:rsidR="007E7BB7" w:rsidRPr="00DB3C11" w:rsidRDefault="007E7BB7" w:rsidP="007E7BB7">
            <w:pPr>
              <w:pStyle w:val="NoSpacing"/>
            </w:pPr>
            <w:r w:rsidRPr="00DB3C11">
              <w:t>MMRM</w:t>
            </w:r>
          </w:p>
        </w:tc>
        <w:tc>
          <w:tcPr>
            <w:tcW w:w="2126" w:type="dxa"/>
          </w:tcPr>
          <w:p w14:paraId="4928A65E" w14:textId="77777777" w:rsidR="007E7BB7" w:rsidRDefault="007E7BB7" w:rsidP="007E7BB7">
            <w:pPr>
              <w:pStyle w:val="NoSpacing"/>
            </w:pPr>
            <w:r>
              <w:t>P</w:t>
            </w:r>
            <w:r w:rsidRPr="00FE2F41">
              <w:t>redominantly self-help</w:t>
            </w:r>
            <w:r>
              <w:t>.</w:t>
            </w:r>
            <w:r w:rsidRPr="00A16D51">
              <w:t xml:space="preserve"> </w:t>
            </w:r>
          </w:p>
          <w:p w14:paraId="37834302" w14:textId="77777777" w:rsidR="007E7BB7" w:rsidRPr="00DB3C11" w:rsidRDefault="007E7BB7" w:rsidP="007E7BB7">
            <w:pPr>
              <w:pStyle w:val="NoSpacing"/>
            </w:pPr>
            <w:r w:rsidRPr="00DB3C11">
              <w:t>5</w:t>
            </w:r>
            <w:r>
              <w:t xml:space="preserve"> Sessions.</w:t>
            </w:r>
          </w:p>
          <w:p w14:paraId="41AE7BEB" w14:textId="77777777" w:rsidR="007E7BB7" w:rsidRPr="00DB3C11" w:rsidRDefault="007E7BB7" w:rsidP="007E7BB7">
            <w:pPr>
              <w:pStyle w:val="NoSpacing"/>
            </w:pPr>
            <w:r w:rsidRPr="00DB3C11">
              <w:t>6 weeks</w:t>
            </w:r>
            <w:r>
              <w:t>.</w:t>
            </w:r>
          </w:p>
        </w:tc>
        <w:tc>
          <w:tcPr>
            <w:tcW w:w="850" w:type="dxa"/>
          </w:tcPr>
          <w:p w14:paraId="5DD4B831" w14:textId="77777777" w:rsidR="007E7BB7" w:rsidRPr="00DB3C11" w:rsidRDefault="007E7BB7" w:rsidP="007E7BB7">
            <w:pPr>
              <w:pStyle w:val="NoSpacing"/>
            </w:pPr>
            <w:r>
              <w:t xml:space="preserve">1. </w:t>
            </w:r>
            <w:r w:rsidRPr="00DB3C11">
              <w:t>Blue Pages</w:t>
            </w:r>
          </w:p>
          <w:p w14:paraId="44AB1720" w14:textId="77777777" w:rsidR="007E7BB7" w:rsidRPr="00DB3C11" w:rsidRDefault="007E7BB7" w:rsidP="007E7BB7">
            <w:pPr>
              <w:pStyle w:val="NoSpacing"/>
            </w:pPr>
            <w:r>
              <w:t xml:space="preserve">2. </w:t>
            </w:r>
            <w:r w:rsidRPr="00DB3C11">
              <w:t>Attention placebo</w:t>
            </w:r>
          </w:p>
        </w:tc>
        <w:tc>
          <w:tcPr>
            <w:tcW w:w="993" w:type="dxa"/>
          </w:tcPr>
          <w:p w14:paraId="72A312F8" w14:textId="77777777" w:rsidR="007E7BB7" w:rsidRPr="00DB3C11" w:rsidRDefault="007E7BB7" w:rsidP="007E7BB7">
            <w:pPr>
              <w:pStyle w:val="NoSpacing"/>
            </w:pPr>
            <w:r w:rsidRPr="00DB3C11">
              <w:t>CES-D</w:t>
            </w:r>
          </w:p>
        </w:tc>
        <w:tc>
          <w:tcPr>
            <w:tcW w:w="1134" w:type="dxa"/>
          </w:tcPr>
          <w:p w14:paraId="751BA6F5" w14:textId="77777777" w:rsidR="007E7BB7" w:rsidRPr="00DB3C11" w:rsidRDefault="007E7BB7" w:rsidP="007E7BB7">
            <w:pPr>
              <w:pStyle w:val="NoSpacing"/>
            </w:pPr>
            <w:r>
              <w:t>e</w:t>
            </w:r>
            <w:r>
              <w:noBreakHyphen/>
              <w:t xml:space="preserve">therapy - </w:t>
            </w:r>
            <w:r w:rsidRPr="00DB3C11">
              <w:t>42% (76)</w:t>
            </w:r>
          </w:p>
          <w:p w14:paraId="40E0F060" w14:textId="77777777" w:rsidR="007E7BB7" w:rsidRPr="00DB3C11" w:rsidRDefault="007E7BB7" w:rsidP="007E7BB7">
            <w:pPr>
              <w:pStyle w:val="NoSpacing"/>
            </w:pPr>
            <w:r>
              <w:t xml:space="preserve">1. </w:t>
            </w:r>
            <w:r w:rsidRPr="00DB3C11">
              <w:t>30% (50)</w:t>
            </w:r>
          </w:p>
          <w:p w14:paraId="107277F5" w14:textId="77777777" w:rsidR="007E7BB7" w:rsidRPr="00DB3C11" w:rsidRDefault="007E7BB7" w:rsidP="007E7BB7">
            <w:pPr>
              <w:pStyle w:val="NoSpacing"/>
            </w:pPr>
            <w:r>
              <w:t xml:space="preserve">2. </w:t>
            </w:r>
            <w:r w:rsidRPr="00DB3C11">
              <w:t>26% (47)</w:t>
            </w:r>
          </w:p>
        </w:tc>
        <w:tc>
          <w:tcPr>
            <w:tcW w:w="777" w:type="dxa"/>
          </w:tcPr>
          <w:p w14:paraId="1270A6C2" w14:textId="77777777" w:rsidR="007E7BB7" w:rsidRPr="00DB3C11" w:rsidRDefault="007E7BB7" w:rsidP="007E7BB7">
            <w:pPr>
              <w:pStyle w:val="NoSpacing"/>
            </w:pPr>
            <w:r w:rsidRPr="00DB3C11">
              <w:t xml:space="preserve">6 months </w:t>
            </w:r>
          </w:p>
        </w:tc>
      </w:tr>
      <w:tr w:rsidR="007E7BB7" w:rsidRPr="00DB3C11" w14:paraId="41918244" w14:textId="77777777" w:rsidTr="007E7BB7">
        <w:trPr>
          <w:trHeight w:val="378"/>
        </w:trPr>
        <w:tc>
          <w:tcPr>
            <w:tcW w:w="1200" w:type="dxa"/>
          </w:tcPr>
          <w:p w14:paraId="2AE45197" w14:textId="77777777" w:rsidR="007E7BB7" w:rsidRPr="00DB3C11" w:rsidRDefault="007E7BB7" w:rsidP="007E7BB7">
            <w:pPr>
              <w:pStyle w:val="NoSpacing"/>
            </w:pPr>
            <w:proofErr w:type="spellStart"/>
            <w:r w:rsidRPr="00DB3C11">
              <w:t>SilverCloud</w:t>
            </w:r>
            <w:proofErr w:type="spellEnd"/>
            <w:r w:rsidRPr="00DB3C11">
              <w:t xml:space="preserve"> Health</w:t>
            </w:r>
          </w:p>
        </w:tc>
        <w:tc>
          <w:tcPr>
            <w:tcW w:w="1201" w:type="dxa"/>
          </w:tcPr>
          <w:p w14:paraId="141AE274" w14:textId="77777777" w:rsidR="007E7BB7" w:rsidRPr="00DB3C11" w:rsidRDefault="007E7BB7" w:rsidP="007E7BB7">
            <w:pPr>
              <w:pStyle w:val="NoSpacing"/>
            </w:pPr>
            <w:r w:rsidRPr="00DB3C11">
              <w:fldChar w:fldCharType="begin" w:fldLock="1"/>
            </w:r>
            <w:r>
              <w:instrText>ADDIN CSL_CITATION {"citationItems":[{"id":"ITEM-1","itemData":{"DOI":"10.1016/j.brat.2015.10.005","ISBN":"1471-244X","ISSN":"1873622X","PMID":"26523885","abstract":"Background: Internet-delivered treatments for depression have proved successful, with supported programs offering the potential for improved adherence and outcomes. Internet interventions are particularly interesting in the context of increasing access to interventions, and delivering interventions population-wide. Methods: The study was a randomized controlled trial of an 7-module internet-delivered cognitive behavioral therapy (iCBT) program for adults with depressive symptoms (n = 96) compared to a waiting-list control group (n = 92). Participants received weekly support from a trained supporter. The primary outcome was depressive symptoms as measured by the Beck Depression Inventory (BDI-II). The program was made available nationwide from an established and recognized charity for depression. Results: For the treatment group, post-treatment effect sizes reported were large for the primary outcome measure (d = 0.91). The between-group effects were moderate to large and statistically significant for the primary outcomes (d = 0.50) favoring the treatment group. Gains were maintained at 6-month follow-up. Conclusion: The study has demonstrated the efficacy of the internet-delivered Space from Depression treatment. Participants demonstrated reliable and statistically significant changes in symptoms from pre-to post-intervention. The study supports a model for delivering online depression interventions population-wide using trained supporters. Trial registration number: Current Controlled Trials ISRCTN03704676. http://dx.doi.org/10.1186/ISRCTN03704676.","author":[{"dropping-particle":"","family":"Richards","given":"D.","non-dropping-particle":"","parse-names":false,"suffix":""},{"dropping-particle":"","family":"Timulak","given":"L.","non-dropping-particle":"","parse-names":false,"suffix":""},{"dropping-particle":"","family":"O'Brien","given":"E.","non-dropping-particle":"","parse-names":false,"suffix":""},{"dropping-particle":"","family":"Hayes","given":"C.","non-dropping-particle":"","parse-names":false,"suffix":""},{"dropping-particle":"","family":"Vigano","given":"N.","non-dropping-particle":"","parse-names":false,"suffix":""},{"dropping-particle":"","family":"Sharry","given":"J.","non-dropping-particle":"","parse-names":false,"suffix":""},{"dropping-particle":"","family":"Doherty","given":"G.","non-dropping-particle":"","parse-names":false,"suffix":""}],"container-title":"Behaviour Research and Therapy","id":"ITEM-1","issued":{"date-parts":[["2015"]]},"page":"20-31","publisher":"Elsevier Ltd","title":"A randomized controlled trial of an internet-delivered treatment: Its potential as a low-intensity community intervention for adults with symptoms of depression","type":"article-journal","volume":"75"},"uris":["http://www.mendeley.com/documents/?uuid=188212ae-cd18-4723-89d5-ff1f97f6cfd6"]}],"mendeley":{"formattedCitation":"(Richards &lt;i&gt;et al.&lt;/i&gt;, 2015)","manualFormatting":"Richards et al. (2015)","plainTextFormattedCitation":"(Richards et al., 2015)","previouslyFormattedCitation":"(Richards &lt;i&gt;et al.&lt;/i&gt;, 2015)"},"properties":{"noteIndex":0},"schema":"https://github.com/citation-style-language/schema/raw/master/csl-citation.json"}</w:instrText>
            </w:r>
            <w:r w:rsidRPr="00DB3C11">
              <w:fldChar w:fldCharType="separate"/>
            </w:r>
            <w:r w:rsidRPr="00DB3C11">
              <w:rPr>
                <w:noProof/>
              </w:rPr>
              <w:t>Richards et al. (2015)</w:t>
            </w:r>
            <w:r w:rsidRPr="00DB3C11">
              <w:fldChar w:fldCharType="end"/>
            </w:r>
          </w:p>
        </w:tc>
        <w:tc>
          <w:tcPr>
            <w:tcW w:w="2102" w:type="dxa"/>
            <w:shd w:val="clear" w:color="auto" w:fill="auto"/>
          </w:tcPr>
          <w:p w14:paraId="666E3263" w14:textId="77777777" w:rsidR="007E7BB7" w:rsidRDefault="007E7BB7" w:rsidP="007E7BB7">
            <w:pPr>
              <w:pStyle w:val="NoSpacing"/>
            </w:pPr>
            <w:r>
              <w:t>U</w:t>
            </w:r>
            <w:r w:rsidRPr="009A611A">
              <w:t>sers of the Aware</w:t>
            </w:r>
            <w:r>
              <w:t xml:space="preserve"> </w:t>
            </w:r>
            <w:r w:rsidRPr="009A611A">
              <w:t>charity</w:t>
            </w:r>
          </w:p>
          <w:p w14:paraId="2C8FED49" w14:textId="77777777" w:rsidR="007E7BB7" w:rsidRDefault="007E7BB7" w:rsidP="007E7BB7">
            <w:pPr>
              <w:pStyle w:val="NoSpacing"/>
            </w:pPr>
            <w:r w:rsidRPr="00DB3C11">
              <w:t>Community sample</w:t>
            </w:r>
          </w:p>
          <w:p w14:paraId="288EE3E3" w14:textId="77777777" w:rsidR="007E7BB7" w:rsidRPr="00DB3C11" w:rsidRDefault="007E7BB7" w:rsidP="007E7BB7">
            <w:pPr>
              <w:pStyle w:val="NoSpacing"/>
            </w:pPr>
            <w:r>
              <w:t>Mild/Moderate depression.</w:t>
            </w:r>
          </w:p>
        </w:tc>
        <w:tc>
          <w:tcPr>
            <w:tcW w:w="708" w:type="dxa"/>
          </w:tcPr>
          <w:p w14:paraId="0CC93131" w14:textId="77777777" w:rsidR="007E7BB7" w:rsidRPr="00DB3C11" w:rsidRDefault="007E7BB7" w:rsidP="007E7BB7">
            <w:pPr>
              <w:pStyle w:val="NoSpacing"/>
            </w:pPr>
            <w:r w:rsidRPr="00DB3C11">
              <w:t>188</w:t>
            </w:r>
          </w:p>
          <w:p w14:paraId="1D70E158" w14:textId="77777777" w:rsidR="007E7BB7" w:rsidRPr="00DB3C11" w:rsidRDefault="007E7BB7" w:rsidP="007E7BB7">
            <w:pPr>
              <w:pStyle w:val="NoSpacing"/>
            </w:pPr>
            <w:r w:rsidRPr="00DB3C11">
              <w:t>(262)</w:t>
            </w:r>
          </w:p>
        </w:tc>
        <w:tc>
          <w:tcPr>
            <w:tcW w:w="851" w:type="dxa"/>
          </w:tcPr>
          <w:p w14:paraId="0E81BDD2" w14:textId="77777777" w:rsidR="007E7BB7" w:rsidRPr="00DB3C11" w:rsidRDefault="007E7BB7" w:rsidP="007E7BB7">
            <w:pPr>
              <w:pStyle w:val="NoSpacing"/>
            </w:pPr>
            <w:r w:rsidRPr="00DB3C11">
              <w:t>39.86 (10.94)</w:t>
            </w:r>
          </w:p>
        </w:tc>
        <w:tc>
          <w:tcPr>
            <w:tcW w:w="1276" w:type="dxa"/>
          </w:tcPr>
          <w:p w14:paraId="225BD464" w14:textId="77777777" w:rsidR="007E7BB7" w:rsidRDefault="007E7BB7" w:rsidP="007E7BB7">
            <w:pPr>
              <w:pStyle w:val="NoSpacing"/>
            </w:pPr>
            <w:r>
              <w:t>27.13%</w:t>
            </w:r>
          </w:p>
          <w:p w14:paraId="37EFD586" w14:textId="77777777" w:rsidR="007E7BB7" w:rsidRPr="00DB3C11" w:rsidRDefault="007E7BB7" w:rsidP="007E7BB7">
            <w:pPr>
              <w:pStyle w:val="NoSpacing"/>
            </w:pPr>
            <w:r>
              <w:t>(51)</w:t>
            </w:r>
          </w:p>
        </w:tc>
        <w:tc>
          <w:tcPr>
            <w:tcW w:w="1701" w:type="dxa"/>
          </w:tcPr>
          <w:p w14:paraId="06DF3D51" w14:textId="77777777" w:rsidR="007E7BB7" w:rsidRPr="00DB3C11" w:rsidRDefault="007E7BB7" w:rsidP="007E7BB7">
            <w:pPr>
              <w:pStyle w:val="NoSpacing"/>
            </w:pPr>
            <w:r w:rsidRPr="00DB3C11">
              <w:t xml:space="preserve">No </w:t>
            </w:r>
            <w:r>
              <w:t>COI.</w:t>
            </w:r>
          </w:p>
          <w:p w14:paraId="3D3FF26A" w14:textId="77777777" w:rsidR="007E7BB7" w:rsidRPr="00DB3C11" w:rsidRDefault="007E7BB7" w:rsidP="007E7BB7">
            <w:pPr>
              <w:pStyle w:val="NoSpacing"/>
            </w:pPr>
            <w:r w:rsidRPr="00DB3C11">
              <w:t>ITT</w:t>
            </w:r>
          </w:p>
        </w:tc>
        <w:tc>
          <w:tcPr>
            <w:tcW w:w="2126" w:type="dxa"/>
          </w:tcPr>
          <w:p w14:paraId="5943A9DE" w14:textId="77777777" w:rsidR="007E7BB7" w:rsidRDefault="007E7BB7" w:rsidP="007E7BB7">
            <w:pPr>
              <w:pStyle w:val="NoSpacing"/>
            </w:pPr>
            <w:r>
              <w:t>M</w:t>
            </w:r>
            <w:r w:rsidRPr="0054496B">
              <w:t>inimal-contact therapy</w:t>
            </w:r>
            <w:r>
              <w:t>,</w:t>
            </w:r>
          </w:p>
          <w:p w14:paraId="13D88FEE" w14:textId="77777777" w:rsidR="007E7BB7" w:rsidRDefault="007E7BB7" w:rsidP="007E7BB7">
            <w:pPr>
              <w:pStyle w:val="NoSpacing"/>
            </w:pPr>
            <w:r w:rsidRPr="00DB3C11">
              <w:t>8 modules</w:t>
            </w:r>
            <w:r>
              <w:t>.</w:t>
            </w:r>
            <w:r w:rsidRPr="00DB3C11">
              <w:br/>
              <w:t>No time limit</w:t>
            </w:r>
            <w:r>
              <w:t>.</w:t>
            </w:r>
          </w:p>
          <w:p w14:paraId="76164E9C" w14:textId="77777777" w:rsidR="007E7BB7" w:rsidRPr="00DB3C11" w:rsidRDefault="007E7BB7" w:rsidP="007E7BB7">
            <w:pPr>
              <w:pStyle w:val="NoSpacing"/>
            </w:pPr>
          </w:p>
        </w:tc>
        <w:tc>
          <w:tcPr>
            <w:tcW w:w="850" w:type="dxa"/>
          </w:tcPr>
          <w:p w14:paraId="50D2BCDE" w14:textId="77777777" w:rsidR="007E7BB7" w:rsidRPr="00DB3C11" w:rsidRDefault="007E7BB7" w:rsidP="007E7BB7">
            <w:pPr>
              <w:pStyle w:val="NoSpacing"/>
            </w:pPr>
            <w:r>
              <w:t xml:space="preserve">1. </w:t>
            </w:r>
            <w:r w:rsidRPr="00DB3C11">
              <w:t>Waiting list</w:t>
            </w:r>
          </w:p>
        </w:tc>
        <w:tc>
          <w:tcPr>
            <w:tcW w:w="993" w:type="dxa"/>
          </w:tcPr>
          <w:p w14:paraId="3FA476C7" w14:textId="77777777" w:rsidR="007E7BB7" w:rsidRPr="00DB3C11" w:rsidRDefault="007E7BB7" w:rsidP="007E7BB7">
            <w:pPr>
              <w:pStyle w:val="NoSpacing"/>
            </w:pPr>
            <w:r w:rsidRPr="00DB3C11">
              <w:t>BDI</w:t>
            </w:r>
          </w:p>
        </w:tc>
        <w:tc>
          <w:tcPr>
            <w:tcW w:w="1134" w:type="dxa"/>
          </w:tcPr>
          <w:p w14:paraId="236D79E0" w14:textId="77777777" w:rsidR="007E7BB7" w:rsidRPr="00DB3C11" w:rsidRDefault="007E7BB7" w:rsidP="007E7BB7">
            <w:pPr>
              <w:pStyle w:val="NoSpacing"/>
            </w:pPr>
            <w:r>
              <w:t>e</w:t>
            </w:r>
            <w:r>
              <w:noBreakHyphen/>
              <w:t xml:space="preserve">therapy - </w:t>
            </w:r>
            <w:r w:rsidRPr="00DB3C11">
              <w:t>55% (73)</w:t>
            </w:r>
          </w:p>
          <w:p w14:paraId="39E94816" w14:textId="77777777" w:rsidR="007E7BB7" w:rsidRPr="00DB3C11" w:rsidRDefault="007E7BB7" w:rsidP="007E7BB7">
            <w:pPr>
              <w:pStyle w:val="NoSpacing"/>
            </w:pPr>
            <w:r>
              <w:t xml:space="preserve">1. </w:t>
            </w:r>
            <w:r w:rsidRPr="00DB3C11">
              <w:t>29% (37)</w:t>
            </w:r>
          </w:p>
        </w:tc>
        <w:tc>
          <w:tcPr>
            <w:tcW w:w="777" w:type="dxa"/>
          </w:tcPr>
          <w:p w14:paraId="457F594C" w14:textId="77777777" w:rsidR="007E7BB7" w:rsidRPr="00DB3C11" w:rsidRDefault="007E7BB7" w:rsidP="007E7BB7">
            <w:pPr>
              <w:pStyle w:val="NoSpacing"/>
            </w:pPr>
            <w:r w:rsidRPr="00DB3C11">
              <w:t xml:space="preserve">6 months </w:t>
            </w:r>
          </w:p>
        </w:tc>
      </w:tr>
      <w:bookmarkEnd w:id="252"/>
    </w:tbl>
    <w:p w14:paraId="42FA6F74" w14:textId="77777777" w:rsidR="007E7BB7" w:rsidRPr="007E7BB7" w:rsidRDefault="007E7BB7" w:rsidP="007E7BB7"/>
    <w:p w14:paraId="2C1F9916" w14:textId="342FB288" w:rsidR="00F1508E" w:rsidRPr="007E7BB7" w:rsidRDefault="007E7BB7" w:rsidP="007E7BB7">
      <w:pPr>
        <w:pStyle w:val="Caption"/>
        <w:keepNext/>
        <w:sectPr w:rsidR="00F1508E" w:rsidRPr="007E7BB7" w:rsidSect="007E7BB7">
          <w:pgSz w:w="16838" w:h="11906" w:orient="landscape"/>
          <w:pgMar w:top="1134" w:right="851" w:bottom="851" w:left="851" w:header="708" w:footer="708" w:gutter="0"/>
          <w:cols w:space="708"/>
          <w:docGrid w:linePitch="360"/>
        </w:sectPr>
      </w:pPr>
      <w:proofErr w:type="gramStart"/>
      <w:r>
        <w:t>s</w:t>
      </w:r>
      <w:proofErr w:type="gramEnd"/>
    </w:p>
    <w:p w14:paraId="44C4D7CF" w14:textId="33B1BF55" w:rsidR="007E7BB7" w:rsidRDefault="00F1508E" w:rsidP="00B27113">
      <w:pPr>
        <w:pStyle w:val="Heading3"/>
      </w:pPr>
      <w:bookmarkStart w:id="253" w:name="_Toc530660506"/>
      <w:bookmarkStart w:id="254" w:name="_Toc3538107"/>
      <w:r w:rsidRPr="00DB3C11">
        <w:lastRenderedPageBreak/>
        <w:t xml:space="preserve">Characteristics of </w:t>
      </w:r>
      <w:r w:rsidR="00147EF9">
        <w:t>I</w:t>
      </w:r>
      <w:r w:rsidRPr="00DB3C11">
        <w:t xml:space="preserve">ncluded </w:t>
      </w:r>
      <w:r w:rsidR="00147EF9">
        <w:t>S</w:t>
      </w:r>
      <w:r w:rsidRPr="00DB3C11">
        <w:t>tudies</w:t>
      </w:r>
      <w:bookmarkEnd w:id="253"/>
      <w:bookmarkEnd w:id="254"/>
    </w:p>
    <w:p w14:paraId="5E5EC558" w14:textId="0797420A" w:rsidR="00F1508E" w:rsidRDefault="00F1508E" w:rsidP="007E7BB7">
      <w:r>
        <w:t>Out of the 51 NHS e</w:t>
      </w:r>
      <w:r>
        <w:noBreakHyphen/>
        <w:t>therapies identified in Bennion et al. (2017, presented in Chapter 2) a total of 6 were found to have studies of their efficacy that fitted the inclusion criterion for the meta-analysis and comprised of 5 e</w:t>
      </w:r>
      <w:r>
        <w:noBreakHyphen/>
        <w:t>therapies and 1 phone-based e</w:t>
      </w:r>
      <w:r>
        <w:noBreakHyphen/>
        <w:t>therapy.  The survey taken by developers of these e</w:t>
      </w:r>
      <w:r>
        <w:noBreakHyphen/>
        <w:t xml:space="preserve">therapies in Chapter 3 found that the 5 </w:t>
      </w:r>
      <w:r w:rsidRPr="005E6574">
        <w:t xml:space="preserve">web-based </w:t>
      </w:r>
      <w:r>
        <w:t>e</w:t>
      </w:r>
      <w:r>
        <w:noBreakHyphen/>
        <w:t>therapies</w:t>
      </w:r>
      <w:r w:rsidRPr="005E6574">
        <w:t xml:space="preserve"> </w:t>
      </w:r>
      <w:r>
        <w:t>had both clinical and academic involvement in their development</w:t>
      </w:r>
      <w:r w:rsidR="00554CB4">
        <w:t xml:space="preserve">.  </w:t>
      </w:r>
      <w:r>
        <w:t>The single</w:t>
      </w:r>
      <w:r w:rsidRPr="005E6574">
        <w:t xml:space="preserve"> phone-based </w:t>
      </w:r>
      <w:r>
        <w:t>e</w:t>
      </w:r>
      <w:r>
        <w:noBreakHyphen/>
        <w:t xml:space="preserve">therapy </w:t>
      </w:r>
      <w:r w:rsidRPr="005E6574">
        <w:t>had neither</w:t>
      </w:r>
      <w:r>
        <w:t xml:space="preserve"> clinical nor academic involvement in its development.</w:t>
      </w:r>
    </w:p>
    <w:p w14:paraId="74C5A1D9" w14:textId="1E79DDC3" w:rsidR="00F1508E" w:rsidRDefault="00F1508E" w:rsidP="00F1508E">
      <w:pPr>
        <w:pStyle w:val="Caption"/>
        <w:keepNext/>
      </w:pPr>
      <w:bookmarkStart w:id="255" w:name="_Toc530759488"/>
      <w:proofErr w:type="gramStart"/>
      <w:r>
        <w:t xml:space="preserve">Table </w:t>
      </w:r>
      <w:r w:rsidR="007E7BB7">
        <w:fldChar w:fldCharType="begin"/>
      </w:r>
      <w:r w:rsidR="007E7BB7">
        <w:instrText xml:space="preserve"> STYLEREF 1 \s </w:instrText>
      </w:r>
      <w:r w:rsidR="007E7BB7">
        <w:fldChar w:fldCharType="separate"/>
      </w:r>
      <w:r w:rsidR="00574650">
        <w:rPr>
          <w:noProof/>
        </w:rPr>
        <w:t>4</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r w:rsidR="00574650">
        <w:rPr>
          <w:noProof/>
        </w:rPr>
        <w:t>3</w:t>
      </w:r>
      <w:r w:rsidR="007E7BB7">
        <w:fldChar w:fldCharType="end"/>
      </w:r>
      <w:r>
        <w:rPr>
          <w:noProof/>
        </w:rPr>
        <w:t xml:space="preserve"> E</w:t>
      </w:r>
      <w:r>
        <w:rPr>
          <w:noProof/>
        </w:rPr>
        <w:noBreakHyphen/>
        <w:t>therapies with studies</w:t>
      </w:r>
      <w:bookmarkEnd w:id="255"/>
    </w:p>
    <w:tbl>
      <w:tblPr>
        <w:tblStyle w:val="TableGrid"/>
        <w:tblW w:w="4942" w:type="pct"/>
        <w:jc w:val="center"/>
        <w:tblCellMar>
          <w:top w:w="57" w:type="dxa"/>
          <w:bottom w:w="57" w:type="dxa"/>
        </w:tblCellMar>
        <w:tblLook w:val="04A0" w:firstRow="1" w:lastRow="0" w:firstColumn="1" w:lastColumn="0" w:noHBand="0" w:noVBand="1"/>
      </w:tblPr>
      <w:tblGrid>
        <w:gridCol w:w="2957"/>
        <w:gridCol w:w="1766"/>
        <w:gridCol w:w="1766"/>
        <w:gridCol w:w="1765"/>
        <w:gridCol w:w="1765"/>
      </w:tblGrid>
      <w:tr w:rsidR="00F1508E" w:rsidRPr="00740AE3" w14:paraId="109DC444" w14:textId="77777777" w:rsidTr="00D075F6">
        <w:trPr>
          <w:trHeight w:val="22"/>
          <w:jc w:val="center"/>
        </w:trPr>
        <w:tc>
          <w:tcPr>
            <w:tcW w:w="1475" w:type="pct"/>
            <w:tcBorders>
              <w:top w:val="single" w:sz="4" w:space="0" w:color="auto"/>
              <w:left w:val="nil"/>
              <w:bottom w:val="single" w:sz="4" w:space="0" w:color="auto"/>
              <w:right w:val="nil"/>
            </w:tcBorders>
            <w:vAlign w:val="center"/>
          </w:tcPr>
          <w:p w14:paraId="5CDEFCB7" w14:textId="77777777" w:rsidR="00F1508E" w:rsidRPr="00740AE3" w:rsidRDefault="00F1508E" w:rsidP="00D075F6">
            <w:pPr>
              <w:pStyle w:val="NoSpacing"/>
              <w:rPr>
                <w:b/>
                <w:sz w:val="16"/>
                <w:szCs w:val="16"/>
              </w:rPr>
            </w:pPr>
            <w:r w:rsidRPr="00740AE3">
              <w:rPr>
                <w:b/>
                <w:sz w:val="16"/>
                <w:szCs w:val="16"/>
              </w:rPr>
              <w:t>App</w:t>
            </w:r>
          </w:p>
        </w:tc>
        <w:tc>
          <w:tcPr>
            <w:tcW w:w="881" w:type="pct"/>
            <w:tcBorders>
              <w:top w:val="single" w:sz="4" w:space="0" w:color="auto"/>
              <w:left w:val="nil"/>
              <w:bottom w:val="single" w:sz="4" w:space="0" w:color="auto"/>
              <w:right w:val="nil"/>
            </w:tcBorders>
            <w:vAlign w:val="center"/>
          </w:tcPr>
          <w:p w14:paraId="7191CE1F" w14:textId="77777777" w:rsidR="00F1508E" w:rsidRPr="00740AE3" w:rsidRDefault="00F1508E" w:rsidP="00D075F6">
            <w:pPr>
              <w:pStyle w:val="NoSpacing"/>
              <w:jc w:val="center"/>
              <w:rPr>
                <w:b/>
                <w:sz w:val="16"/>
                <w:szCs w:val="16"/>
              </w:rPr>
            </w:pPr>
            <w:r w:rsidRPr="00366B65">
              <w:rPr>
                <w:i/>
                <w:sz w:val="16"/>
              </w:rPr>
              <w:t>Web or phone-based delivery (W/P)</w:t>
            </w:r>
          </w:p>
        </w:tc>
        <w:tc>
          <w:tcPr>
            <w:tcW w:w="881" w:type="pct"/>
            <w:tcBorders>
              <w:top w:val="single" w:sz="4" w:space="0" w:color="auto"/>
              <w:left w:val="nil"/>
              <w:bottom w:val="single" w:sz="4" w:space="0" w:color="auto"/>
              <w:right w:val="nil"/>
            </w:tcBorders>
            <w:vAlign w:val="center"/>
          </w:tcPr>
          <w:p w14:paraId="019D6CB5" w14:textId="77777777" w:rsidR="00F1508E" w:rsidRPr="00740AE3" w:rsidRDefault="00F1508E" w:rsidP="00D075F6">
            <w:pPr>
              <w:pStyle w:val="NoSpacing"/>
              <w:jc w:val="center"/>
              <w:rPr>
                <w:b/>
                <w:sz w:val="16"/>
                <w:szCs w:val="16"/>
              </w:rPr>
            </w:pPr>
            <w:r w:rsidRPr="00366B65">
              <w:rPr>
                <w:i/>
                <w:sz w:val="16"/>
              </w:rPr>
              <w:t>Clinical involvement in development and testing</w:t>
            </w:r>
          </w:p>
        </w:tc>
        <w:tc>
          <w:tcPr>
            <w:tcW w:w="881" w:type="pct"/>
            <w:tcBorders>
              <w:top w:val="single" w:sz="4" w:space="0" w:color="auto"/>
              <w:left w:val="nil"/>
              <w:bottom w:val="single" w:sz="4" w:space="0" w:color="auto"/>
              <w:right w:val="nil"/>
            </w:tcBorders>
            <w:vAlign w:val="center"/>
          </w:tcPr>
          <w:p w14:paraId="0F600F88" w14:textId="77777777" w:rsidR="00F1508E" w:rsidRPr="00740AE3" w:rsidRDefault="00F1508E" w:rsidP="00D075F6">
            <w:pPr>
              <w:pStyle w:val="NoSpacing"/>
              <w:jc w:val="center"/>
              <w:rPr>
                <w:b/>
                <w:sz w:val="16"/>
                <w:szCs w:val="16"/>
              </w:rPr>
            </w:pPr>
            <w:r w:rsidRPr="00366B65">
              <w:rPr>
                <w:i/>
                <w:sz w:val="16"/>
              </w:rPr>
              <w:t>Academic involvement in development and testing</w:t>
            </w:r>
          </w:p>
        </w:tc>
        <w:tc>
          <w:tcPr>
            <w:tcW w:w="881" w:type="pct"/>
            <w:tcBorders>
              <w:top w:val="single" w:sz="4" w:space="0" w:color="auto"/>
              <w:left w:val="nil"/>
              <w:bottom w:val="single" w:sz="4" w:space="0" w:color="auto"/>
              <w:right w:val="nil"/>
            </w:tcBorders>
            <w:vAlign w:val="center"/>
          </w:tcPr>
          <w:p w14:paraId="73409B96" w14:textId="77777777" w:rsidR="00F1508E" w:rsidRPr="00740AE3" w:rsidRDefault="00F1508E" w:rsidP="00D075F6">
            <w:pPr>
              <w:pStyle w:val="NoSpacing"/>
              <w:jc w:val="center"/>
              <w:rPr>
                <w:b/>
                <w:sz w:val="16"/>
                <w:szCs w:val="16"/>
              </w:rPr>
            </w:pPr>
            <w:r w:rsidRPr="00366B65">
              <w:rPr>
                <w:i/>
                <w:sz w:val="16"/>
              </w:rPr>
              <w:t>Psychological theory used and associated clinical approach</w:t>
            </w:r>
          </w:p>
        </w:tc>
      </w:tr>
      <w:tr w:rsidR="00F1508E" w:rsidRPr="00740AE3" w14:paraId="31D51388" w14:textId="77777777" w:rsidTr="00D075F6">
        <w:trPr>
          <w:jc w:val="center"/>
        </w:trPr>
        <w:tc>
          <w:tcPr>
            <w:tcW w:w="1475" w:type="pct"/>
            <w:tcBorders>
              <w:top w:val="nil"/>
              <w:left w:val="nil"/>
              <w:bottom w:val="nil"/>
              <w:right w:val="nil"/>
            </w:tcBorders>
            <w:shd w:val="clear" w:color="auto" w:fill="FFFFFF" w:themeFill="background1"/>
            <w:vAlign w:val="center"/>
          </w:tcPr>
          <w:p w14:paraId="0F7F1CD4" w14:textId="77777777" w:rsidR="00F1508E" w:rsidRPr="00740AE3" w:rsidRDefault="00F1508E" w:rsidP="00D075F6">
            <w:pPr>
              <w:pStyle w:val="NoSpacing"/>
              <w:rPr>
                <w:sz w:val="16"/>
                <w:szCs w:val="16"/>
              </w:rPr>
            </w:pPr>
            <w:r w:rsidRPr="00740AE3">
              <w:rPr>
                <w:sz w:val="16"/>
                <w:szCs w:val="16"/>
              </w:rPr>
              <w:t>Beating the Blues</w:t>
            </w:r>
          </w:p>
        </w:tc>
        <w:tc>
          <w:tcPr>
            <w:tcW w:w="881" w:type="pct"/>
            <w:tcBorders>
              <w:top w:val="nil"/>
              <w:left w:val="nil"/>
              <w:bottom w:val="nil"/>
              <w:right w:val="nil"/>
            </w:tcBorders>
            <w:shd w:val="clear" w:color="auto" w:fill="FFFFFF" w:themeFill="background1"/>
            <w:vAlign w:val="center"/>
          </w:tcPr>
          <w:p w14:paraId="1A81A65E" w14:textId="77777777" w:rsidR="00F1508E" w:rsidRPr="00740AE3" w:rsidRDefault="00F1508E" w:rsidP="00D075F6">
            <w:pPr>
              <w:pStyle w:val="NoSpacing"/>
              <w:jc w:val="center"/>
              <w:rPr>
                <w:sz w:val="16"/>
                <w:szCs w:val="16"/>
              </w:rPr>
            </w:pPr>
            <w:r w:rsidRPr="00740AE3">
              <w:rPr>
                <w:sz w:val="16"/>
                <w:szCs w:val="16"/>
              </w:rPr>
              <w:t>Web-based</w:t>
            </w:r>
          </w:p>
        </w:tc>
        <w:tc>
          <w:tcPr>
            <w:tcW w:w="881" w:type="pct"/>
            <w:tcBorders>
              <w:top w:val="nil"/>
              <w:left w:val="nil"/>
              <w:bottom w:val="nil"/>
              <w:right w:val="nil"/>
            </w:tcBorders>
            <w:shd w:val="clear" w:color="auto" w:fill="FFFFFF" w:themeFill="background1"/>
            <w:vAlign w:val="center"/>
          </w:tcPr>
          <w:p w14:paraId="7AD82435" w14:textId="77777777" w:rsidR="00F1508E" w:rsidRPr="00740AE3" w:rsidRDefault="00F1508E" w:rsidP="00D075F6">
            <w:pPr>
              <w:pStyle w:val="NoSpacing"/>
              <w:jc w:val="center"/>
              <w:rPr>
                <w:sz w:val="16"/>
                <w:szCs w:val="16"/>
              </w:rPr>
            </w:pPr>
            <w:r w:rsidRPr="00740AE3">
              <w:rPr>
                <w:sz w:val="16"/>
                <w:szCs w:val="16"/>
              </w:rPr>
              <w:t>Y</w:t>
            </w:r>
          </w:p>
        </w:tc>
        <w:tc>
          <w:tcPr>
            <w:tcW w:w="881" w:type="pct"/>
            <w:tcBorders>
              <w:top w:val="nil"/>
              <w:left w:val="nil"/>
              <w:bottom w:val="nil"/>
              <w:right w:val="nil"/>
            </w:tcBorders>
            <w:shd w:val="clear" w:color="auto" w:fill="FFFFFF" w:themeFill="background1"/>
            <w:vAlign w:val="center"/>
          </w:tcPr>
          <w:p w14:paraId="50F21112" w14:textId="77777777" w:rsidR="00F1508E" w:rsidRPr="00740AE3" w:rsidRDefault="00F1508E" w:rsidP="00D075F6">
            <w:pPr>
              <w:pStyle w:val="NoSpacing"/>
              <w:jc w:val="center"/>
              <w:rPr>
                <w:sz w:val="16"/>
                <w:szCs w:val="16"/>
              </w:rPr>
            </w:pPr>
            <w:r w:rsidRPr="00740AE3">
              <w:rPr>
                <w:sz w:val="16"/>
                <w:szCs w:val="16"/>
              </w:rPr>
              <w:t>Y</w:t>
            </w:r>
          </w:p>
        </w:tc>
        <w:tc>
          <w:tcPr>
            <w:tcW w:w="881" w:type="pct"/>
            <w:tcBorders>
              <w:top w:val="nil"/>
              <w:left w:val="nil"/>
              <w:bottom w:val="nil"/>
              <w:right w:val="nil"/>
            </w:tcBorders>
            <w:shd w:val="clear" w:color="auto" w:fill="FFFFFF" w:themeFill="background1"/>
            <w:vAlign w:val="center"/>
          </w:tcPr>
          <w:p w14:paraId="7185B747" w14:textId="77777777" w:rsidR="00F1508E" w:rsidRPr="00740AE3" w:rsidRDefault="00F1508E" w:rsidP="00D075F6">
            <w:pPr>
              <w:pStyle w:val="NoSpacing"/>
              <w:jc w:val="center"/>
              <w:rPr>
                <w:sz w:val="16"/>
                <w:szCs w:val="16"/>
              </w:rPr>
            </w:pPr>
            <w:r w:rsidRPr="00740AE3">
              <w:rPr>
                <w:sz w:val="16"/>
                <w:szCs w:val="16"/>
              </w:rPr>
              <w:t>CBT</w:t>
            </w:r>
          </w:p>
        </w:tc>
      </w:tr>
      <w:tr w:rsidR="00F1508E" w:rsidRPr="00740AE3" w14:paraId="046C2985" w14:textId="77777777" w:rsidTr="00D075F6">
        <w:trPr>
          <w:jc w:val="center"/>
        </w:trPr>
        <w:tc>
          <w:tcPr>
            <w:tcW w:w="1475" w:type="pct"/>
            <w:tcBorders>
              <w:top w:val="nil"/>
              <w:left w:val="nil"/>
              <w:bottom w:val="nil"/>
              <w:right w:val="nil"/>
            </w:tcBorders>
            <w:shd w:val="clear" w:color="auto" w:fill="FFFFFF" w:themeFill="background1"/>
            <w:vAlign w:val="center"/>
          </w:tcPr>
          <w:p w14:paraId="565B223F" w14:textId="77777777" w:rsidR="00F1508E" w:rsidRPr="00740AE3" w:rsidRDefault="00F1508E" w:rsidP="00D075F6">
            <w:pPr>
              <w:pStyle w:val="NoSpacing"/>
              <w:rPr>
                <w:sz w:val="16"/>
                <w:szCs w:val="16"/>
              </w:rPr>
            </w:pPr>
            <w:r w:rsidRPr="00740AE3">
              <w:rPr>
                <w:sz w:val="16"/>
                <w:szCs w:val="16"/>
              </w:rPr>
              <w:t>Fear Fighter</w:t>
            </w:r>
          </w:p>
        </w:tc>
        <w:tc>
          <w:tcPr>
            <w:tcW w:w="881" w:type="pct"/>
            <w:tcBorders>
              <w:top w:val="nil"/>
              <w:left w:val="nil"/>
              <w:bottom w:val="nil"/>
              <w:right w:val="nil"/>
            </w:tcBorders>
            <w:shd w:val="clear" w:color="auto" w:fill="FFFFFF" w:themeFill="background1"/>
            <w:vAlign w:val="center"/>
          </w:tcPr>
          <w:p w14:paraId="013D9C90" w14:textId="77777777" w:rsidR="00F1508E" w:rsidRPr="00740AE3" w:rsidRDefault="00F1508E" w:rsidP="00D075F6">
            <w:pPr>
              <w:pStyle w:val="NoSpacing"/>
              <w:jc w:val="center"/>
              <w:rPr>
                <w:sz w:val="16"/>
                <w:szCs w:val="16"/>
              </w:rPr>
            </w:pPr>
            <w:r w:rsidRPr="00740AE3">
              <w:rPr>
                <w:sz w:val="16"/>
                <w:szCs w:val="16"/>
              </w:rPr>
              <w:t>We</w:t>
            </w:r>
            <w:r>
              <w:rPr>
                <w:sz w:val="16"/>
                <w:szCs w:val="16"/>
              </w:rPr>
              <w:t>b</w:t>
            </w:r>
            <w:r w:rsidRPr="00740AE3">
              <w:rPr>
                <w:sz w:val="16"/>
                <w:szCs w:val="16"/>
              </w:rPr>
              <w:t>-based</w:t>
            </w:r>
          </w:p>
        </w:tc>
        <w:tc>
          <w:tcPr>
            <w:tcW w:w="881" w:type="pct"/>
            <w:tcBorders>
              <w:top w:val="nil"/>
              <w:left w:val="nil"/>
              <w:bottom w:val="nil"/>
              <w:right w:val="nil"/>
            </w:tcBorders>
            <w:shd w:val="clear" w:color="auto" w:fill="FFFFFF" w:themeFill="background1"/>
            <w:vAlign w:val="center"/>
          </w:tcPr>
          <w:p w14:paraId="33ABF357" w14:textId="77777777" w:rsidR="00F1508E" w:rsidRPr="00740AE3" w:rsidRDefault="00F1508E" w:rsidP="00D075F6">
            <w:pPr>
              <w:pStyle w:val="NoSpacing"/>
              <w:jc w:val="center"/>
              <w:rPr>
                <w:sz w:val="16"/>
                <w:szCs w:val="16"/>
              </w:rPr>
            </w:pPr>
            <w:r w:rsidRPr="00740AE3">
              <w:rPr>
                <w:sz w:val="16"/>
                <w:szCs w:val="16"/>
              </w:rPr>
              <w:t>Y</w:t>
            </w:r>
          </w:p>
        </w:tc>
        <w:tc>
          <w:tcPr>
            <w:tcW w:w="881" w:type="pct"/>
            <w:tcBorders>
              <w:top w:val="nil"/>
              <w:left w:val="nil"/>
              <w:bottom w:val="nil"/>
              <w:right w:val="nil"/>
            </w:tcBorders>
            <w:shd w:val="clear" w:color="auto" w:fill="FFFFFF" w:themeFill="background1"/>
            <w:vAlign w:val="center"/>
          </w:tcPr>
          <w:p w14:paraId="66A31ED4" w14:textId="77777777" w:rsidR="00F1508E" w:rsidRPr="00740AE3" w:rsidRDefault="00F1508E" w:rsidP="00D075F6">
            <w:pPr>
              <w:pStyle w:val="NoSpacing"/>
              <w:jc w:val="center"/>
              <w:rPr>
                <w:sz w:val="16"/>
                <w:szCs w:val="16"/>
              </w:rPr>
            </w:pPr>
            <w:r w:rsidRPr="00740AE3">
              <w:rPr>
                <w:sz w:val="16"/>
                <w:szCs w:val="16"/>
              </w:rPr>
              <w:t>Y</w:t>
            </w:r>
          </w:p>
        </w:tc>
        <w:tc>
          <w:tcPr>
            <w:tcW w:w="881" w:type="pct"/>
            <w:tcBorders>
              <w:top w:val="nil"/>
              <w:left w:val="nil"/>
              <w:bottom w:val="nil"/>
              <w:right w:val="nil"/>
            </w:tcBorders>
            <w:shd w:val="clear" w:color="auto" w:fill="FFFFFF" w:themeFill="background1"/>
            <w:vAlign w:val="center"/>
          </w:tcPr>
          <w:p w14:paraId="1AE2A8A3" w14:textId="77777777" w:rsidR="00F1508E" w:rsidRPr="00740AE3" w:rsidRDefault="00F1508E" w:rsidP="00D075F6">
            <w:pPr>
              <w:pStyle w:val="NoSpacing"/>
              <w:jc w:val="center"/>
              <w:rPr>
                <w:sz w:val="16"/>
                <w:szCs w:val="16"/>
              </w:rPr>
            </w:pPr>
            <w:r w:rsidRPr="00740AE3">
              <w:rPr>
                <w:sz w:val="16"/>
                <w:szCs w:val="16"/>
              </w:rPr>
              <w:t>CBT</w:t>
            </w:r>
          </w:p>
        </w:tc>
      </w:tr>
      <w:tr w:rsidR="00F1508E" w:rsidRPr="00740AE3" w14:paraId="754C133A" w14:textId="77777777" w:rsidTr="00D075F6">
        <w:trPr>
          <w:jc w:val="center"/>
        </w:trPr>
        <w:tc>
          <w:tcPr>
            <w:tcW w:w="1475" w:type="pct"/>
            <w:tcBorders>
              <w:top w:val="nil"/>
              <w:left w:val="nil"/>
              <w:bottom w:val="nil"/>
              <w:right w:val="nil"/>
            </w:tcBorders>
            <w:shd w:val="clear" w:color="auto" w:fill="FFFFFF" w:themeFill="background1"/>
            <w:vAlign w:val="center"/>
          </w:tcPr>
          <w:p w14:paraId="44817E8D" w14:textId="77777777" w:rsidR="00F1508E" w:rsidRPr="00740AE3" w:rsidRDefault="00F1508E" w:rsidP="00D075F6">
            <w:pPr>
              <w:pStyle w:val="NoSpacing"/>
              <w:rPr>
                <w:sz w:val="16"/>
                <w:szCs w:val="16"/>
              </w:rPr>
            </w:pPr>
            <w:r w:rsidRPr="00740AE3">
              <w:rPr>
                <w:sz w:val="16"/>
                <w:szCs w:val="16"/>
              </w:rPr>
              <w:t>Headspace</w:t>
            </w:r>
          </w:p>
        </w:tc>
        <w:tc>
          <w:tcPr>
            <w:tcW w:w="881" w:type="pct"/>
            <w:tcBorders>
              <w:top w:val="nil"/>
              <w:left w:val="nil"/>
              <w:bottom w:val="nil"/>
              <w:right w:val="nil"/>
            </w:tcBorders>
            <w:shd w:val="clear" w:color="auto" w:fill="FFFFFF" w:themeFill="background1"/>
            <w:vAlign w:val="center"/>
          </w:tcPr>
          <w:p w14:paraId="36E0B9A5" w14:textId="77777777" w:rsidR="00F1508E" w:rsidRPr="00740AE3" w:rsidRDefault="00F1508E" w:rsidP="00D075F6">
            <w:pPr>
              <w:pStyle w:val="NoSpacing"/>
              <w:jc w:val="center"/>
              <w:rPr>
                <w:sz w:val="16"/>
                <w:szCs w:val="16"/>
              </w:rPr>
            </w:pPr>
            <w:r w:rsidRPr="00740AE3">
              <w:rPr>
                <w:sz w:val="16"/>
                <w:szCs w:val="16"/>
              </w:rPr>
              <w:t>Phone-based</w:t>
            </w:r>
          </w:p>
        </w:tc>
        <w:tc>
          <w:tcPr>
            <w:tcW w:w="881" w:type="pct"/>
            <w:tcBorders>
              <w:top w:val="nil"/>
              <w:left w:val="nil"/>
              <w:bottom w:val="nil"/>
              <w:right w:val="nil"/>
            </w:tcBorders>
            <w:shd w:val="clear" w:color="auto" w:fill="FFFFFF" w:themeFill="background1"/>
            <w:vAlign w:val="center"/>
          </w:tcPr>
          <w:p w14:paraId="663EC149" w14:textId="77777777" w:rsidR="00F1508E" w:rsidRPr="00366B65" w:rsidRDefault="00F1508E" w:rsidP="00D075F6">
            <w:pPr>
              <w:pStyle w:val="NoSpacing"/>
              <w:jc w:val="center"/>
              <w:rPr>
                <w:sz w:val="16"/>
                <w:szCs w:val="16"/>
              </w:rPr>
            </w:pPr>
            <w:r w:rsidRPr="00366B65">
              <w:rPr>
                <w:sz w:val="16"/>
                <w:szCs w:val="16"/>
              </w:rPr>
              <w:t>N</w:t>
            </w:r>
          </w:p>
        </w:tc>
        <w:tc>
          <w:tcPr>
            <w:tcW w:w="881" w:type="pct"/>
            <w:tcBorders>
              <w:top w:val="nil"/>
              <w:left w:val="nil"/>
              <w:bottom w:val="nil"/>
              <w:right w:val="nil"/>
            </w:tcBorders>
            <w:shd w:val="clear" w:color="auto" w:fill="FFFFFF" w:themeFill="background1"/>
            <w:vAlign w:val="center"/>
          </w:tcPr>
          <w:p w14:paraId="1089FF44" w14:textId="77777777" w:rsidR="00F1508E" w:rsidRPr="00740AE3" w:rsidRDefault="00F1508E" w:rsidP="00D075F6">
            <w:pPr>
              <w:pStyle w:val="NoSpacing"/>
              <w:jc w:val="center"/>
              <w:rPr>
                <w:sz w:val="16"/>
                <w:szCs w:val="16"/>
              </w:rPr>
            </w:pPr>
            <w:r w:rsidRPr="00740AE3">
              <w:rPr>
                <w:sz w:val="16"/>
                <w:szCs w:val="16"/>
              </w:rPr>
              <w:t>N</w:t>
            </w:r>
          </w:p>
        </w:tc>
        <w:tc>
          <w:tcPr>
            <w:tcW w:w="881" w:type="pct"/>
            <w:tcBorders>
              <w:top w:val="nil"/>
              <w:left w:val="nil"/>
              <w:bottom w:val="nil"/>
              <w:right w:val="nil"/>
            </w:tcBorders>
            <w:shd w:val="clear" w:color="auto" w:fill="FFFFFF" w:themeFill="background1"/>
            <w:vAlign w:val="center"/>
          </w:tcPr>
          <w:p w14:paraId="19127CD7" w14:textId="77777777" w:rsidR="00F1508E" w:rsidRPr="00E3354C" w:rsidRDefault="00F1508E" w:rsidP="00D075F6">
            <w:pPr>
              <w:pStyle w:val="NoSpacing"/>
              <w:jc w:val="center"/>
              <w:rPr>
                <w:rFonts w:cs="Arial"/>
                <w:sz w:val="16"/>
                <w:szCs w:val="16"/>
              </w:rPr>
            </w:pPr>
            <w:r>
              <w:rPr>
                <w:rFonts w:cs="Arial"/>
                <w:color w:val="333333"/>
                <w:sz w:val="16"/>
                <w:szCs w:val="20"/>
                <w:shd w:val="clear" w:color="auto" w:fill="FFFFFF"/>
              </w:rPr>
              <w:t>Mindfulness</w:t>
            </w:r>
          </w:p>
        </w:tc>
      </w:tr>
      <w:tr w:rsidR="00F1508E" w:rsidRPr="00740AE3" w14:paraId="63CB1297" w14:textId="77777777" w:rsidTr="00D075F6">
        <w:trPr>
          <w:jc w:val="center"/>
        </w:trPr>
        <w:tc>
          <w:tcPr>
            <w:tcW w:w="1475" w:type="pct"/>
            <w:tcBorders>
              <w:top w:val="nil"/>
              <w:left w:val="nil"/>
              <w:bottom w:val="nil"/>
              <w:right w:val="nil"/>
            </w:tcBorders>
            <w:shd w:val="clear" w:color="auto" w:fill="FFFFFF" w:themeFill="background1"/>
            <w:vAlign w:val="center"/>
          </w:tcPr>
          <w:p w14:paraId="028A9115" w14:textId="77777777" w:rsidR="00F1508E" w:rsidRPr="00740AE3" w:rsidRDefault="00F1508E" w:rsidP="00D075F6">
            <w:pPr>
              <w:pStyle w:val="NoSpacing"/>
              <w:rPr>
                <w:sz w:val="16"/>
                <w:szCs w:val="16"/>
              </w:rPr>
            </w:pPr>
            <w:proofErr w:type="spellStart"/>
            <w:r w:rsidRPr="00740AE3">
              <w:rPr>
                <w:sz w:val="16"/>
                <w:szCs w:val="16"/>
              </w:rPr>
              <w:t>Ieso</w:t>
            </w:r>
            <w:proofErr w:type="spellEnd"/>
            <w:r w:rsidRPr="00740AE3">
              <w:rPr>
                <w:sz w:val="16"/>
                <w:szCs w:val="16"/>
              </w:rPr>
              <w:t xml:space="preserve"> Digital Health Ltd</w:t>
            </w:r>
          </w:p>
        </w:tc>
        <w:tc>
          <w:tcPr>
            <w:tcW w:w="881" w:type="pct"/>
            <w:tcBorders>
              <w:top w:val="nil"/>
              <w:left w:val="nil"/>
              <w:bottom w:val="nil"/>
              <w:right w:val="nil"/>
            </w:tcBorders>
            <w:shd w:val="clear" w:color="auto" w:fill="FFFFFF" w:themeFill="background1"/>
            <w:vAlign w:val="center"/>
          </w:tcPr>
          <w:p w14:paraId="18EC9398" w14:textId="77777777" w:rsidR="00F1508E" w:rsidRPr="00740AE3" w:rsidRDefault="00F1508E" w:rsidP="00D075F6">
            <w:pPr>
              <w:pStyle w:val="NoSpacing"/>
              <w:jc w:val="center"/>
              <w:rPr>
                <w:sz w:val="16"/>
                <w:szCs w:val="16"/>
              </w:rPr>
            </w:pPr>
            <w:r w:rsidRPr="00740AE3">
              <w:rPr>
                <w:sz w:val="16"/>
                <w:szCs w:val="16"/>
              </w:rPr>
              <w:t>Web-based</w:t>
            </w:r>
          </w:p>
        </w:tc>
        <w:tc>
          <w:tcPr>
            <w:tcW w:w="881" w:type="pct"/>
            <w:tcBorders>
              <w:top w:val="nil"/>
              <w:left w:val="nil"/>
              <w:bottom w:val="nil"/>
              <w:right w:val="nil"/>
            </w:tcBorders>
            <w:shd w:val="clear" w:color="auto" w:fill="FFFFFF" w:themeFill="background1"/>
            <w:vAlign w:val="center"/>
          </w:tcPr>
          <w:p w14:paraId="46E6F434" w14:textId="77777777" w:rsidR="00F1508E" w:rsidRPr="00740AE3" w:rsidRDefault="00F1508E" w:rsidP="00D075F6">
            <w:pPr>
              <w:pStyle w:val="NoSpacing"/>
              <w:jc w:val="center"/>
              <w:rPr>
                <w:sz w:val="16"/>
                <w:szCs w:val="16"/>
              </w:rPr>
            </w:pPr>
            <w:r w:rsidRPr="00740AE3">
              <w:rPr>
                <w:sz w:val="16"/>
                <w:szCs w:val="16"/>
              </w:rPr>
              <w:t>Y</w:t>
            </w:r>
          </w:p>
        </w:tc>
        <w:tc>
          <w:tcPr>
            <w:tcW w:w="881" w:type="pct"/>
            <w:tcBorders>
              <w:top w:val="nil"/>
              <w:left w:val="nil"/>
              <w:bottom w:val="nil"/>
              <w:right w:val="nil"/>
            </w:tcBorders>
            <w:shd w:val="clear" w:color="auto" w:fill="FFFFFF" w:themeFill="background1"/>
            <w:vAlign w:val="center"/>
          </w:tcPr>
          <w:p w14:paraId="25335266" w14:textId="77777777" w:rsidR="00F1508E" w:rsidRPr="00740AE3" w:rsidRDefault="00F1508E" w:rsidP="00D075F6">
            <w:pPr>
              <w:pStyle w:val="NoSpacing"/>
              <w:jc w:val="center"/>
              <w:rPr>
                <w:sz w:val="16"/>
                <w:szCs w:val="16"/>
              </w:rPr>
            </w:pPr>
            <w:r w:rsidRPr="00740AE3">
              <w:rPr>
                <w:sz w:val="16"/>
                <w:szCs w:val="16"/>
              </w:rPr>
              <w:t>Y</w:t>
            </w:r>
          </w:p>
        </w:tc>
        <w:tc>
          <w:tcPr>
            <w:tcW w:w="881" w:type="pct"/>
            <w:tcBorders>
              <w:top w:val="nil"/>
              <w:left w:val="nil"/>
              <w:bottom w:val="nil"/>
              <w:right w:val="nil"/>
            </w:tcBorders>
            <w:shd w:val="clear" w:color="auto" w:fill="FFFFFF" w:themeFill="background1"/>
            <w:vAlign w:val="center"/>
          </w:tcPr>
          <w:p w14:paraId="3CECCEEC" w14:textId="77777777" w:rsidR="00F1508E" w:rsidRPr="00740AE3" w:rsidRDefault="00F1508E" w:rsidP="00D075F6">
            <w:pPr>
              <w:pStyle w:val="NoSpacing"/>
              <w:jc w:val="center"/>
              <w:rPr>
                <w:sz w:val="16"/>
                <w:szCs w:val="16"/>
              </w:rPr>
            </w:pPr>
            <w:r w:rsidRPr="00740AE3">
              <w:rPr>
                <w:sz w:val="16"/>
                <w:szCs w:val="16"/>
              </w:rPr>
              <w:t>CBT</w:t>
            </w:r>
          </w:p>
        </w:tc>
      </w:tr>
      <w:tr w:rsidR="00F1508E" w:rsidRPr="00740AE3" w14:paraId="121E3301" w14:textId="77777777" w:rsidTr="00D075F6">
        <w:trPr>
          <w:jc w:val="center"/>
        </w:trPr>
        <w:tc>
          <w:tcPr>
            <w:tcW w:w="1475" w:type="pct"/>
            <w:tcBorders>
              <w:top w:val="nil"/>
              <w:left w:val="nil"/>
              <w:bottom w:val="nil"/>
              <w:right w:val="nil"/>
            </w:tcBorders>
            <w:shd w:val="clear" w:color="auto" w:fill="FFFFFF" w:themeFill="background1"/>
            <w:vAlign w:val="center"/>
          </w:tcPr>
          <w:p w14:paraId="0095296A" w14:textId="77777777" w:rsidR="00F1508E" w:rsidRPr="00740AE3" w:rsidRDefault="00F1508E" w:rsidP="00D075F6">
            <w:pPr>
              <w:pStyle w:val="NoSpacing"/>
              <w:rPr>
                <w:sz w:val="16"/>
                <w:szCs w:val="16"/>
              </w:rPr>
            </w:pPr>
            <w:proofErr w:type="spellStart"/>
            <w:r w:rsidRPr="00740AE3">
              <w:rPr>
                <w:sz w:val="16"/>
                <w:szCs w:val="16"/>
              </w:rPr>
              <w:t>MoodGym</w:t>
            </w:r>
            <w:proofErr w:type="spellEnd"/>
          </w:p>
        </w:tc>
        <w:tc>
          <w:tcPr>
            <w:tcW w:w="881" w:type="pct"/>
            <w:tcBorders>
              <w:top w:val="nil"/>
              <w:left w:val="nil"/>
              <w:bottom w:val="nil"/>
              <w:right w:val="nil"/>
            </w:tcBorders>
            <w:shd w:val="clear" w:color="auto" w:fill="FFFFFF" w:themeFill="background1"/>
            <w:vAlign w:val="center"/>
          </w:tcPr>
          <w:p w14:paraId="756272F7" w14:textId="77777777" w:rsidR="00F1508E" w:rsidRPr="00740AE3" w:rsidRDefault="00F1508E" w:rsidP="00D075F6">
            <w:pPr>
              <w:pStyle w:val="NoSpacing"/>
              <w:jc w:val="center"/>
              <w:rPr>
                <w:sz w:val="16"/>
                <w:szCs w:val="16"/>
              </w:rPr>
            </w:pPr>
            <w:r w:rsidRPr="00740AE3">
              <w:rPr>
                <w:sz w:val="16"/>
                <w:szCs w:val="16"/>
              </w:rPr>
              <w:t>Web-based</w:t>
            </w:r>
          </w:p>
        </w:tc>
        <w:tc>
          <w:tcPr>
            <w:tcW w:w="881" w:type="pct"/>
            <w:tcBorders>
              <w:top w:val="nil"/>
              <w:left w:val="nil"/>
              <w:bottom w:val="nil"/>
              <w:right w:val="nil"/>
            </w:tcBorders>
            <w:shd w:val="clear" w:color="auto" w:fill="FFFFFF" w:themeFill="background1"/>
            <w:vAlign w:val="center"/>
          </w:tcPr>
          <w:p w14:paraId="5CE1550E" w14:textId="77777777" w:rsidR="00F1508E" w:rsidRPr="00740AE3" w:rsidRDefault="00F1508E" w:rsidP="00D075F6">
            <w:pPr>
              <w:pStyle w:val="NoSpacing"/>
              <w:jc w:val="center"/>
              <w:rPr>
                <w:sz w:val="16"/>
                <w:szCs w:val="16"/>
              </w:rPr>
            </w:pPr>
            <w:r w:rsidRPr="00740AE3">
              <w:rPr>
                <w:sz w:val="16"/>
                <w:szCs w:val="16"/>
              </w:rPr>
              <w:t>Y</w:t>
            </w:r>
          </w:p>
        </w:tc>
        <w:tc>
          <w:tcPr>
            <w:tcW w:w="881" w:type="pct"/>
            <w:tcBorders>
              <w:top w:val="nil"/>
              <w:left w:val="nil"/>
              <w:bottom w:val="nil"/>
              <w:right w:val="nil"/>
            </w:tcBorders>
            <w:shd w:val="clear" w:color="auto" w:fill="FFFFFF" w:themeFill="background1"/>
            <w:vAlign w:val="center"/>
          </w:tcPr>
          <w:p w14:paraId="4B88F20C" w14:textId="77777777" w:rsidR="00F1508E" w:rsidRPr="00740AE3" w:rsidRDefault="00F1508E" w:rsidP="00D075F6">
            <w:pPr>
              <w:pStyle w:val="NoSpacing"/>
              <w:jc w:val="center"/>
              <w:rPr>
                <w:sz w:val="16"/>
                <w:szCs w:val="16"/>
              </w:rPr>
            </w:pPr>
            <w:r w:rsidRPr="00740AE3">
              <w:rPr>
                <w:sz w:val="16"/>
                <w:szCs w:val="16"/>
              </w:rPr>
              <w:t>Y</w:t>
            </w:r>
          </w:p>
        </w:tc>
        <w:tc>
          <w:tcPr>
            <w:tcW w:w="881" w:type="pct"/>
            <w:tcBorders>
              <w:top w:val="nil"/>
              <w:left w:val="nil"/>
              <w:bottom w:val="nil"/>
              <w:right w:val="nil"/>
            </w:tcBorders>
            <w:shd w:val="clear" w:color="auto" w:fill="FFFFFF" w:themeFill="background1"/>
            <w:vAlign w:val="center"/>
          </w:tcPr>
          <w:p w14:paraId="5FBA88C7" w14:textId="77777777" w:rsidR="00F1508E" w:rsidRPr="00740AE3" w:rsidRDefault="00F1508E" w:rsidP="00D075F6">
            <w:pPr>
              <w:pStyle w:val="NoSpacing"/>
              <w:jc w:val="center"/>
              <w:rPr>
                <w:sz w:val="16"/>
                <w:szCs w:val="16"/>
              </w:rPr>
            </w:pPr>
            <w:r w:rsidRPr="00740AE3">
              <w:rPr>
                <w:sz w:val="16"/>
                <w:szCs w:val="16"/>
              </w:rPr>
              <w:t>CBT</w:t>
            </w:r>
          </w:p>
        </w:tc>
      </w:tr>
      <w:tr w:rsidR="00F1508E" w:rsidRPr="00740AE3" w14:paraId="042DDF5B" w14:textId="77777777" w:rsidTr="00D075F6">
        <w:trPr>
          <w:jc w:val="center"/>
        </w:trPr>
        <w:tc>
          <w:tcPr>
            <w:tcW w:w="1475" w:type="pct"/>
            <w:tcBorders>
              <w:top w:val="nil"/>
              <w:left w:val="nil"/>
              <w:bottom w:val="single" w:sz="4" w:space="0" w:color="auto"/>
              <w:right w:val="nil"/>
            </w:tcBorders>
            <w:shd w:val="clear" w:color="auto" w:fill="FFFFFF" w:themeFill="background1"/>
            <w:vAlign w:val="center"/>
          </w:tcPr>
          <w:p w14:paraId="2B9778BE" w14:textId="77777777" w:rsidR="00F1508E" w:rsidRPr="00740AE3" w:rsidRDefault="00F1508E" w:rsidP="00D075F6">
            <w:pPr>
              <w:pStyle w:val="NoSpacing"/>
              <w:rPr>
                <w:sz w:val="16"/>
                <w:szCs w:val="16"/>
              </w:rPr>
            </w:pPr>
            <w:proofErr w:type="spellStart"/>
            <w:r w:rsidRPr="00740AE3">
              <w:rPr>
                <w:sz w:val="16"/>
                <w:szCs w:val="16"/>
              </w:rPr>
              <w:t>SilverCloud</w:t>
            </w:r>
            <w:proofErr w:type="spellEnd"/>
            <w:r w:rsidRPr="00740AE3">
              <w:rPr>
                <w:sz w:val="16"/>
                <w:szCs w:val="16"/>
              </w:rPr>
              <w:t xml:space="preserve"> Health</w:t>
            </w:r>
          </w:p>
        </w:tc>
        <w:tc>
          <w:tcPr>
            <w:tcW w:w="881" w:type="pct"/>
            <w:tcBorders>
              <w:top w:val="nil"/>
              <w:left w:val="nil"/>
              <w:bottom w:val="single" w:sz="4" w:space="0" w:color="auto"/>
              <w:right w:val="nil"/>
            </w:tcBorders>
            <w:shd w:val="clear" w:color="auto" w:fill="FFFFFF" w:themeFill="background1"/>
            <w:vAlign w:val="center"/>
          </w:tcPr>
          <w:p w14:paraId="6CFFE085" w14:textId="77777777" w:rsidR="00F1508E" w:rsidRPr="00740AE3" w:rsidRDefault="00F1508E" w:rsidP="00D075F6">
            <w:pPr>
              <w:pStyle w:val="NoSpacing"/>
              <w:jc w:val="center"/>
              <w:rPr>
                <w:sz w:val="16"/>
                <w:szCs w:val="16"/>
              </w:rPr>
            </w:pPr>
            <w:r w:rsidRPr="00740AE3">
              <w:rPr>
                <w:sz w:val="16"/>
                <w:szCs w:val="16"/>
              </w:rPr>
              <w:t>Web-based</w:t>
            </w:r>
          </w:p>
        </w:tc>
        <w:tc>
          <w:tcPr>
            <w:tcW w:w="881" w:type="pct"/>
            <w:tcBorders>
              <w:top w:val="nil"/>
              <w:left w:val="nil"/>
              <w:bottom w:val="single" w:sz="4" w:space="0" w:color="auto"/>
              <w:right w:val="nil"/>
            </w:tcBorders>
            <w:shd w:val="clear" w:color="auto" w:fill="FFFFFF" w:themeFill="background1"/>
            <w:vAlign w:val="center"/>
          </w:tcPr>
          <w:p w14:paraId="2F5543CE" w14:textId="77777777" w:rsidR="00F1508E" w:rsidRPr="00740AE3" w:rsidRDefault="00F1508E" w:rsidP="00D075F6">
            <w:pPr>
              <w:pStyle w:val="NoSpacing"/>
              <w:jc w:val="center"/>
              <w:rPr>
                <w:sz w:val="16"/>
                <w:szCs w:val="16"/>
              </w:rPr>
            </w:pPr>
            <w:r w:rsidRPr="00740AE3">
              <w:rPr>
                <w:sz w:val="16"/>
                <w:szCs w:val="16"/>
              </w:rPr>
              <w:t>Y</w:t>
            </w:r>
          </w:p>
        </w:tc>
        <w:tc>
          <w:tcPr>
            <w:tcW w:w="881" w:type="pct"/>
            <w:tcBorders>
              <w:top w:val="nil"/>
              <w:left w:val="nil"/>
              <w:bottom w:val="single" w:sz="4" w:space="0" w:color="auto"/>
              <w:right w:val="nil"/>
            </w:tcBorders>
            <w:shd w:val="clear" w:color="auto" w:fill="FFFFFF" w:themeFill="background1"/>
            <w:vAlign w:val="center"/>
          </w:tcPr>
          <w:p w14:paraId="7517087B" w14:textId="77777777" w:rsidR="00F1508E" w:rsidRPr="00740AE3" w:rsidRDefault="00F1508E" w:rsidP="00D075F6">
            <w:pPr>
              <w:pStyle w:val="NoSpacing"/>
              <w:jc w:val="center"/>
              <w:rPr>
                <w:sz w:val="16"/>
                <w:szCs w:val="16"/>
              </w:rPr>
            </w:pPr>
            <w:r w:rsidRPr="00740AE3">
              <w:rPr>
                <w:sz w:val="16"/>
                <w:szCs w:val="16"/>
              </w:rPr>
              <w:t>Y</w:t>
            </w:r>
          </w:p>
        </w:tc>
        <w:tc>
          <w:tcPr>
            <w:tcW w:w="881" w:type="pct"/>
            <w:tcBorders>
              <w:top w:val="nil"/>
              <w:left w:val="nil"/>
              <w:bottom w:val="single" w:sz="4" w:space="0" w:color="auto"/>
              <w:right w:val="nil"/>
            </w:tcBorders>
            <w:shd w:val="clear" w:color="auto" w:fill="FFFFFF" w:themeFill="background1"/>
            <w:vAlign w:val="center"/>
          </w:tcPr>
          <w:p w14:paraId="0FAD3DF0" w14:textId="77777777" w:rsidR="00F1508E" w:rsidRPr="00740AE3" w:rsidRDefault="00F1508E" w:rsidP="00D075F6">
            <w:pPr>
              <w:pStyle w:val="NoSpacing"/>
              <w:jc w:val="center"/>
              <w:rPr>
                <w:sz w:val="16"/>
                <w:szCs w:val="16"/>
              </w:rPr>
            </w:pPr>
            <w:r w:rsidRPr="00740AE3">
              <w:rPr>
                <w:sz w:val="16"/>
                <w:szCs w:val="16"/>
              </w:rPr>
              <w:t>CBT</w:t>
            </w:r>
          </w:p>
        </w:tc>
      </w:tr>
    </w:tbl>
    <w:p w14:paraId="6EDE5E41" w14:textId="77777777" w:rsidR="00F1508E" w:rsidRDefault="00F1508E" w:rsidP="00F1508E">
      <w:pPr>
        <w:pStyle w:val="NoSpacing"/>
      </w:pPr>
    </w:p>
    <w:p w14:paraId="63D2C64B" w14:textId="79347427" w:rsidR="00F1508E" w:rsidRDefault="00F1508E" w:rsidP="00F1508E">
      <w:r>
        <w:t>T</w:t>
      </w:r>
      <w:r w:rsidRPr="005E6574">
        <w:t xml:space="preserve">rials </w:t>
      </w:r>
      <w:r>
        <w:t xml:space="preserve">were either </w:t>
      </w:r>
      <w:r w:rsidRPr="005E6574">
        <w:t xml:space="preserve">conducted in clinical (n = 10) or community </w:t>
      </w:r>
      <w:r>
        <w:t xml:space="preserve">settings </w:t>
      </w:r>
      <w:r w:rsidRPr="005E6574">
        <w:t>(n = 7).</w:t>
      </w:r>
      <w:r>
        <w:t xml:space="preserve">  </w:t>
      </w:r>
      <w:r w:rsidRPr="005E6574">
        <w:t xml:space="preserve">All </w:t>
      </w:r>
      <w:r>
        <w:t>but one e</w:t>
      </w:r>
      <w:r>
        <w:noBreakHyphen/>
        <w:t>therapy</w:t>
      </w:r>
      <w:r w:rsidRPr="005E6574">
        <w:t xml:space="preserve"> had a </w:t>
      </w:r>
      <w:r w:rsidRPr="000D747D">
        <w:t xml:space="preserve">basis in cognitive-behavioural theory.  None of the studies declared a conflict of interest.  The control conditions employed in the studies were TAU (n = 5), tracking plus TAU (n = 1), waiting list (n = 6), e-couch IPT (n = 1), e-couch CBT (n = 1), no treatment (n = 1), face-to-face treatment (n = 1), </w:t>
      </w:r>
      <w:proofErr w:type="spellStart"/>
      <w:r w:rsidRPr="000D747D">
        <w:t>MoodGYM</w:t>
      </w:r>
      <w:proofErr w:type="spellEnd"/>
      <w:r w:rsidRPr="000D747D">
        <w:t xml:space="preserve"> (n = 1), managing anxiety (n = 1), de-stress (n = 1), catch notes software (n = 1), blue pages (n = 1) and an attention placebo (n = 1).  Trial analyses were mainly intention to treat (ITT; n = 11), ITT and completers (n = 2); ITT, completers and compiler (n = 1) and mixed effect model repeat measurement (MMRM; n = 1).  </w:t>
      </w:r>
      <w:r w:rsidR="00173DEC" w:rsidRPr="000D747D">
        <w:t xml:space="preserve">The active control conditions employed in the studies were Managing Anxiety (n = 1), </w:t>
      </w:r>
      <w:proofErr w:type="spellStart"/>
      <w:r w:rsidR="00173DEC" w:rsidRPr="000D747D">
        <w:t>MoodGYM</w:t>
      </w:r>
      <w:proofErr w:type="spellEnd"/>
      <w:r w:rsidR="00173DEC" w:rsidRPr="000D747D">
        <w:t xml:space="preserve"> (n = 1), de-</w:t>
      </w:r>
      <w:proofErr w:type="gramStart"/>
      <w:r w:rsidR="00173DEC" w:rsidRPr="000D747D">
        <w:t>STRESS  (</w:t>
      </w:r>
      <w:proofErr w:type="gramEnd"/>
      <w:r w:rsidR="00173DEC" w:rsidRPr="000D747D">
        <w:t xml:space="preserve">n = 1), e-couch CBT (n = 1), e-couch IPT (n = 1), face-to-face CBT (n = 1), </w:t>
      </w:r>
      <w:r w:rsidR="004D74CE" w:rsidRPr="000D747D">
        <w:t xml:space="preserve">and </w:t>
      </w:r>
      <w:r w:rsidR="00173DEC" w:rsidRPr="000D747D">
        <w:t xml:space="preserve">Blue Pages (n = 1). </w:t>
      </w:r>
      <w:r w:rsidRPr="000D747D">
        <w:t>Two of the trials did not require</w:t>
      </w:r>
      <w:r>
        <w:t xml:space="preserve"> participants to have any symptoms of mental ill health.  In terms of measuring depression outcomes, the Beck Depression Inventory-</w:t>
      </w:r>
      <w:r w:rsidRPr="005E6574">
        <w:t>II</w:t>
      </w:r>
      <w:r>
        <w:t xml:space="preserve"> </w:t>
      </w:r>
      <w:r>
        <w:fldChar w:fldCharType="begin" w:fldLock="1"/>
      </w:r>
      <w:r>
        <w:instrText>ADDIN CSL_CITATION {"citationItems":[{"id":"ITEM-1","itemData":{"author":[{"dropping-particle":"","family":"Beck, A. T., Steer, R. A., &amp; Brown","given":"G. K.","non-dropping-particle":"","parse-names":false,"suffix":""}],"id":"ITEM-1","issue":"2","issued":{"date-parts":[["1996"]]},"number-of-pages":"490-8","title":"Beck depression inventory-II","type":"book","volume":"78"},"uris":["http://www.mendeley.com/documents/?uuid=4b01f603-63bd-4577-9328-cf0d0848bd72"]}],"mendeley":{"formattedCitation":"(Beck, A. T., Steer, R. A., &amp; Brown, 1996)","manualFormatting":"(Beck, Steer &amp; Brown, 1996)","plainTextFormattedCitation":"(Beck, A. T., Steer, R. A., &amp; Brown, 1996)","previouslyFormattedCitation":"(Beck, A. T., Steer, R. A., &amp; Brown, 1996)"},"properties":{"noteIndex":0},"schema":"https://github.com/citation-style-language/schema/raw/master/csl-citation.json"}</w:instrText>
      </w:r>
      <w:r>
        <w:fldChar w:fldCharType="separate"/>
      </w:r>
      <w:r w:rsidRPr="009B4D7E">
        <w:rPr>
          <w:noProof/>
        </w:rPr>
        <w:t>(Beck, Steer &amp; Brown, 1996)</w:t>
      </w:r>
      <w:r>
        <w:fldChar w:fldCharType="end"/>
      </w:r>
      <w:r w:rsidRPr="005E6574">
        <w:t xml:space="preserve">, </w:t>
      </w:r>
      <w:proofErr w:type="spellStart"/>
      <w:r w:rsidRPr="005E6574">
        <w:t>Center</w:t>
      </w:r>
      <w:proofErr w:type="spellEnd"/>
      <w:r w:rsidRPr="005E6574">
        <w:t xml:space="preserve"> for Epidemiological Studies Depression scale</w:t>
      </w:r>
      <w:r>
        <w:t xml:space="preserve"> </w:t>
      </w:r>
      <w:r>
        <w:fldChar w:fldCharType="begin" w:fldLock="1"/>
      </w:r>
      <w:r>
        <w:instrText>ADDIN CSL_CITATION {"citationItems":[{"id":"ITEM-1","itemData":{"DOI":"10.1177/014662167700100306","ISSN":"0146-6216","abstract":"The CES-D scale is a short self-report scale designed to measure depressive symptomatology in the general population. The items of the scale are symptoms associated with depression which have been used in previously validated longer scales. The new scale was tested in household interview surveys and in psychiatric settings. It was found to have very high internal consistency and adequate test- retest repeatability. Validity was established by pat terns of correlations with other self-report measures, by correlations with clinical ratings of depression, and by relationships with other variables which support its construct validity. Reliability, validity, and factor structure were similar across a wide variety of demographic characteristics in the general population samples tested. The scale should be a useful tool for epidemiologic studies of de pression.","author":[{"dropping-particle":"","family":"Radloff","given":"Lenore Sawyer","non-dropping-particle":"","parse-names":false,"suffix":""}],"container-title":"Applied Psychological Measurement","id":"ITEM-1","issue":"3","issued":{"date-parts":[["1977","6","26"]]},"page":"385-401","publisher":"Sage PublicationsSage CA: Thousand Oaks, CA","title":"The CES-D Scale","type":"article-journal","volume":"1"},"uris":["http://www.mendeley.com/documents/?uuid=45e43309-080b-3162-895d-f9b961062cf4"]}],"mendeley":{"formattedCitation":"(Radloff, 1977)","plainTextFormattedCitation":"(Radloff, 1977)","previouslyFormattedCitation":"(Radloff, 1977)"},"properties":{"noteIndex":0},"schema":"https://github.com/citation-style-language/schema/raw/master/csl-citation.json"}</w:instrText>
      </w:r>
      <w:r>
        <w:fldChar w:fldCharType="separate"/>
      </w:r>
      <w:r w:rsidRPr="00D43C5A">
        <w:rPr>
          <w:noProof/>
        </w:rPr>
        <w:t>(Radloff, 1977)</w:t>
      </w:r>
      <w:r>
        <w:fldChar w:fldCharType="end"/>
      </w:r>
      <w:r w:rsidRPr="005E6574">
        <w:t xml:space="preserve"> and the Hospital Anxiety and Depression Scale </w:t>
      </w:r>
      <w:r>
        <w:t xml:space="preserve">were </w:t>
      </w:r>
      <w:r w:rsidRPr="005E6574">
        <w:t xml:space="preserve">used </w:t>
      </w:r>
      <w:r>
        <w:t>in</w:t>
      </w:r>
      <w:r w:rsidRPr="005E6574">
        <w:t xml:space="preserve"> five studies each.  Mean ages </w:t>
      </w:r>
      <w:r>
        <w:t xml:space="preserve">across the samples </w:t>
      </w:r>
      <w:r w:rsidRPr="005E6574">
        <w:t>ranged from 20-44 years</w:t>
      </w:r>
      <w:r>
        <w:t xml:space="preserve">.  Just one study </w:t>
      </w:r>
      <w:r w:rsidRPr="005E6574">
        <w:t xml:space="preserve">of </w:t>
      </w:r>
      <w:proofErr w:type="gramStart"/>
      <w:r w:rsidRPr="005E6574">
        <w:t>Beating</w:t>
      </w:r>
      <w:proofErr w:type="gramEnd"/>
      <w:r w:rsidRPr="005E6574">
        <w:t xml:space="preserve"> the Blues </w:t>
      </w:r>
      <w:r>
        <w:t>included older adult participants.  E</w:t>
      </w:r>
      <w:r>
        <w:noBreakHyphen/>
        <w:t xml:space="preserve">therapy treatment lasted </w:t>
      </w:r>
      <w:r w:rsidRPr="005E6574">
        <w:t xml:space="preserve">between 10 </w:t>
      </w:r>
      <w:r>
        <w:t xml:space="preserve">-70 days, with sessions lasting </w:t>
      </w:r>
      <w:r w:rsidRPr="005E6574">
        <w:t>10-55 minutes</w:t>
      </w:r>
      <w:r>
        <w:t>.</w:t>
      </w:r>
    </w:p>
    <w:p w14:paraId="280E0DA1" w14:textId="77777777" w:rsidR="00F1508E" w:rsidRDefault="00F1508E" w:rsidP="00B27113">
      <w:pPr>
        <w:pStyle w:val="Heading3"/>
      </w:pPr>
      <w:bookmarkStart w:id="256" w:name="_Toc530660507"/>
      <w:bookmarkStart w:id="257" w:name="_Toc3538108"/>
      <w:r w:rsidRPr="00193D37">
        <w:t>Dropout Analysis</w:t>
      </w:r>
      <w:bookmarkEnd w:id="256"/>
      <w:bookmarkEnd w:id="257"/>
    </w:p>
    <w:p w14:paraId="3E2D9FEC" w14:textId="5BB0F628" w:rsidR="00F1508E" w:rsidRPr="00676825" w:rsidRDefault="00F1508E" w:rsidP="00F1508E">
      <w:pPr>
        <w:rPr>
          <w:szCs w:val="24"/>
        </w:rPr>
      </w:pPr>
      <w:r w:rsidRPr="005E6574">
        <w:rPr>
          <w:szCs w:val="24"/>
        </w:rPr>
        <w:t xml:space="preserve">Dropout rates </w:t>
      </w:r>
      <w:r>
        <w:rPr>
          <w:szCs w:val="24"/>
        </w:rPr>
        <w:t>for e-therapies ranged from 21-</w:t>
      </w:r>
      <w:r w:rsidRPr="005E6574">
        <w:rPr>
          <w:szCs w:val="24"/>
        </w:rPr>
        <w:t>83%</w:t>
      </w:r>
      <w:r>
        <w:rPr>
          <w:szCs w:val="24"/>
        </w:rPr>
        <w:t>, with a mean dropout rate of 37.15%</w:t>
      </w:r>
      <w:r w:rsidR="00761A67">
        <w:rPr>
          <w:szCs w:val="24"/>
        </w:rPr>
        <w:t xml:space="preserve">.  </w:t>
      </w:r>
      <w:r w:rsidRPr="002871CD">
        <w:t>The</w:t>
      </w:r>
      <w:r>
        <w:t>re was no significant difference between e</w:t>
      </w:r>
      <w:r>
        <w:noBreakHyphen/>
        <w:t>therapy (42.29%), control (30.07%) and active control (39.86%) in terms of dropout rates (</w:t>
      </w:r>
      <w:proofErr w:type="gramStart"/>
      <w:r w:rsidRPr="002871CD">
        <w:t>χ</w:t>
      </w:r>
      <w:r w:rsidRPr="00733BCF">
        <w:rPr>
          <w:vertAlign w:val="superscript"/>
        </w:rPr>
        <w:t>2</w:t>
      </w:r>
      <w:r w:rsidRPr="002871CD">
        <w:t>(</w:t>
      </w:r>
      <w:proofErr w:type="gramEnd"/>
      <w:r w:rsidRPr="002871CD">
        <w:t>2) = 2.013, p = .366</w:t>
      </w:r>
      <w:r>
        <w:t>)</w:t>
      </w:r>
      <w:r w:rsidRPr="002871CD">
        <w:t>.</w:t>
      </w:r>
    </w:p>
    <w:p w14:paraId="775CF0AE" w14:textId="77777777" w:rsidR="00F1508E" w:rsidRPr="008906D6" w:rsidRDefault="00F1508E" w:rsidP="00B27113">
      <w:pPr>
        <w:pStyle w:val="Heading2"/>
      </w:pPr>
      <w:bookmarkStart w:id="258" w:name="_Toc530660508"/>
      <w:bookmarkStart w:id="259" w:name="_Toc3538109"/>
      <w:r w:rsidRPr="008906D6">
        <w:t>Meta-Analyses</w:t>
      </w:r>
      <w:bookmarkEnd w:id="258"/>
      <w:bookmarkEnd w:id="259"/>
    </w:p>
    <w:p w14:paraId="438A3C25" w14:textId="77777777" w:rsidR="00F1508E" w:rsidRPr="00DA40D7" w:rsidRDefault="00F1508E" w:rsidP="00F1508E">
      <w:r w:rsidRPr="00DA40D7">
        <w:t>Between-group random effects meta-analyses were conducted for end of treatment and 6-month follow up</w:t>
      </w:r>
      <w:r>
        <w:t xml:space="preserve"> outcomes for e</w:t>
      </w:r>
      <w:r>
        <w:noBreakHyphen/>
        <w:t>therapy compared to controls</w:t>
      </w:r>
      <w:r w:rsidRPr="00DA40D7">
        <w:t>.</w:t>
      </w:r>
    </w:p>
    <w:p w14:paraId="293237E0" w14:textId="77777777" w:rsidR="00F1508E" w:rsidRPr="008906D6" w:rsidRDefault="00F1508E" w:rsidP="00B27113">
      <w:pPr>
        <w:pStyle w:val="Heading3"/>
      </w:pPr>
      <w:bookmarkStart w:id="260" w:name="_Toc530660509"/>
      <w:bookmarkStart w:id="261" w:name="_Toc3538110"/>
      <w:r w:rsidRPr="008906D6">
        <w:lastRenderedPageBreak/>
        <w:t>Passive Controls - End of Treatment</w:t>
      </w:r>
      <w:bookmarkEnd w:id="260"/>
      <w:bookmarkEnd w:id="261"/>
    </w:p>
    <w:p w14:paraId="06965D74" w14:textId="11A32160" w:rsidR="00F1508E" w:rsidRDefault="00F1508E" w:rsidP="00F1508E">
      <w:r w:rsidRPr="00DA40D7">
        <w:t xml:space="preserve">For all 15 trials (completer n = 2,944), the end of treatment population effect size for </w:t>
      </w:r>
      <w:r>
        <w:t>e</w:t>
      </w:r>
      <w:r>
        <w:noBreakHyphen/>
        <w:t>therapy</w:t>
      </w:r>
      <w:r w:rsidRPr="00DA40D7">
        <w:t xml:space="preserve"> compared with passive </w:t>
      </w:r>
      <w:r>
        <w:t>control</w:t>
      </w:r>
      <w:r w:rsidRPr="00DA40D7">
        <w:t xml:space="preserve"> was small</w:t>
      </w:r>
      <w:r>
        <w:t xml:space="preserve"> </w:t>
      </w:r>
      <w:r w:rsidRPr="00DA40D7">
        <w:t>0.34 (95% CI: 0.05-0.64</w:t>
      </w:r>
      <w:r>
        <w:t>), but significant</w:t>
      </w:r>
      <w:r w:rsidRPr="00DA40D7">
        <w:t xml:space="preserve"> </w:t>
      </w:r>
      <w:r>
        <w:t>(</w:t>
      </w:r>
      <w:r w:rsidRPr="00DA40D7">
        <w:t>z = 2.51, p = 0.012</w:t>
      </w:r>
      <w:r>
        <w:t>)</w:t>
      </w:r>
      <w:r w:rsidRPr="00DA40D7">
        <w:t xml:space="preserve">. </w:t>
      </w:r>
      <w:r w:rsidR="00B233DE">
        <w:t xml:space="preserve"> </w:t>
      </w:r>
      <w:r>
        <w:fldChar w:fldCharType="begin"/>
      </w:r>
      <w:r>
        <w:instrText xml:space="preserve"> REF _Ref530650213 \h </w:instrText>
      </w:r>
      <w:r>
        <w:fldChar w:fldCharType="separate"/>
      </w:r>
      <w:r w:rsidR="00574650">
        <w:t xml:space="preserve">Figure </w:t>
      </w:r>
      <w:r w:rsidR="00574650">
        <w:rPr>
          <w:noProof/>
        </w:rPr>
        <w:t>4</w:t>
      </w:r>
      <w:r w:rsidR="00574650">
        <w:t>.</w:t>
      </w:r>
      <w:r w:rsidR="00574650">
        <w:rPr>
          <w:noProof/>
        </w:rPr>
        <w:t>3</w:t>
      </w:r>
      <w:r>
        <w:fldChar w:fldCharType="end"/>
      </w:r>
      <w:r>
        <w:t xml:space="preserve"> shows the forest plot for this analysis. </w:t>
      </w:r>
      <w:r w:rsidRPr="00DA40D7">
        <w:t xml:space="preserve"> </w:t>
      </w:r>
      <w:r w:rsidRPr="00686E72">
        <w:t xml:space="preserve">The NNT for </w:t>
      </w:r>
      <w:r>
        <w:t>e</w:t>
      </w:r>
      <w:r>
        <w:noBreakHyphen/>
        <w:t>therapy</w:t>
      </w:r>
      <w:r w:rsidRPr="00686E72">
        <w:t xml:space="preserve"> was </w:t>
      </w:r>
      <w:r w:rsidRPr="007D2969">
        <w:t>5.263</w:t>
      </w:r>
      <w:r w:rsidRPr="00686E72">
        <w:t xml:space="preserve">; </w:t>
      </w:r>
      <w:r>
        <w:t xml:space="preserve">approximately </w:t>
      </w:r>
      <w:r w:rsidRPr="00686E72">
        <w:t xml:space="preserve">one </w:t>
      </w:r>
      <w:r>
        <w:t>in</w:t>
      </w:r>
      <w:r w:rsidRPr="00686E72">
        <w:t xml:space="preserve"> every </w:t>
      </w:r>
      <w:r>
        <w:t>5</w:t>
      </w:r>
      <w:r w:rsidRPr="00686E72">
        <w:t xml:space="preserve"> patients experienced benefit </w:t>
      </w:r>
      <w:r>
        <w:t>from e</w:t>
      </w:r>
      <w:r>
        <w:noBreakHyphen/>
        <w:t xml:space="preserve">therapy </w:t>
      </w:r>
      <w:r w:rsidRPr="00686E72">
        <w:t xml:space="preserve">when compared to </w:t>
      </w:r>
      <w:r>
        <w:t>passive</w:t>
      </w:r>
      <w:r w:rsidRPr="00686E72">
        <w:t xml:space="preserve"> </w:t>
      </w:r>
      <w:r>
        <w:t xml:space="preserve">controls </w:t>
      </w:r>
      <w:r w:rsidRPr="00686E72">
        <w:t xml:space="preserve">at </w:t>
      </w:r>
      <w:r>
        <w:t>end of treatment</w:t>
      </w:r>
      <w:r w:rsidR="00554CB4">
        <w:t xml:space="preserve">.  </w:t>
      </w:r>
      <w:r>
        <w:t xml:space="preserve">Significant and high levels of </w:t>
      </w:r>
      <w:r w:rsidRPr="00DA40D7">
        <w:t xml:space="preserve">heterogeneity </w:t>
      </w:r>
      <w:r>
        <w:t xml:space="preserve">were apparent </w:t>
      </w:r>
      <w:r w:rsidRPr="00DA40D7">
        <w:t xml:space="preserve">between </w:t>
      </w:r>
      <w:r>
        <w:t xml:space="preserve">the </w:t>
      </w:r>
      <w:r w:rsidRPr="00DA40D7">
        <w:t>studies (</w:t>
      </w:r>
      <w:proofErr w:type="gramStart"/>
      <w:r w:rsidRPr="00DA40D7">
        <w:t>Q</w:t>
      </w:r>
      <w:r w:rsidRPr="00DA40D7">
        <w:rPr>
          <w:vertAlign w:val="subscript"/>
        </w:rPr>
        <w:t>(</w:t>
      </w:r>
      <w:proofErr w:type="gramEnd"/>
      <w:r w:rsidRPr="00DA40D7">
        <w:rPr>
          <w:vertAlign w:val="subscript"/>
        </w:rPr>
        <w:t>15)</w:t>
      </w:r>
      <w:r w:rsidRPr="00DA40D7">
        <w:t xml:space="preserve"> = 207.51, p </w:t>
      </w:r>
      <w:r w:rsidR="00847CCB">
        <w:t>&lt;</w:t>
      </w:r>
      <w:r w:rsidRPr="00DA40D7">
        <w:t xml:space="preserve"> 0.00</w:t>
      </w:r>
      <w:r w:rsidR="00847CCB">
        <w:t>1</w:t>
      </w:r>
      <w:r w:rsidRPr="00DA40D7">
        <w:t>, I</w:t>
      </w:r>
      <w:r w:rsidRPr="00DA40D7">
        <w:rPr>
          <w:vertAlign w:val="superscript"/>
        </w:rPr>
        <w:t>2</w:t>
      </w:r>
      <w:r w:rsidRPr="00DA40D7">
        <w:t xml:space="preserve"> = 93</w:t>
      </w:r>
      <w:r>
        <w:t>%</w:t>
      </w:r>
      <w:r w:rsidRPr="00DA40D7">
        <w:t xml:space="preserve">).  </w:t>
      </w:r>
    </w:p>
    <w:p w14:paraId="518BCCC8" w14:textId="4E6CF477" w:rsidR="00F1508E" w:rsidRDefault="00F1508E" w:rsidP="00F1508E">
      <w:r>
        <w:t>Meta-regression analysis results for e</w:t>
      </w:r>
      <w:r>
        <w:noBreakHyphen/>
        <w:t xml:space="preserve">therapy versus passive are displayed in </w:t>
      </w:r>
      <w:r>
        <w:fldChar w:fldCharType="begin"/>
      </w:r>
      <w:r>
        <w:instrText xml:space="preserve"> REF _Ref530650255 \h </w:instrText>
      </w:r>
      <w:r>
        <w:fldChar w:fldCharType="separate"/>
      </w:r>
      <w:r w:rsidR="00574650">
        <w:t xml:space="preserve">Table </w:t>
      </w:r>
      <w:r w:rsidR="00574650">
        <w:rPr>
          <w:noProof/>
        </w:rPr>
        <w:t>4</w:t>
      </w:r>
      <w:r w:rsidR="00574650">
        <w:t>.</w:t>
      </w:r>
      <w:r w:rsidR="00574650">
        <w:rPr>
          <w:noProof/>
        </w:rPr>
        <w:t>4</w:t>
      </w:r>
      <w:r>
        <w:fldChar w:fldCharType="end"/>
      </w:r>
      <w:r w:rsidR="00554CB4">
        <w:t xml:space="preserve">.  </w:t>
      </w:r>
      <w:r>
        <w:t>Gender, number of sessions, treatment duration and publication date were all non-significant.  The regression illustrates that younger participants experienced larger effect sizes when engaged in e</w:t>
      </w:r>
      <w:r>
        <w:noBreakHyphen/>
        <w:t>therapies.</w:t>
      </w:r>
    </w:p>
    <w:p w14:paraId="7B3C03D9" w14:textId="03A41824" w:rsidR="00F1508E" w:rsidRDefault="00F1508E" w:rsidP="00F1508E">
      <w:pPr>
        <w:pStyle w:val="Caption"/>
        <w:keepNext/>
      </w:pPr>
      <w:bookmarkStart w:id="262" w:name="_Ref530650213"/>
      <w:bookmarkStart w:id="263" w:name="_Toc530684654"/>
      <w:proofErr w:type="gramStart"/>
      <w:r>
        <w:t xml:space="preserve">Figure </w:t>
      </w:r>
      <w:r w:rsidR="00371DCC">
        <w:fldChar w:fldCharType="begin"/>
      </w:r>
      <w:r w:rsidR="00371DCC">
        <w:instrText xml:space="preserve"> STYLEREF 1 \s </w:instrText>
      </w:r>
      <w:r w:rsidR="00371DCC">
        <w:fldChar w:fldCharType="separate"/>
      </w:r>
      <w:r w:rsidR="00574650">
        <w:rPr>
          <w:noProof/>
        </w:rPr>
        <w:t>4</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3</w:t>
      </w:r>
      <w:r w:rsidR="00371DCC">
        <w:fldChar w:fldCharType="end"/>
      </w:r>
      <w:bookmarkEnd w:id="262"/>
      <w:r>
        <w:t xml:space="preserve"> </w:t>
      </w:r>
      <w:r w:rsidRPr="006C219A">
        <w:t>Forest plot of e therapy compared with passive control at end of the treatment</w:t>
      </w:r>
      <w:bookmarkEnd w:id="263"/>
    </w:p>
    <w:p w14:paraId="486C8AF3" w14:textId="77777777" w:rsidR="00F1508E" w:rsidRDefault="00F1508E" w:rsidP="00F1508E">
      <w:pPr>
        <w:spacing w:line="480" w:lineRule="auto"/>
        <w:rPr>
          <w:szCs w:val="24"/>
        </w:rPr>
      </w:pPr>
      <w:r>
        <w:rPr>
          <w:noProof/>
          <w:szCs w:val="24"/>
          <w:lang w:eastAsia="en-GB"/>
        </w:rPr>
        <w:drawing>
          <wp:inline distT="0" distB="0" distL="0" distR="0" wp14:anchorId="182B0F66" wp14:editId="22214589">
            <wp:extent cx="5730626" cy="196723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ntrolPost-ForestPlot.png"/>
                    <pic:cNvPicPr/>
                  </pic:nvPicPr>
                  <pic:blipFill>
                    <a:blip r:embed="rId23">
                      <a:extLst>
                        <a:ext uri="{28A0092B-C50C-407E-A947-70E740481C1C}">
                          <a14:useLocalDpi xmlns:a14="http://schemas.microsoft.com/office/drawing/2010/main" val="0"/>
                        </a:ext>
                      </a:extLst>
                    </a:blip>
                    <a:stretch>
                      <a:fillRect/>
                    </a:stretch>
                  </pic:blipFill>
                  <pic:spPr>
                    <a:xfrm>
                      <a:off x="0" y="0"/>
                      <a:ext cx="5730626" cy="1967230"/>
                    </a:xfrm>
                    <a:prstGeom prst="rect">
                      <a:avLst/>
                    </a:prstGeom>
                  </pic:spPr>
                </pic:pic>
              </a:graphicData>
            </a:graphic>
          </wp:inline>
        </w:drawing>
      </w:r>
    </w:p>
    <w:p w14:paraId="071B7482" w14:textId="4505DD3F" w:rsidR="00F1508E" w:rsidRPr="004D6EF5" w:rsidRDefault="00F1508E" w:rsidP="00B27113">
      <w:pPr>
        <w:pStyle w:val="Heading3"/>
      </w:pPr>
      <w:bookmarkStart w:id="264" w:name="_Toc530660510"/>
      <w:bookmarkStart w:id="265" w:name="_Toc3538111"/>
      <w:r w:rsidRPr="004D6EF5">
        <w:t>Active Control</w:t>
      </w:r>
      <w:r>
        <w:t>s</w:t>
      </w:r>
      <w:r w:rsidR="00147EF9">
        <w:t xml:space="preserve"> </w:t>
      </w:r>
      <w:r>
        <w:t>- End of Treatment</w:t>
      </w:r>
      <w:bookmarkEnd w:id="264"/>
      <w:bookmarkEnd w:id="265"/>
    </w:p>
    <w:p w14:paraId="435145BD" w14:textId="2D6896F9" w:rsidR="00F1508E" w:rsidRDefault="00F1508E" w:rsidP="00F1508E">
      <w:r w:rsidRPr="00DA40D7">
        <w:t xml:space="preserve">The effect size for </w:t>
      </w:r>
      <w:r>
        <w:t>e</w:t>
      </w:r>
      <w:r>
        <w:noBreakHyphen/>
        <w:t>therapy</w:t>
      </w:r>
      <w:r w:rsidRPr="00DA40D7">
        <w:t xml:space="preserve"> compared with active </w:t>
      </w:r>
      <w:r>
        <w:t xml:space="preserve">treatment </w:t>
      </w:r>
      <w:r w:rsidRPr="00DA40D7">
        <w:t xml:space="preserve">(k = 7, N = 1,172) was </w:t>
      </w:r>
      <w:r>
        <w:t xml:space="preserve">small </w:t>
      </w:r>
      <w:r w:rsidRPr="00DA40D7">
        <w:t>0.02 (95% CI: -0.45–0.48) and non-significant (z = 0.08, p = 0.932)</w:t>
      </w:r>
      <w:r w:rsidR="00B233DE" w:rsidRPr="00DA40D7">
        <w:t xml:space="preserve">.  </w:t>
      </w:r>
      <w:r w:rsidRPr="00DA40D7">
        <w:t xml:space="preserve">Thus, </w:t>
      </w:r>
      <w:r>
        <w:t>e</w:t>
      </w:r>
      <w:r>
        <w:noBreakHyphen/>
        <w:t>therapy</w:t>
      </w:r>
      <w:r w:rsidRPr="00DA40D7">
        <w:t xml:space="preserve"> </w:t>
      </w:r>
      <w:r>
        <w:t xml:space="preserve">was </w:t>
      </w:r>
      <w:r w:rsidRPr="00DA40D7">
        <w:t xml:space="preserve">found to be superior to </w:t>
      </w:r>
      <w:r>
        <w:t>passive controls at the end of treatment but was matched in terms of effectiveness when compared to other active treatments at this time point</w:t>
      </w:r>
      <w:r w:rsidRPr="00DA40D7">
        <w:t>.</w:t>
      </w:r>
      <w:r>
        <w:t xml:space="preserve">  </w:t>
      </w:r>
      <w:r>
        <w:fldChar w:fldCharType="begin"/>
      </w:r>
      <w:r>
        <w:instrText xml:space="preserve"> REF _Ref530650224 \h </w:instrText>
      </w:r>
      <w:r>
        <w:fldChar w:fldCharType="separate"/>
      </w:r>
      <w:r w:rsidR="00574650">
        <w:t xml:space="preserve">Figure </w:t>
      </w:r>
      <w:r w:rsidR="00574650">
        <w:rPr>
          <w:noProof/>
        </w:rPr>
        <w:t>4</w:t>
      </w:r>
      <w:r w:rsidR="00574650">
        <w:t>.</w:t>
      </w:r>
      <w:r w:rsidR="00574650">
        <w:rPr>
          <w:noProof/>
        </w:rPr>
        <w:t>4</w:t>
      </w:r>
      <w:r>
        <w:fldChar w:fldCharType="end"/>
      </w:r>
      <w:r>
        <w:t xml:space="preserve"> shows the forest plot for this analysis. </w:t>
      </w:r>
      <w:r w:rsidRPr="00DA40D7">
        <w:t xml:space="preserve"> </w:t>
      </w:r>
      <w:r w:rsidRPr="00686E72">
        <w:t xml:space="preserve">The NNT for </w:t>
      </w:r>
      <w:r>
        <w:t>e</w:t>
      </w:r>
      <w:r>
        <w:noBreakHyphen/>
        <w:t>therapy</w:t>
      </w:r>
      <w:r w:rsidRPr="00686E72">
        <w:t xml:space="preserve"> was </w:t>
      </w:r>
      <w:r w:rsidRPr="007D2969">
        <w:t>88.623</w:t>
      </w:r>
      <w:r w:rsidRPr="00686E72">
        <w:t xml:space="preserve">; </w:t>
      </w:r>
      <w:r>
        <w:t xml:space="preserve">approximately </w:t>
      </w:r>
      <w:r w:rsidRPr="00686E72">
        <w:t xml:space="preserve">one out of every </w:t>
      </w:r>
      <w:r>
        <w:t>89</w:t>
      </w:r>
      <w:r w:rsidRPr="00686E72">
        <w:t xml:space="preserve"> patients experienced additional benefit from </w:t>
      </w:r>
      <w:r>
        <w:t>e</w:t>
      </w:r>
      <w:r>
        <w:noBreakHyphen/>
        <w:t>therapy,</w:t>
      </w:r>
      <w:r w:rsidRPr="00686E72">
        <w:t xml:space="preserve"> when compared to </w:t>
      </w:r>
      <w:r>
        <w:t>another active</w:t>
      </w:r>
      <w:r w:rsidRPr="00686E72">
        <w:t xml:space="preserve"> </w:t>
      </w:r>
      <w:r>
        <w:t xml:space="preserve">treatment </w:t>
      </w:r>
      <w:r w:rsidRPr="00686E72">
        <w:t xml:space="preserve">at </w:t>
      </w:r>
      <w:r>
        <w:t>end of treatment</w:t>
      </w:r>
      <w:r w:rsidRPr="00686E72">
        <w:t>.</w:t>
      </w:r>
      <w:r>
        <w:t xml:space="preserve">  Significant </w:t>
      </w:r>
      <w:r w:rsidRPr="00DA40D7">
        <w:t xml:space="preserve">heterogeneity </w:t>
      </w:r>
      <w:r>
        <w:t xml:space="preserve">was apparent </w:t>
      </w:r>
      <w:r w:rsidRPr="00DA40D7">
        <w:t>between studies (</w:t>
      </w:r>
      <w:proofErr w:type="gramStart"/>
      <w:r w:rsidRPr="00DA40D7">
        <w:t>Q</w:t>
      </w:r>
      <w:r w:rsidRPr="00DA40D7">
        <w:rPr>
          <w:vertAlign w:val="subscript"/>
        </w:rPr>
        <w:t>(</w:t>
      </w:r>
      <w:proofErr w:type="gramEnd"/>
      <w:r>
        <w:rPr>
          <w:vertAlign w:val="subscript"/>
        </w:rPr>
        <w:t>7</w:t>
      </w:r>
      <w:r w:rsidRPr="00DA40D7">
        <w:rPr>
          <w:vertAlign w:val="subscript"/>
        </w:rPr>
        <w:t>)</w:t>
      </w:r>
      <w:r w:rsidRPr="00DA40D7">
        <w:t xml:space="preserve"> = </w:t>
      </w:r>
      <w:r>
        <w:t>33.58</w:t>
      </w:r>
      <w:r w:rsidRPr="00DA40D7">
        <w:t xml:space="preserve">, p </w:t>
      </w:r>
      <w:r w:rsidR="00C91799">
        <w:t>&lt;</w:t>
      </w:r>
      <w:r w:rsidRPr="00DA40D7">
        <w:t xml:space="preserve"> 0.00</w:t>
      </w:r>
      <w:r w:rsidR="00C91799">
        <w:t>1</w:t>
      </w:r>
      <w:r w:rsidRPr="00DA40D7">
        <w:t>, I</w:t>
      </w:r>
      <w:r w:rsidRPr="00DA40D7">
        <w:rPr>
          <w:vertAlign w:val="superscript"/>
        </w:rPr>
        <w:t>2</w:t>
      </w:r>
      <w:r w:rsidRPr="00DA40D7">
        <w:t xml:space="preserve"> = </w:t>
      </w:r>
      <w:r>
        <w:t>82%</w:t>
      </w:r>
      <w:r w:rsidRPr="00DA40D7">
        <w:t>).</w:t>
      </w:r>
    </w:p>
    <w:p w14:paraId="1FED4B70" w14:textId="1AB75C10" w:rsidR="00F1508E" w:rsidRDefault="00F1508E" w:rsidP="00F1508E">
      <w:r>
        <w:t>Meta-Regression analysis results for e</w:t>
      </w:r>
      <w:r>
        <w:noBreakHyphen/>
        <w:t xml:space="preserve">therapy versus active are displayed in </w:t>
      </w:r>
      <w:r>
        <w:fldChar w:fldCharType="begin"/>
      </w:r>
      <w:r>
        <w:instrText xml:space="preserve"> REF _Ref530650255 \h </w:instrText>
      </w:r>
      <w:r>
        <w:fldChar w:fldCharType="separate"/>
      </w:r>
      <w:r w:rsidR="00574650">
        <w:t xml:space="preserve">Table </w:t>
      </w:r>
      <w:r w:rsidR="00574650">
        <w:rPr>
          <w:noProof/>
        </w:rPr>
        <w:t>4</w:t>
      </w:r>
      <w:r w:rsidR="00574650">
        <w:t>.</w:t>
      </w:r>
      <w:r w:rsidR="00574650">
        <w:rPr>
          <w:noProof/>
        </w:rPr>
        <w:t>4</w:t>
      </w:r>
      <w:r>
        <w:fldChar w:fldCharType="end"/>
      </w:r>
      <w:r w:rsidR="00554CB4">
        <w:t xml:space="preserve">.  </w:t>
      </w:r>
      <w:r>
        <w:t>Gender and number of sessions were non-significant.  Again, younger participants had a larger effect size.  Treatment duration, age and publication date were all significant.</w:t>
      </w:r>
    </w:p>
    <w:p w14:paraId="6D73D11D" w14:textId="1ABD8876" w:rsidR="00F1508E" w:rsidRDefault="00F1508E" w:rsidP="00F1508E">
      <w:pPr>
        <w:pStyle w:val="Caption"/>
        <w:keepNext/>
      </w:pPr>
      <w:bookmarkStart w:id="266" w:name="_Ref530650224"/>
      <w:bookmarkStart w:id="267" w:name="_Toc530684655"/>
      <w:proofErr w:type="gramStart"/>
      <w:r>
        <w:t xml:space="preserve">Figure </w:t>
      </w:r>
      <w:r w:rsidR="00371DCC">
        <w:fldChar w:fldCharType="begin"/>
      </w:r>
      <w:r w:rsidR="00371DCC">
        <w:instrText xml:space="preserve"> STYLEREF 1 \s </w:instrText>
      </w:r>
      <w:r w:rsidR="00371DCC">
        <w:fldChar w:fldCharType="separate"/>
      </w:r>
      <w:r w:rsidR="00574650">
        <w:rPr>
          <w:noProof/>
        </w:rPr>
        <w:t>4</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4</w:t>
      </w:r>
      <w:r w:rsidR="00371DCC">
        <w:fldChar w:fldCharType="end"/>
      </w:r>
      <w:bookmarkEnd w:id="266"/>
      <w:r>
        <w:rPr>
          <w:noProof/>
        </w:rPr>
        <w:t xml:space="preserve"> Forest plot of e</w:t>
      </w:r>
      <w:r>
        <w:rPr>
          <w:noProof/>
        </w:rPr>
        <w:noBreakHyphen/>
        <w:t>therapy compared with active control at end of the treatment</w:t>
      </w:r>
      <w:bookmarkEnd w:id="267"/>
    </w:p>
    <w:p w14:paraId="0F2A460A" w14:textId="77777777" w:rsidR="00F1508E" w:rsidRDefault="00F1508E" w:rsidP="00F1508E">
      <w:pPr>
        <w:spacing w:line="480" w:lineRule="auto"/>
        <w:rPr>
          <w:szCs w:val="24"/>
        </w:rPr>
      </w:pPr>
      <w:r>
        <w:rPr>
          <w:noProof/>
          <w:szCs w:val="24"/>
          <w:lang w:eastAsia="en-GB"/>
        </w:rPr>
        <w:drawing>
          <wp:inline distT="0" distB="0" distL="0" distR="0" wp14:anchorId="125BB1A6" wp14:editId="0FE4B3D0">
            <wp:extent cx="5731510" cy="1197629"/>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rolFollowUp-ForestPlot.png"/>
                    <pic:cNvPicPr/>
                  </pic:nvPicPr>
                  <pic:blipFill>
                    <a:blip r:embed="rId24">
                      <a:extLst>
                        <a:ext uri="{28A0092B-C50C-407E-A947-70E740481C1C}">
                          <a14:useLocalDpi xmlns:a14="http://schemas.microsoft.com/office/drawing/2010/main" val="0"/>
                        </a:ext>
                      </a:extLst>
                    </a:blip>
                    <a:stretch>
                      <a:fillRect/>
                    </a:stretch>
                  </pic:blipFill>
                  <pic:spPr>
                    <a:xfrm>
                      <a:off x="0" y="0"/>
                      <a:ext cx="5731510" cy="1197629"/>
                    </a:xfrm>
                    <a:prstGeom prst="rect">
                      <a:avLst/>
                    </a:prstGeom>
                  </pic:spPr>
                </pic:pic>
              </a:graphicData>
            </a:graphic>
          </wp:inline>
        </w:drawing>
      </w:r>
    </w:p>
    <w:p w14:paraId="63CDB4E3" w14:textId="28A547E4" w:rsidR="00F1508E" w:rsidRPr="00613FD6" w:rsidRDefault="00F1508E" w:rsidP="00B27113">
      <w:pPr>
        <w:pStyle w:val="Heading3"/>
      </w:pPr>
      <w:bookmarkStart w:id="268" w:name="_Toc530660511"/>
      <w:bookmarkStart w:id="269" w:name="_Toc3538112"/>
      <w:r w:rsidRPr="00613FD6">
        <w:lastRenderedPageBreak/>
        <w:t>Passive Controls - Follow-</w:t>
      </w:r>
      <w:r w:rsidR="00147EF9">
        <w:t>U</w:t>
      </w:r>
      <w:r w:rsidRPr="00613FD6">
        <w:t>p</w:t>
      </w:r>
      <w:bookmarkEnd w:id="268"/>
      <w:bookmarkEnd w:id="269"/>
    </w:p>
    <w:p w14:paraId="65A15EB3" w14:textId="569D82E8" w:rsidR="00F1508E" w:rsidRDefault="00F1508E" w:rsidP="00F1508E">
      <w:r w:rsidRPr="00F613A8">
        <w:t xml:space="preserve">The effect size </w:t>
      </w:r>
      <w:r>
        <w:t>f</w:t>
      </w:r>
      <w:r w:rsidRPr="00F613A8">
        <w:t xml:space="preserve">or </w:t>
      </w:r>
      <w:r>
        <w:t>e</w:t>
      </w:r>
      <w:r>
        <w:noBreakHyphen/>
        <w:t>therapy</w:t>
      </w:r>
      <w:r w:rsidRPr="00F613A8">
        <w:t xml:space="preserve"> </w:t>
      </w:r>
      <w:r>
        <w:t>(d=</w:t>
      </w:r>
      <w:r w:rsidRPr="00F613A8">
        <w:t>0.30</w:t>
      </w:r>
      <w:r>
        <w:t xml:space="preserve">) </w:t>
      </w:r>
      <w:r w:rsidRPr="00F613A8">
        <w:t xml:space="preserve">compared with passive </w:t>
      </w:r>
      <w:r>
        <w:t xml:space="preserve">controls </w:t>
      </w:r>
      <w:r w:rsidRPr="00F613A8">
        <w:t xml:space="preserve">at 6-month follow-up (k = 9; N = 2,478), was small </w:t>
      </w:r>
      <w:r>
        <w:t xml:space="preserve">and significant </w:t>
      </w:r>
      <w:r w:rsidRPr="00F613A8">
        <w:t xml:space="preserve">in favour of </w:t>
      </w:r>
      <w:r>
        <w:t>e</w:t>
      </w:r>
      <w:r>
        <w:noBreakHyphen/>
        <w:t xml:space="preserve">therapy </w:t>
      </w:r>
      <w:r w:rsidRPr="00F613A8">
        <w:t>(95% CI: 0.04-0.57; z = 2.62, p = 0.009)</w:t>
      </w:r>
      <w:r w:rsidR="00761A67" w:rsidRPr="00F613A8">
        <w:t xml:space="preserve">.  </w:t>
      </w:r>
      <w:r>
        <w:fldChar w:fldCharType="begin"/>
      </w:r>
      <w:r>
        <w:instrText xml:space="preserve"> REF _Ref530650678 \h </w:instrText>
      </w:r>
      <w:r>
        <w:fldChar w:fldCharType="separate"/>
      </w:r>
      <w:r w:rsidR="00574650">
        <w:t xml:space="preserve">Figure </w:t>
      </w:r>
      <w:r w:rsidR="00574650">
        <w:rPr>
          <w:noProof/>
        </w:rPr>
        <w:t>4</w:t>
      </w:r>
      <w:r w:rsidR="00574650">
        <w:t>.</w:t>
      </w:r>
      <w:r w:rsidR="00574650">
        <w:rPr>
          <w:noProof/>
        </w:rPr>
        <w:t>5</w:t>
      </w:r>
      <w:r>
        <w:fldChar w:fldCharType="end"/>
      </w:r>
      <w:r>
        <w:t xml:space="preserve"> shows the forest plot for this analysis. </w:t>
      </w:r>
      <w:r w:rsidRPr="00DA40D7">
        <w:t xml:space="preserve"> </w:t>
      </w:r>
      <w:r w:rsidRPr="00686E72">
        <w:t xml:space="preserve">The NNT for </w:t>
      </w:r>
      <w:r>
        <w:t>e</w:t>
      </w:r>
      <w:r>
        <w:noBreakHyphen/>
        <w:t>therapy</w:t>
      </w:r>
      <w:r w:rsidRPr="00686E72">
        <w:t xml:space="preserve"> </w:t>
      </w:r>
      <w:r>
        <w:t xml:space="preserve">at follow-up </w:t>
      </w:r>
      <w:r w:rsidRPr="00686E72">
        <w:t xml:space="preserve">was </w:t>
      </w:r>
      <w:r w:rsidRPr="007D2969">
        <w:t>5.953</w:t>
      </w:r>
      <w:r w:rsidRPr="00686E72">
        <w:t xml:space="preserve">; </w:t>
      </w:r>
      <w:r>
        <w:t xml:space="preserve">approximately </w:t>
      </w:r>
      <w:r w:rsidRPr="00686E72">
        <w:t xml:space="preserve">one out of every </w:t>
      </w:r>
      <w:r>
        <w:t>6</w:t>
      </w:r>
      <w:r w:rsidRPr="00686E72">
        <w:t xml:space="preserve"> patients experienced additional benefit from </w:t>
      </w:r>
      <w:r>
        <w:t>e</w:t>
      </w:r>
      <w:r>
        <w:noBreakHyphen/>
        <w:t>therapy</w:t>
      </w:r>
      <w:r w:rsidRPr="00686E72">
        <w:t xml:space="preserve"> when compared to </w:t>
      </w:r>
      <w:r>
        <w:t>passive</w:t>
      </w:r>
      <w:r w:rsidRPr="00686E72">
        <w:t xml:space="preserve"> </w:t>
      </w:r>
      <w:r>
        <w:t xml:space="preserve">controls </w:t>
      </w:r>
      <w:r w:rsidRPr="00686E72">
        <w:t xml:space="preserve">at </w:t>
      </w:r>
      <w:r>
        <w:t>follow up</w:t>
      </w:r>
      <w:r w:rsidRPr="00686E72">
        <w:t>.</w:t>
      </w:r>
      <w:r>
        <w:t xml:space="preserve">  S</w:t>
      </w:r>
      <w:r w:rsidRPr="00F613A8">
        <w:t xml:space="preserve">ignificant statistical heterogeneity was </w:t>
      </w:r>
      <w:r>
        <w:t xml:space="preserve">again evident </w:t>
      </w:r>
      <w:r w:rsidRPr="00F613A8">
        <w:t xml:space="preserve">between </w:t>
      </w:r>
      <w:r>
        <w:t xml:space="preserve">the </w:t>
      </w:r>
      <w:r w:rsidRPr="00F613A8">
        <w:t>studies (</w:t>
      </w:r>
      <w:proofErr w:type="gramStart"/>
      <w:r w:rsidRPr="00F613A8">
        <w:t>Q</w:t>
      </w:r>
      <w:r w:rsidRPr="00F613A8">
        <w:rPr>
          <w:vertAlign w:val="subscript"/>
        </w:rPr>
        <w:t>(</w:t>
      </w:r>
      <w:proofErr w:type="gramEnd"/>
      <w:r w:rsidRPr="00F613A8">
        <w:rPr>
          <w:vertAlign w:val="subscript"/>
        </w:rPr>
        <w:t>9)</w:t>
      </w:r>
      <w:r w:rsidRPr="00F613A8">
        <w:t xml:space="preserve"> = 116.12, p </w:t>
      </w:r>
      <w:r w:rsidR="001C26A2">
        <w:t>&lt;</w:t>
      </w:r>
      <w:r w:rsidRPr="00F613A8">
        <w:t xml:space="preserve"> 0.00</w:t>
      </w:r>
      <w:r w:rsidR="001C26A2">
        <w:t>1</w:t>
      </w:r>
      <w:r w:rsidRPr="00F613A8">
        <w:t>, I</w:t>
      </w:r>
      <w:r w:rsidRPr="00F613A8">
        <w:rPr>
          <w:vertAlign w:val="superscript"/>
        </w:rPr>
        <w:t>2</w:t>
      </w:r>
      <w:r w:rsidRPr="00F613A8">
        <w:t xml:space="preserve"> = 93</w:t>
      </w:r>
      <w:r>
        <w:t>%</w:t>
      </w:r>
      <w:r w:rsidRPr="00F613A8">
        <w:t xml:space="preserve">). </w:t>
      </w:r>
    </w:p>
    <w:p w14:paraId="7ABAEAFD" w14:textId="2615434F" w:rsidR="00F1508E" w:rsidRPr="00B43A4F" w:rsidRDefault="00F1508E" w:rsidP="00F1508E">
      <w:pPr>
        <w:rPr>
          <w:rFonts w:ascii="Times New Roman" w:hAnsi="Times New Roman" w:cs="Times New Roman"/>
          <w:sz w:val="18"/>
          <w:szCs w:val="18"/>
        </w:rPr>
      </w:pPr>
      <w:r>
        <w:t>Meta-Regression analysis results for e</w:t>
      </w:r>
      <w:r>
        <w:noBreakHyphen/>
        <w:t xml:space="preserve">therapy versus passive are displayed in </w:t>
      </w:r>
      <w:r>
        <w:fldChar w:fldCharType="begin"/>
      </w:r>
      <w:r>
        <w:instrText xml:space="preserve"> REF _Ref530650255 \h </w:instrText>
      </w:r>
      <w:r>
        <w:fldChar w:fldCharType="separate"/>
      </w:r>
      <w:r w:rsidR="00574650">
        <w:t xml:space="preserve">Table </w:t>
      </w:r>
      <w:r w:rsidR="00574650">
        <w:rPr>
          <w:noProof/>
        </w:rPr>
        <w:t>4</w:t>
      </w:r>
      <w:r w:rsidR="00574650">
        <w:t>.</w:t>
      </w:r>
      <w:r w:rsidR="00574650">
        <w:rPr>
          <w:noProof/>
        </w:rPr>
        <w:t>4</w:t>
      </w:r>
      <w:r>
        <w:fldChar w:fldCharType="end"/>
      </w:r>
      <w:r w:rsidR="00554CB4">
        <w:t xml:space="preserve">.  </w:t>
      </w:r>
      <w:r>
        <w:t xml:space="preserve">Gender, number of sessions, treatment duration, </w:t>
      </w:r>
      <w:proofErr w:type="gramStart"/>
      <w:r>
        <w:t>age</w:t>
      </w:r>
      <w:proofErr w:type="gramEnd"/>
      <w:r>
        <w:t xml:space="preserve"> and publication date were all significant.</w:t>
      </w:r>
    </w:p>
    <w:p w14:paraId="6FD5F6AD" w14:textId="460B7FFF" w:rsidR="00F1508E" w:rsidRDefault="00F1508E" w:rsidP="00F1508E">
      <w:pPr>
        <w:pStyle w:val="Caption"/>
        <w:keepNext/>
      </w:pPr>
      <w:bookmarkStart w:id="270" w:name="_Ref530650678"/>
      <w:bookmarkStart w:id="271" w:name="_Toc530684656"/>
      <w:proofErr w:type="gramStart"/>
      <w:r>
        <w:t xml:space="preserve">Figure </w:t>
      </w:r>
      <w:r w:rsidR="00371DCC">
        <w:fldChar w:fldCharType="begin"/>
      </w:r>
      <w:r w:rsidR="00371DCC">
        <w:instrText xml:space="preserve"> STYLEREF 1 \s </w:instrText>
      </w:r>
      <w:r w:rsidR="00371DCC">
        <w:fldChar w:fldCharType="separate"/>
      </w:r>
      <w:r w:rsidR="00574650">
        <w:rPr>
          <w:noProof/>
        </w:rPr>
        <w:t>4</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5</w:t>
      </w:r>
      <w:r w:rsidR="00371DCC">
        <w:fldChar w:fldCharType="end"/>
      </w:r>
      <w:bookmarkEnd w:id="270"/>
      <w:r>
        <w:rPr>
          <w:noProof/>
        </w:rPr>
        <w:t xml:space="preserve"> Forest plot of e</w:t>
      </w:r>
      <w:r>
        <w:rPr>
          <w:noProof/>
        </w:rPr>
        <w:noBreakHyphen/>
        <w:t>therapy compared with passive control at follow-up</w:t>
      </w:r>
      <w:bookmarkEnd w:id="271"/>
    </w:p>
    <w:p w14:paraId="7E6533F8" w14:textId="77777777" w:rsidR="00F1508E" w:rsidRDefault="00F1508E" w:rsidP="00F1508E">
      <w:pPr>
        <w:spacing w:line="480" w:lineRule="auto"/>
        <w:rPr>
          <w:szCs w:val="24"/>
        </w:rPr>
      </w:pPr>
      <w:r>
        <w:rPr>
          <w:noProof/>
          <w:szCs w:val="24"/>
          <w:lang w:eastAsia="en-GB"/>
        </w:rPr>
        <w:drawing>
          <wp:inline distT="0" distB="0" distL="0" distR="0" wp14:anchorId="3665294B" wp14:editId="734D3D1D">
            <wp:extent cx="5731200" cy="1967427"/>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ctivePost-ForestPlot.png"/>
                    <pic:cNvPicPr/>
                  </pic:nvPicPr>
                  <pic:blipFill>
                    <a:blip r:embed="rId23">
                      <a:extLst>
                        <a:ext uri="{28A0092B-C50C-407E-A947-70E740481C1C}">
                          <a14:useLocalDpi xmlns:a14="http://schemas.microsoft.com/office/drawing/2010/main" val="0"/>
                        </a:ext>
                      </a:extLst>
                    </a:blip>
                    <a:stretch>
                      <a:fillRect/>
                    </a:stretch>
                  </pic:blipFill>
                  <pic:spPr>
                    <a:xfrm>
                      <a:off x="0" y="0"/>
                      <a:ext cx="5731200" cy="1967427"/>
                    </a:xfrm>
                    <a:prstGeom prst="rect">
                      <a:avLst/>
                    </a:prstGeom>
                  </pic:spPr>
                </pic:pic>
              </a:graphicData>
            </a:graphic>
          </wp:inline>
        </w:drawing>
      </w:r>
    </w:p>
    <w:p w14:paraId="0B87AB4E" w14:textId="5DEE85B2" w:rsidR="00F1508E" w:rsidRDefault="00F1508E" w:rsidP="00B27113">
      <w:pPr>
        <w:pStyle w:val="Heading3"/>
        <w:rPr>
          <w:szCs w:val="24"/>
        </w:rPr>
      </w:pPr>
      <w:bookmarkStart w:id="272" w:name="_Toc530660512"/>
      <w:bookmarkStart w:id="273" w:name="_Toc3538113"/>
      <w:r>
        <w:t xml:space="preserve">Active Controls - </w:t>
      </w:r>
      <w:r w:rsidRPr="00DB3C11">
        <w:t>Follow-</w:t>
      </w:r>
      <w:r w:rsidR="00147EF9">
        <w:t>U</w:t>
      </w:r>
      <w:r w:rsidRPr="00DB3C11">
        <w:t>p</w:t>
      </w:r>
      <w:bookmarkEnd w:id="272"/>
      <w:bookmarkEnd w:id="273"/>
    </w:p>
    <w:p w14:paraId="6EC38CB3" w14:textId="2C5513E1" w:rsidR="00F1508E" w:rsidRDefault="00F1508E" w:rsidP="00F1508E">
      <w:r w:rsidRPr="00F613A8">
        <w:t xml:space="preserve">The effect size for </w:t>
      </w:r>
      <w:r>
        <w:t>e</w:t>
      </w:r>
      <w:r>
        <w:noBreakHyphen/>
        <w:t>therapy</w:t>
      </w:r>
      <w:r w:rsidRPr="00F613A8">
        <w:t xml:space="preserve"> compared with active </w:t>
      </w:r>
      <w:r>
        <w:t xml:space="preserve">controls at follow-up </w:t>
      </w:r>
      <w:r w:rsidRPr="00F613A8">
        <w:t xml:space="preserve">(k = 5, N = 1,112) was </w:t>
      </w:r>
      <w:r>
        <w:t>small 0.12 (95% CI: -0.23–0.47)</w:t>
      </w:r>
      <w:r w:rsidRPr="00F613A8">
        <w:t xml:space="preserve"> and non-significant (z = 0.9</w:t>
      </w:r>
      <w:r>
        <w:t>2, p = 0.356)</w:t>
      </w:r>
      <w:r w:rsidR="00761A67" w:rsidRPr="00F613A8">
        <w:t xml:space="preserve">.  </w:t>
      </w:r>
      <w:r w:rsidRPr="00F613A8">
        <w:t xml:space="preserve">Thus, </w:t>
      </w:r>
      <w:r>
        <w:t>at follow-up, e</w:t>
      </w:r>
      <w:r>
        <w:noBreakHyphen/>
        <w:t>therapy</w:t>
      </w:r>
      <w:r w:rsidRPr="00F613A8" w:rsidDel="000F7C6B">
        <w:t xml:space="preserve"> </w:t>
      </w:r>
      <w:r w:rsidRPr="00F613A8">
        <w:t xml:space="preserve">was found to be superior to </w:t>
      </w:r>
      <w:r>
        <w:t>passive controls, but again no significant difference was found when e</w:t>
      </w:r>
      <w:r>
        <w:noBreakHyphen/>
        <w:t xml:space="preserve">therapy was compared to an active treatment.  </w:t>
      </w:r>
      <w:r>
        <w:fldChar w:fldCharType="begin"/>
      </w:r>
      <w:r>
        <w:instrText xml:space="preserve"> REF _Ref530650620 \h </w:instrText>
      </w:r>
      <w:r>
        <w:fldChar w:fldCharType="separate"/>
      </w:r>
      <w:r w:rsidR="00574650">
        <w:t xml:space="preserve">Figure </w:t>
      </w:r>
      <w:r w:rsidR="00574650">
        <w:rPr>
          <w:noProof/>
        </w:rPr>
        <w:t>4</w:t>
      </w:r>
      <w:r w:rsidR="00574650">
        <w:t>.</w:t>
      </w:r>
      <w:r w:rsidR="00574650">
        <w:rPr>
          <w:noProof/>
        </w:rPr>
        <w:t>6</w:t>
      </w:r>
      <w:r>
        <w:fldChar w:fldCharType="end"/>
      </w:r>
      <w:r>
        <w:t xml:space="preserve"> shows the forest plot for this analysis. </w:t>
      </w:r>
      <w:r w:rsidRPr="00DA40D7">
        <w:t xml:space="preserve"> </w:t>
      </w:r>
      <w:r w:rsidRPr="00686E72">
        <w:t xml:space="preserve">The NNT for </w:t>
      </w:r>
      <w:r>
        <w:t>e</w:t>
      </w:r>
      <w:r>
        <w:noBreakHyphen/>
        <w:t>therapy</w:t>
      </w:r>
      <w:r w:rsidRPr="00686E72">
        <w:t xml:space="preserve"> was </w:t>
      </w:r>
      <w:r w:rsidRPr="007D2969">
        <w:t>14.788</w:t>
      </w:r>
      <w:r w:rsidRPr="00686E72">
        <w:t xml:space="preserve">; </w:t>
      </w:r>
      <w:r>
        <w:t xml:space="preserve">approximately </w:t>
      </w:r>
      <w:r w:rsidRPr="00686E72">
        <w:t xml:space="preserve">one out of every </w:t>
      </w:r>
      <w:r>
        <w:t>15</w:t>
      </w:r>
      <w:r w:rsidRPr="00686E72">
        <w:t xml:space="preserve"> patients experienced additional benefit from </w:t>
      </w:r>
      <w:r>
        <w:t>e</w:t>
      </w:r>
      <w:r>
        <w:noBreakHyphen/>
        <w:t>therapy</w:t>
      </w:r>
      <w:r w:rsidRPr="00686E72">
        <w:t xml:space="preserve"> when compared to </w:t>
      </w:r>
      <w:r>
        <w:t>other active</w:t>
      </w:r>
      <w:r w:rsidRPr="00686E72">
        <w:t xml:space="preserve"> </w:t>
      </w:r>
      <w:r>
        <w:t xml:space="preserve">treatments </w:t>
      </w:r>
      <w:r w:rsidRPr="00686E72">
        <w:t xml:space="preserve">at </w:t>
      </w:r>
      <w:r>
        <w:t>follow-up</w:t>
      </w:r>
      <w:r w:rsidRPr="00686E72">
        <w:t>.</w:t>
      </w:r>
      <w:r>
        <w:t xml:space="preserve"> </w:t>
      </w:r>
      <w:r w:rsidRPr="00D4681A">
        <w:t xml:space="preserve"> </w:t>
      </w:r>
      <w:r>
        <w:t xml:space="preserve">Significant between study </w:t>
      </w:r>
      <w:r w:rsidRPr="00DA40D7">
        <w:t xml:space="preserve">heterogeneity </w:t>
      </w:r>
      <w:r>
        <w:t xml:space="preserve">was found </w:t>
      </w:r>
      <w:r w:rsidRPr="00DA40D7">
        <w:t>(</w:t>
      </w:r>
      <w:proofErr w:type="gramStart"/>
      <w:r w:rsidRPr="00DA40D7">
        <w:t>Q</w:t>
      </w:r>
      <w:r w:rsidRPr="00DA40D7">
        <w:rPr>
          <w:vertAlign w:val="subscript"/>
        </w:rPr>
        <w:t>(</w:t>
      </w:r>
      <w:proofErr w:type="gramEnd"/>
      <w:r>
        <w:rPr>
          <w:vertAlign w:val="subscript"/>
        </w:rPr>
        <w:t>5</w:t>
      </w:r>
      <w:r w:rsidRPr="00DA40D7">
        <w:rPr>
          <w:vertAlign w:val="subscript"/>
        </w:rPr>
        <w:t>)</w:t>
      </w:r>
      <w:r w:rsidRPr="00DA40D7">
        <w:t xml:space="preserve"> = </w:t>
      </w:r>
      <w:r>
        <w:t>14.91, p = 0.005</w:t>
      </w:r>
      <w:r w:rsidRPr="00DA40D7">
        <w:t>, I</w:t>
      </w:r>
      <w:r w:rsidRPr="00DA40D7">
        <w:rPr>
          <w:vertAlign w:val="superscript"/>
        </w:rPr>
        <w:t>2</w:t>
      </w:r>
      <w:r w:rsidRPr="00DA40D7">
        <w:t xml:space="preserve"> = </w:t>
      </w:r>
      <w:r>
        <w:t>73%</w:t>
      </w:r>
      <w:r w:rsidRPr="00DA40D7">
        <w:t>).</w:t>
      </w:r>
    </w:p>
    <w:p w14:paraId="5EF9A629" w14:textId="46C08B46" w:rsidR="00F1508E" w:rsidRDefault="00F1508E" w:rsidP="00F1508E">
      <w:r>
        <w:t>Meta-Regression analysis results for e</w:t>
      </w:r>
      <w:r>
        <w:noBreakHyphen/>
        <w:t xml:space="preserve">therapy versus active are displayed in </w:t>
      </w:r>
      <w:r>
        <w:fldChar w:fldCharType="begin"/>
      </w:r>
      <w:r>
        <w:instrText xml:space="preserve"> REF _Ref530650255 \h </w:instrText>
      </w:r>
      <w:r>
        <w:fldChar w:fldCharType="separate"/>
      </w:r>
      <w:r w:rsidR="00574650">
        <w:t xml:space="preserve">Table </w:t>
      </w:r>
      <w:r w:rsidR="00574650">
        <w:rPr>
          <w:noProof/>
        </w:rPr>
        <w:t>4</w:t>
      </w:r>
      <w:r w:rsidR="00574650">
        <w:t>.</w:t>
      </w:r>
      <w:r w:rsidR="00574650">
        <w:rPr>
          <w:noProof/>
        </w:rPr>
        <w:t>4</w:t>
      </w:r>
      <w:r>
        <w:fldChar w:fldCharType="end"/>
      </w:r>
      <w:r w:rsidR="00554CB4">
        <w:t xml:space="preserve">.  </w:t>
      </w:r>
      <w:r>
        <w:t>Gender, number of sessions, treatment duration and publication date were all significant.</w:t>
      </w:r>
    </w:p>
    <w:p w14:paraId="2A686BE8" w14:textId="60AC30FA" w:rsidR="00F1508E" w:rsidRDefault="00F1508E" w:rsidP="00F1508E">
      <w:pPr>
        <w:pStyle w:val="Caption"/>
        <w:keepNext/>
      </w:pPr>
      <w:bookmarkStart w:id="274" w:name="_Ref530650620"/>
      <w:bookmarkStart w:id="275" w:name="_Toc530684657"/>
      <w:proofErr w:type="gramStart"/>
      <w:r>
        <w:t xml:space="preserve">Figure </w:t>
      </w:r>
      <w:r w:rsidR="00371DCC">
        <w:fldChar w:fldCharType="begin"/>
      </w:r>
      <w:r w:rsidR="00371DCC">
        <w:instrText xml:space="preserve"> STYLEREF 1 \s </w:instrText>
      </w:r>
      <w:r w:rsidR="00371DCC">
        <w:fldChar w:fldCharType="separate"/>
      </w:r>
      <w:r w:rsidR="00574650">
        <w:rPr>
          <w:noProof/>
        </w:rPr>
        <w:t>4</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6</w:t>
      </w:r>
      <w:r w:rsidR="00371DCC">
        <w:fldChar w:fldCharType="end"/>
      </w:r>
      <w:bookmarkEnd w:id="274"/>
      <w:r>
        <w:rPr>
          <w:noProof/>
        </w:rPr>
        <w:t xml:space="preserve"> Forest plot of e</w:t>
      </w:r>
      <w:r>
        <w:rPr>
          <w:noProof/>
        </w:rPr>
        <w:noBreakHyphen/>
        <w:t>therapy compared with active control at follow-up</w:t>
      </w:r>
      <w:bookmarkEnd w:id="275"/>
    </w:p>
    <w:p w14:paraId="0300642C" w14:textId="77777777" w:rsidR="00F1508E" w:rsidRDefault="00F1508E" w:rsidP="00F1508E">
      <w:pPr>
        <w:spacing w:line="480" w:lineRule="auto"/>
        <w:rPr>
          <w:b/>
          <w:lang w:eastAsia="en-GB"/>
        </w:rPr>
      </w:pPr>
      <w:r>
        <w:rPr>
          <w:noProof/>
          <w:szCs w:val="24"/>
          <w:lang w:eastAsia="en-GB"/>
        </w:rPr>
        <w:drawing>
          <wp:inline distT="0" distB="0" distL="0" distR="0" wp14:anchorId="02AA6122" wp14:editId="1210C3EB">
            <wp:extent cx="5731510" cy="1008365"/>
            <wp:effectExtent l="0" t="0" r="254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ctiveFollowUp-ForestPlot.png"/>
                    <pic:cNvPicPr/>
                  </pic:nvPicPr>
                  <pic:blipFill>
                    <a:blip r:embed="rId25">
                      <a:extLst>
                        <a:ext uri="{28A0092B-C50C-407E-A947-70E740481C1C}">
                          <a14:useLocalDpi xmlns:a14="http://schemas.microsoft.com/office/drawing/2010/main" val="0"/>
                        </a:ext>
                      </a:extLst>
                    </a:blip>
                    <a:stretch>
                      <a:fillRect/>
                    </a:stretch>
                  </pic:blipFill>
                  <pic:spPr>
                    <a:xfrm>
                      <a:off x="0" y="0"/>
                      <a:ext cx="5731510" cy="1008365"/>
                    </a:xfrm>
                    <a:prstGeom prst="rect">
                      <a:avLst/>
                    </a:prstGeom>
                  </pic:spPr>
                </pic:pic>
              </a:graphicData>
            </a:graphic>
          </wp:inline>
        </w:drawing>
      </w:r>
    </w:p>
    <w:p w14:paraId="410FAB00" w14:textId="77777777" w:rsidR="00F1508E" w:rsidRDefault="00F1508E" w:rsidP="00E31AB0">
      <w:pPr>
        <w:pStyle w:val="Heading2"/>
        <w:numPr>
          <w:ilvl w:val="1"/>
          <w:numId w:val="16"/>
        </w:numPr>
        <w:sectPr w:rsidR="00F1508E" w:rsidSect="00452C07">
          <w:pgSz w:w="11906" w:h="16838"/>
          <w:pgMar w:top="851" w:right="851" w:bottom="851" w:left="1134" w:header="708" w:footer="708" w:gutter="0"/>
          <w:cols w:space="708"/>
          <w:docGrid w:linePitch="360"/>
        </w:sectPr>
      </w:pPr>
    </w:p>
    <w:p w14:paraId="111FEFA1" w14:textId="6E18B085" w:rsidR="00F1508E" w:rsidRDefault="00F1508E" w:rsidP="00B27113">
      <w:pPr>
        <w:pStyle w:val="Heading2"/>
      </w:pPr>
      <w:bookmarkStart w:id="276" w:name="_Toc530660513"/>
      <w:bookmarkStart w:id="277" w:name="_Toc3538114"/>
      <w:r w:rsidRPr="005664B0">
        <w:lastRenderedPageBreak/>
        <w:t xml:space="preserve">Meta-Regression </w:t>
      </w:r>
      <w:r w:rsidR="00147EF9">
        <w:t>A</w:t>
      </w:r>
      <w:r w:rsidRPr="005664B0">
        <w:t>nalysis</w:t>
      </w:r>
      <w:bookmarkEnd w:id="276"/>
      <w:bookmarkEnd w:id="277"/>
    </w:p>
    <w:p w14:paraId="1138A8B1" w14:textId="3E6EA2D6" w:rsidR="00F1508E" w:rsidRDefault="00F1508E" w:rsidP="00F1508E">
      <w:r>
        <w:fldChar w:fldCharType="begin"/>
      </w:r>
      <w:r>
        <w:instrText xml:space="preserve"> REF _Ref530650255 \h </w:instrText>
      </w:r>
      <w:r>
        <w:fldChar w:fldCharType="separate"/>
      </w:r>
      <w:r w:rsidR="00574650">
        <w:t xml:space="preserve">Table </w:t>
      </w:r>
      <w:r w:rsidR="00574650">
        <w:rPr>
          <w:noProof/>
        </w:rPr>
        <w:t>4</w:t>
      </w:r>
      <w:r w:rsidR="00574650">
        <w:t>.</w:t>
      </w:r>
      <w:r w:rsidR="00574650">
        <w:rPr>
          <w:noProof/>
        </w:rPr>
        <w:t>4</w:t>
      </w:r>
      <w:r>
        <w:fldChar w:fldCharType="end"/>
      </w:r>
      <w:r>
        <w:t xml:space="preserve"> for contains the results for the </w:t>
      </w:r>
      <w:proofErr w:type="gramStart"/>
      <w:r>
        <w:t>meta</w:t>
      </w:r>
      <w:proofErr w:type="gramEnd"/>
      <w:r>
        <w:t xml:space="preserve"> regression analyses for both end of treatment and at follow-up.</w:t>
      </w:r>
    </w:p>
    <w:p w14:paraId="45AC406E" w14:textId="608C4807" w:rsidR="00F1508E" w:rsidRDefault="00F1508E" w:rsidP="00F1508E">
      <w:pPr>
        <w:pStyle w:val="Caption"/>
        <w:keepNext/>
      </w:pPr>
      <w:bookmarkStart w:id="278" w:name="_Ref530650255"/>
      <w:bookmarkStart w:id="279" w:name="_Toc530759489"/>
      <w:proofErr w:type="gramStart"/>
      <w:r>
        <w:t xml:space="preserve">Table </w:t>
      </w:r>
      <w:r w:rsidR="007E7BB7">
        <w:fldChar w:fldCharType="begin"/>
      </w:r>
      <w:r w:rsidR="007E7BB7">
        <w:instrText xml:space="preserve"> STYLEREF 1 \s </w:instrText>
      </w:r>
      <w:r w:rsidR="007E7BB7">
        <w:fldChar w:fldCharType="separate"/>
      </w:r>
      <w:r w:rsidR="00574650">
        <w:rPr>
          <w:noProof/>
        </w:rPr>
        <w:t>4</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proofErr w:type="gramStart"/>
      <w:r w:rsidR="00574650">
        <w:rPr>
          <w:noProof/>
        </w:rPr>
        <w:t>4</w:t>
      </w:r>
      <w:r w:rsidR="007E7BB7">
        <w:fldChar w:fldCharType="end"/>
      </w:r>
      <w:bookmarkEnd w:id="278"/>
      <w:r>
        <w:t xml:space="preserve"> Meta-regression analysis</w:t>
      </w:r>
      <w:bookmarkEnd w:id="279"/>
      <w:proofErr w:type="gramEnd"/>
    </w:p>
    <w:tbl>
      <w:tblPr>
        <w:tblStyle w:val="TableGrid"/>
        <w:tblW w:w="14425" w:type="dxa"/>
        <w:tblLayout w:type="fixed"/>
        <w:tblCellMar>
          <w:top w:w="57" w:type="dxa"/>
          <w:bottom w:w="57" w:type="dxa"/>
        </w:tblCellMar>
        <w:tblLook w:val="04A0" w:firstRow="1" w:lastRow="0" w:firstColumn="1" w:lastColumn="0" w:noHBand="0" w:noVBand="1"/>
      </w:tblPr>
      <w:tblGrid>
        <w:gridCol w:w="1985"/>
        <w:gridCol w:w="1134"/>
        <w:gridCol w:w="1984"/>
        <w:gridCol w:w="1843"/>
        <w:gridCol w:w="1418"/>
        <w:gridCol w:w="2268"/>
        <w:gridCol w:w="1667"/>
        <w:gridCol w:w="850"/>
        <w:gridCol w:w="1276"/>
      </w:tblGrid>
      <w:tr w:rsidR="00F1508E" w:rsidRPr="00501424" w14:paraId="37FD0F85" w14:textId="77777777" w:rsidTr="00D075F6">
        <w:trPr>
          <w:trHeight w:val="25"/>
        </w:trPr>
        <w:tc>
          <w:tcPr>
            <w:tcW w:w="1985" w:type="dxa"/>
            <w:tcBorders>
              <w:top w:val="single" w:sz="4" w:space="0" w:color="auto"/>
              <w:left w:val="nil"/>
              <w:bottom w:val="single" w:sz="4" w:space="0" w:color="auto"/>
              <w:right w:val="nil"/>
            </w:tcBorders>
            <w:vAlign w:val="center"/>
          </w:tcPr>
          <w:p w14:paraId="7C30834A" w14:textId="77777777" w:rsidR="00F1508E" w:rsidRPr="00501424" w:rsidRDefault="00F1508E" w:rsidP="00D075F6">
            <w:pPr>
              <w:pStyle w:val="NoSpacing"/>
            </w:pPr>
            <w:r w:rsidRPr="00501424">
              <w:t>Time Point</w:t>
            </w:r>
          </w:p>
        </w:tc>
        <w:tc>
          <w:tcPr>
            <w:tcW w:w="1134" w:type="dxa"/>
            <w:tcBorders>
              <w:top w:val="single" w:sz="4" w:space="0" w:color="auto"/>
              <w:left w:val="nil"/>
              <w:bottom w:val="single" w:sz="4" w:space="0" w:color="auto"/>
              <w:right w:val="nil"/>
            </w:tcBorders>
            <w:vAlign w:val="center"/>
          </w:tcPr>
          <w:p w14:paraId="6C29AB16" w14:textId="77777777" w:rsidR="00F1508E" w:rsidRPr="00501424" w:rsidRDefault="00F1508E" w:rsidP="00D075F6">
            <w:pPr>
              <w:pStyle w:val="NoSpacing"/>
            </w:pPr>
            <w:r w:rsidRPr="00501424">
              <w:t>Control</w:t>
            </w:r>
          </w:p>
        </w:tc>
        <w:tc>
          <w:tcPr>
            <w:tcW w:w="1984" w:type="dxa"/>
            <w:tcBorders>
              <w:top w:val="single" w:sz="4" w:space="0" w:color="auto"/>
              <w:left w:val="nil"/>
              <w:bottom w:val="single" w:sz="4" w:space="0" w:color="auto"/>
              <w:right w:val="nil"/>
            </w:tcBorders>
            <w:vAlign w:val="center"/>
          </w:tcPr>
          <w:p w14:paraId="159558EA" w14:textId="77777777" w:rsidR="00F1508E" w:rsidRPr="00501424" w:rsidRDefault="00F1508E" w:rsidP="00D075F6">
            <w:pPr>
              <w:pStyle w:val="NoSpacing"/>
            </w:pPr>
            <w:r w:rsidRPr="00501424">
              <w:t>Variable</w:t>
            </w:r>
          </w:p>
        </w:tc>
        <w:tc>
          <w:tcPr>
            <w:tcW w:w="1843" w:type="dxa"/>
            <w:tcBorders>
              <w:top w:val="single" w:sz="4" w:space="0" w:color="auto"/>
              <w:left w:val="nil"/>
              <w:bottom w:val="single" w:sz="4" w:space="0" w:color="auto"/>
              <w:right w:val="nil"/>
            </w:tcBorders>
            <w:vAlign w:val="center"/>
          </w:tcPr>
          <w:p w14:paraId="1D80CE78" w14:textId="77777777" w:rsidR="00F1508E" w:rsidRPr="00501424" w:rsidRDefault="00F1508E" w:rsidP="00D075F6">
            <w:pPr>
              <w:pStyle w:val="NoSpacing"/>
            </w:pPr>
          </w:p>
        </w:tc>
        <w:tc>
          <w:tcPr>
            <w:tcW w:w="1418" w:type="dxa"/>
            <w:tcBorders>
              <w:top w:val="single" w:sz="4" w:space="0" w:color="auto"/>
              <w:left w:val="nil"/>
              <w:bottom w:val="single" w:sz="4" w:space="0" w:color="auto"/>
              <w:right w:val="nil"/>
            </w:tcBorders>
            <w:vAlign w:val="center"/>
          </w:tcPr>
          <w:p w14:paraId="717D93AE" w14:textId="77777777" w:rsidR="00F1508E" w:rsidRPr="00501424" w:rsidRDefault="00F1508E" w:rsidP="00D075F6">
            <w:pPr>
              <w:pStyle w:val="NoSpacing"/>
            </w:pPr>
            <w:r w:rsidRPr="00501424">
              <w:t>N</w:t>
            </w:r>
          </w:p>
        </w:tc>
        <w:tc>
          <w:tcPr>
            <w:tcW w:w="2268" w:type="dxa"/>
            <w:tcBorders>
              <w:top w:val="single" w:sz="4" w:space="0" w:color="auto"/>
              <w:left w:val="nil"/>
              <w:bottom w:val="single" w:sz="4" w:space="0" w:color="auto"/>
              <w:right w:val="nil"/>
            </w:tcBorders>
            <w:vAlign w:val="center"/>
          </w:tcPr>
          <w:p w14:paraId="79975BFD" w14:textId="77777777" w:rsidR="00F1508E" w:rsidRPr="00501424" w:rsidRDefault="00F1508E" w:rsidP="00D075F6">
            <w:pPr>
              <w:pStyle w:val="NoSpacing"/>
            </w:pPr>
            <w:r w:rsidRPr="00501424">
              <w:t>B-coefficient</w:t>
            </w:r>
          </w:p>
        </w:tc>
        <w:tc>
          <w:tcPr>
            <w:tcW w:w="1667" w:type="dxa"/>
            <w:tcBorders>
              <w:top w:val="single" w:sz="4" w:space="0" w:color="auto"/>
              <w:left w:val="nil"/>
              <w:bottom w:val="single" w:sz="4" w:space="0" w:color="auto"/>
              <w:right w:val="nil"/>
            </w:tcBorders>
            <w:vAlign w:val="center"/>
          </w:tcPr>
          <w:p w14:paraId="3EB0FAC3" w14:textId="77777777" w:rsidR="00F1508E" w:rsidRPr="00501424" w:rsidRDefault="00F1508E" w:rsidP="00D075F6">
            <w:pPr>
              <w:pStyle w:val="NoSpacing"/>
            </w:pPr>
            <w:r w:rsidRPr="00501424">
              <w:t>95% CI</w:t>
            </w:r>
          </w:p>
        </w:tc>
        <w:tc>
          <w:tcPr>
            <w:tcW w:w="850" w:type="dxa"/>
            <w:tcBorders>
              <w:top w:val="single" w:sz="4" w:space="0" w:color="auto"/>
              <w:left w:val="nil"/>
              <w:bottom w:val="single" w:sz="4" w:space="0" w:color="auto"/>
              <w:right w:val="nil"/>
            </w:tcBorders>
            <w:vAlign w:val="center"/>
          </w:tcPr>
          <w:p w14:paraId="2690DC70" w14:textId="77777777" w:rsidR="00F1508E" w:rsidRPr="00501424" w:rsidRDefault="00F1508E" w:rsidP="00D075F6">
            <w:pPr>
              <w:pStyle w:val="NoSpacing"/>
            </w:pPr>
            <w:r w:rsidRPr="00501424">
              <w:t>SE</w:t>
            </w:r>
          </w:p>
        </w:tc>
        <w:tc>
          <w:tcPr>
            <w:tcW w:w="1276" w:type="dxa"/>
            <w:tcBorders>
              <w:top w:val="single" w:sz="4" w:space="0" w:color="auto"/>
              <w:left w:val="nil"/>
              <w:bottom w:val="single" w:sz="4" w:space="0" w:color="auto"/>
              <w:right w:val="nil"/>
            </w:tcBorders>
            <w:vAlign w:val="center"/>
          </w:tcPr>
          <w:p w14:paraId="1E65871C" w14:textId="77777777" w:rsidR="00F1508E" w:rsidRPr="00501424" w:rsidRDefault="00F1508E" w:rsidP="00D075F6">
            <w:pPr>
              <w:pStyle w:val="NoSpacing"/>
            </w:pPr>
            <w:r w:rsidRPr="00501424">
              <w:t>P</w:t>
            </w:r>
          </w:p>
        </w:tc>
      </w:tr>
      <w:tr w:rsidR="00F1508E" w:rsidRPr="00501424" w14:paraId="39B1C4B0" w14:textId="77777777" w:rsidTr="00D075F6">
        <w:trPr>
          <w:trHeight w:val="17"/>
        </w:trPr>
        <w:tc>
          <w:tcPr>
            <w:tcW w:w="1985" w:type="dxa"/>
            <w:tcBorders>
              <w:top w:val="single" w:sz="4" w:space="0" w:color="auto"/>
              <w:left w:val="nil"/>
              <w:bottom w:val="nil"/>
              <w:right w:val="nil"/>
            </w:tcBorders>
            <w:vAlign w:val="center"/>
          </w:tcPr>
          <w:p w14:paraId="02492CB3" w14:textId="77777777" w:rsidR="00F1508E" w:rsidRPr="00501424" w:rsidRDefault="00F1508E" w:rsidP="00D075F6">
            <w:pPr>
              <w:pStyle w:val="NoSpacing"/>
            </w:pPr>
            <w:r w:rsidRPr="00501424">
              <w:t>End of Treatment</w:t>
            </w:r>
          </w:p>
        </w:tc>
        <w:tc>
          <w:tcPr>
            <w:tcW w:w="1134" w:type="dxa"/>
            <w:tcBorders>
              <w:top w:val="single" w:sz="4" w:space="0" w:color="auto"/>
              <w:left w:val="nil"/>
              <w:bottom w:val="nil"/>
              <w:right w:val="nil"/>
            </w:tcBorders>
            <w:vAlign w:val="center"/>
          </w:tcPr>
          <w:p w14:paraId="4C44782A" w14:textId="77777777" w:rsidR="00F1508E" w:rsidRPr="00501424" w:rsidRDefault="00F1508E" w:rsidP="00D075F6">
            <w:pPr>
              <w:pStyle w:val="NoSpacing"/>
            </w:pPr>
            <w:r w:rsidRPr="00501424">
              <w:t>Passive</w:t>
            </w:r>
          </w:p>
        </w:tc>
        <w:tc>
          <w:tcPr>
            <w:tcW w:w="1984" w:type="dxa"/>
            <w:tcBorders>
              <w:top w:val="single" w:sz="4" w:space="0" w:color="auto"/>
              <w:left w:val="nil"/>
              <w:bottom w:val="nil"/>
              <w:right w:val="nil"/>
            </w:tcBorders>
            <w:vAlign w:val="center"/>
          </w:tcPr>
          <w:p w14:paraId="79C2B262" w14:textId="77777777" w:rsidR="00F1508E" w:rsidRPr="001542FA" w:rsidRDefault="00F1508E" w:rsidP="00D075F6">
            <w:pPr>
              <w:pStyle w:val="NoSpacing"/>
            </w:pPr>
            <w:r w:rsidRPr="001542FA">
              <w:t>Age</w:t>
            </w:r>
          </w:p>
        </w:tc>
        <w:tc>
          <w:tcPr>
            <w:tcW w:w="1843" w:type="dxa"/>
            <w:tcBorders>
              <w:top w:val="single" w:sz="4" w:space="0" w:color="auto"/>
              <w:left w:val="nil"/>
              <w:bottom w:val="nil"/>
              <w:right w:val="nil"/>
            </w:tcBorders>
            <w:vAlign w:val="center"/>
          </w:tcPr>
          <w:p w14:paraId="3D424340" w14:textId="77777777" w:rsidR="00F1508E" w:rsidRPr="001542FA" w:rsidRDefault="00F1508E" w:rsidP="00D075F6">
            <w:pPr>
              <w:pStyle w:val="NoSpacing"/>
            </w:pPr>
            <w:r w:rsidRPr="001542FA">
              <w:t>(20.08 to 39.87)</w:t>
            </w:r>
          </w:p>
        </w:tc>
        <w:tc>
          <w:tcPr>
            <w:tcW w:w="1418" w:type="dxa"/>
            <w:tcBorders>
              <w:top w:val="single" w:sz="4" w:space="0" w:color="auto"/>
              <w:left w:val="nil"/>
              <w:bottom w:val="nil"/>
              <w:right w:val="nil"/>
            </w:tcBorders>
            <w:vAlign w:val="center"/>
          </w:tcPr>
          <w:p w14:paraId="321ACC96" w14:textId="77777777" w:rsidR="00F1508E" w:rsidRPr="001542FA" w:rsidRDefault="00F1508E" w:rsidP="00D075F6">
            <w:pPr>
              <w:pStyle w:val="NoSpacing"/>
            </w:pPr>
            <w:r w:rsidRPr="001542FA">
              <w:t>15</w:t>
            </w:r>
          </w:p>
        </w:tc>
        <w:tc>
          <w:tcPr>
            <w:tcW w:w="2268" w:type="dxa"/>
            <w:tcBorders>
              <w:top w:val="single" w:sz="4" w:space="0" w:color="auto"/>
              <w:left w:val="nil"/>
              <w:bottom w:val="nil"/>
              <w:right w:val="nil"/>
            </w:tcBorders>
            <w:vAlign w:val="center"/>
          </w:tcPr>
          <w:p w14:paraId="49276444" w14:textId="77777777" w:rsidR="00F1508E" w:rsidRPr="001542FA" w:rsidRDefault="00F1508E" w:rsidP="00D075F6">
            <w:pPr>
              <w:pStyle w:val="NoSpacing"/>
            </w:pPr>
            <w:r w:rsidRPr="001542FA">
              <w:t>-0.05</w:t>
            </w:r>
          </w:p>
        </w:tc>
        <w:tc>
          <w:tcPr>
            <w:tcW w:w="1667" w:type="dxa"/>
            <w:tcBorders>
              <w:top w:val="single" w:sz="4" w:space="0" w:color="auto"/>
              <w:left w:val="nil"/>
              <w:bottom w:val="nil"/>
              <w:right w:val="nil"/>
            </w:tcBorders>
            <w:vAlign w:val="center"/>
          </w:tcPr>
          <w:p w14:paraId="073E7360" w14:textId="77777777" w:rsidR="00F1508E" w:rsidRPr="001542FA" w:rsidRDefault="00F1508E" w:rsidP="00D075F6">
            <w:pPr>
              <w:pStyle w:val="NoSpacing"/>
            </w:pPr>
            <w:r w:rsidRPr="001542FA">
              <w:t>-0.09 to 0.01</w:t>
            </w:r>
          </w:p>
        </w:tc>
        <w:tc>
          <w:tcPr>
            <w:tcW w:w="850" w:type="dxa"/>
            <w:tcBorders>
              <w:top w:val="single" w:sz="4" w:space="0" w:color="auto"/>
              <w:left w:val="nil"/>
              <w:bottom w:val="nil"/>
              <w:right w:val="nil"/>
            </w:tcBorders>
            <w:vAlign w:val="center"/>
          </w:tcPr>
          <w:p w14:paraId="01DCE838" w14:textId="77777777" w:rsidR="00F1508E" w:rsidRPr="001542FA" w:rsidRDefault="00F1508E" w:rsidP="00D075F6">
            <w:pPr>
              <w:pStyle w:val="NoSpacing"/>
            </w:pPr>
            <w:r w:rsidRPr="001542FA">
              <w:t>0.02</w:t>
            </w:r>
          </w:p>
        </w:tc>
        <w:tc>
          <w:tcPr>
            <w:tcW w:w="1276" w:type="dxa"/>
            <w:tcBorders>
              <w:top w:val="single" w:sz="4" w:space="0" w:color="auto"/>
              <w:left w:val="nil"/>
              <w:bottom w:val="nil"/>
              <w:right w:val="nil"/>
            </w:tcBorders>
            <w:shd w:val="clear" w:color="auto" w:fill="auto"/>
            <w:vAlign w:val="center"/>
          </w:tcPr>
          <w:p w14:paraId="12C5649E" w14:textId="77777777" w:rsidR="00F1508E" w:rsidRPr="001542FA" w:rsidRDefault="00F1508E" w:rsidP="00D075F6">
            <w:pPr>
              <w:pStyle w:val="NoSpacing"/>
            </w:pPr>
            <w:r w:rsidRPr="001542FA">
              <w:t>0.02</w:t>
            </w:r>
            <w:r>
              <w:t>*</w:t>
            </w:r>
          </w:p>
        </w:tc>
      </w:tr>
      <w:tr w:rsidR="00F1508E" w:rsidRPr="00501424" w14:paraId="4375C3C6" w14:textId="77777777" w:rsidTr="00D075F6">
        <w:trPr>
          <w:trHeight w:val="17"/>
        </w:trPr>
        <w:tc>
          <w:tcPr>
            <w:tcW w:w="1985" w:type="dxa"/>
            <w:tcBorders>
              <w:top w:val="nil"/>
              <w:left w:val="nil"/>
              <w:bottom w:val="nil"/>
              <w:right w:val="nil"/>
            </w:tcBorders>
            <w:vAlign w:val="center"/>
          </w:tcPr>
          <w:p w14:paraId="73D362C2" w14:textId="77777777" w:rsidR="00F1508E" w:rsidRPr="00501424" w:rsidRDefault="00F1508E" w:rsidP="00D075F6">
            <w:pPr>
              <w:pStyle w:val="NoSpacing"/>
            </w:pPr>
          </w:p>
        </w:tc>
        <w:tc>
          <w:tcPr>
            <w:tcW w:w="1134" w:type="dxa"/>
            <w:tcBorders>
              <w:top w:val="nil"/>
              <w:left w:val="nil"/>
              <w:bottom w:val="nil"/>
              <w:right w:val="nil"/>
            </w:tcBorders>
            <w:vAlign w:val="center"/>
          </w:tcPr>
          <w:p w14:paraId="0F80AFFB" w14:textId="77777777" w:rsidR="00F1508E" w:rsidRPr="00501424" w:rsidRDefault="00F1508E" w:rsidP="00D075F6">
            <w:pPr>
              <w:pStyle w:val="NoSpacing"/>
            </w:pPr>
          </w:p>
        </w:tc>
        <w:tc>
          <w:tcPr>
            <w:tcW w:w="1984" w:type="dxa"/>
            <w:tcBorders>
              <w:top w:val="nil"/>
              <w:left w:val="nil"/>
              <w:bottom w:val="nil"/>
              <w:right w:val="nil"/>
            </w:tcBorders>
            <w:vAlign w:val="center"/>
          </w:tcPr>
          <w:p w14:paraId="56EBDB44" w14:textId="77777777" w:rsidR="00F1508E" w:rsidRPr="001542FA" w:rsidRDefault="00F1508E" w:rsidP="00D075F6">
            <w:pPr>
              <w:pStyle w:val="NoSpacing"/>
            </w:pPr>
            <w:r w:rsidRPr="001542FA">
              <w:t xml:space="preserve">Gender </w:t>
            </w:r>
          </w:p>
        </w:tc>
        <w:tc>
          <w:tcPr>
            <w:tcW w:w="1843" w:type="dxa"/>
            <w:tcBorders>
              <w:top w:val="nil"/>
              <w:left w:val="nil"/>
              <w:bottom w:val="nil"/>
              <w:right w:val="nil"/>
            </w:tcBorders>
            <w:vAlign w:val="center"/>
          </w:tcPr>
          <w:p w14:paraId="3147AA8D" w14:textId="77777777" w:rsidR="00F1508E" w:rsidRPr="001542FA" w:rsidRDefault="00F1508E" w:rsidP="00D075F6">
            <w:pPr>
              <w:pStyle w:val="NoSpacing"/>
            </w:pPr>
            <w:r w:rsidRPr="001542FA">
              <w:t>(% of males)</w:t>
            </w:r>
          </w:p>
        </w:tc>
        <w:tc>
          <w:tcPr>
            <w:tcW w:w="1418" w:type="dxa"/>
            <w:tcBorders>
              <w:top w:val="nil"/>
              <w:left w:val="nil"/>
              <w:bottom w:val="nil"/>
              <w:right w:val="nil"/>
            </w:tcBorders>
            <w:vAlign w:val="center"/>
          </w:tcPr>
          <w:p w14:paraId="2566BDD0" w14:textId="77777777" w:rsidR="00F1508E" w:rsidRPr="001542FA" w:rsidRDefault="00F1508E" w:rsidP="00D075F6">
            <w:pPr>
              <w:pStyle w:val="NoSpacing"/>
            </w:pPr>
            <w:r w:rsidRPr="001542FA">
              <w:t>9</w:t>
            </w:r>
          </w:p>
        </w:tc>
        <w:tc>
          <w:tcPr>
            <w:tcW w:w="2268" w:type="dxa"/>
            <w:tcBorders>
              <w:top w:val="nil"/>
              <w:left w:val="nil"/>
              <w:bottom w:val="nil"/>
              <w:right w:val="nil"/>
            </w:tcBorders>
            <w:vAlign w:val="center"/>
          </w:tcPr>
          <w:p w14:paraId="718C9F30" w14:textId="77777777" w:rsidR="00F1508E" w:rsidRPr="001542FA" w:rsidRDefault="00F1508E" w:rsidP="00D075F6">
            <w:pPr>
              <w:pStyle w:val="NoSpacing"/>
            </w:pPr>
            <w:r w:rsidRPr="001542FA">
              <w:t>0.18</w:t>
            </w:r>
          </w:p>
        </w:tc>
        <w:tc>
          <w:tcPr>
            <w:tcW w:w="1667" w:type="dxa"/>
            <w:tcBorders>
              <w:top w:val="nil"/>
              <w:left w:val="nil"/>
              <w:bottom w:val="nil"/>
              <w:right w:val="nil"/>
            </w:tcBorders>
            <w:vAlign w:val="center"/>
          </w:tcPr>
          <w:p w14:paraId="3AC3F158" w14:textId="77777777" w:rsidR="00F1508E" w:rsidRPr="001542FA" w:rsidRDefault="00F1508E" w:rsidP="00D075F6">
            <w:pPr>
              <w:pStyle w:val="NoSpacing"/>
            </w:pPr>
            <w:r w:rsidRPr="001542FA">
              <w:t>-2.40 to 2.77</w:t>
            </w:r>
          </w:p>
        </w:tc>
        <w:tc>
          <w:tcPr>
            <w:tcW w:w="850" w:type="dxa"/>
            <w:tcBorders>
              <w:top w:val="nil"/>
              <w:left w:val="nil"/>
              <w:bottom w:val="nil"/>
              <w:right w:val="nil"/>
            </w:tcBorders>
            <w:vAlign w:val="center"/>
          </w:tcPr>
          <w:p w14:paraId="0A0E8F05" w14:textId="77777777" w:rsidR="00F1508E" w:rsidRPr="001542FA" w:rsidRDefault="00F1508E" w:rsidP="00D075F6">
            <w:pPr>
              <w:pStyle w:val="NoSpacing"/>
            </w:pPr>
            <w:r w:rsidRPr="001542FA">
              <w:t>1.20</w:t>
            </w:r>
          </w:p>
        </w:tc>
        <w:tc>
          <w:tcPr>
            <w:tcW w:w="1276" w:type="dxa"/>
            <w:tcBorders>
              <w:top w:val="nil"/>
              <w:left w:val="nil"/>
              <w:bottom w:val="nil"/>
              <w:right w:val="nil"/>
            </w:tcBorders>
            <w:shd w:val="clear" w:color="auto" w:fill="auto"/>
            <w:vAlign w:val="center"/>
          </w:tcPr>
          <w:p w14:paraId="6B916252" w14:textId="77777777" w:rsidR="00F1508E" w:rsidRPr="001542FA" w:rsidRDefault="00F1508E" w:rsidP="00D075F6">
            <w:pPr>
              <w:pStyle w:val="NoSpacing"/>
            </w:pPr>
            <w:r w:rsidRPr="001542FA">
              <w:t>0.88</w:t>
            </w:r>
          </w:p>
        </w:tc>
      </w:tr>
      <w:tr w:rsidR="00F1508E" w:rsidRPr="00501424" w14:paraId="2AE7238E" w14:textId="77777777" w:rsidTr="00D075F6">
        <w:trPr>
          <w:trHeight w:val="17"/>
        </w:trPr>
        <w:tc>
          <w:tcPr>
            <w:tcW w:w="1985" w:type="dxa"/>
            <w:tcBorders>
              <w:top w:val="nil"/>
              <w:left w:val="nil"/>
              <w:bottom w:val="nil"/>
              <w:right w:val="nil"/>
            </w:tcBorders>
            <w:vAlign w:val="center"/>
          </w:tcPr>
          <w:p w14:paraId="17E450A2" w14:textId="77777777" w:rsidR="00F1508E" w:rsidRPr="00501424" w:rsidRDefault="00F1508E" w:rsidP="00D075F6">
            <w:pPr>
              <w:pStyle w:val="NoSpacing"/>
            </w:pPr>
          </w:p>
        </w:tc>
        <w:tc>
          <w:tcPr>
            <w:tcW w:w="1134" w:type="dxa"/>
            <w:tcBorders>
              <w:top w:val="nil"/>
              <w:left w:val="nil"/>
              <w:bottom w:val="nil"/>
              <w:right w:val="nil"/>
            </w:tcBorders>
            <w:vAlign w:val="center"/>
          </w:tcPr>
          <w:p w14:paraId="2CF61831" w14:textId="77777777" w:rsidR="00F1508E" w:rsidRPr="00501424" w:rsidRDefault="00F1508E" w:rsidP="00D075F6">
            <w:pPr>
              <w:pStyle w:val="NoSpacing"/>
            </w:pPr>
          </w:p>
        </w:tc>
        <w:tc>
          <w:tcPr>
            <w:tcW w:w="1984" w:type="dxa"/>
            <w:tcBorders>
              <w:top w:val="nil"/>
              <w:left w:val="nil"/>
              <w:bottom w:val="nil"/>
              <w:right w:val="nil"/>
            </w:tcBorders>
            <w:vAlign w:val="center"/>
          </w:tcPr>
          <w:p w14:paraId="780AD242" w14:textId="77777777" w:rsidR="00F1508E" w:rsidRPr="001542FA" w:rsidRDefault="00F1508E" w:rsidP="00D075F6">
            <w:pPr>
              <w:pStyle w:val="NoSpacing"/>
            </w:pPr>
            <w:r w:rsidRPr="001542FA">
              <w:t>Number of sessions</w:t>
            </w:r>
          </w:p>
        </w:tc>
        <w:tc>
          <w:tcPr>
            <w:tcW w:w="1843" w:type="dxa"/>
            <w:tcBorders>
              <w:top w:val="nil"/>
              <w:left w:val="nil"/>
              <w:bottom w:val="nil"/>
              <w:right w:val="nil"/>
            </w:tcBorders>
            <w:vAlign w:val="center"/>
          </w:tcPr>
          <w:p w14:paraId="52313299" w14:textId="77777777" w:rsidR="00F1508E" w:rsidRPr="001542FA" w:rsidRDefault="00F1508E" w:rsidP="00D075F6">
            <w:pPr>
              <w:pStyle w:val="NoSpacing"/>
            </w:pPr>
            <w:r w:rsidRPr="001542FA">
              <w:t>(2-12 sessions)</w:t>
            </w:r>
          </w:p>
        </w:tc>
        <w:tc>
          <w:tcPr>
            <w:tcW w:w="1418" w:type="dxa"/>
            <w:tcBorders>
              <w:top w:val="nil"/>
              <w:left w:val="nil"/>
              <w:bottom w:val="nil"/>
              <w:right w:val="nil"/>
            </w:tcBorders>
            <w:vAlign w:val="center"/>
          </w:tcPr>
          <w:p w14:paraId="446F04E7" w14:textId="77777777" w:rsidR="00F1508E" w:rsidRPr="001542FA" w:rsidRDefault="00F1508E" w:rsidP="00D075F6">
            <w:pPr>
              <w:pStyle w:val="NoSpacing"/>
            </w:pPr>
            <w:r w:rsidRPr="001542FA">
              <w:t>9</w:t>
            </w:r>
          </w:p>
        </w:tc>
        <w:tc>
          <w:tcPr>
            <w:tcW w:w="2268" w:type="dxa"/>
            <w:tcBorders>
              <w:top w:val="nil"/>
              <w:left w:val="nil"/>
              <w:bottom w:val="nil"/>
              <w:right w:val="nil"/>
            </w:tcBorders>
            <w:vAlign w:val="center"/>
          </w:tcPr>
          <w:p w14:paraId="721BEC47" w14:textId="77777777" w:rsidR="00F1508E" w:rsidRPr="001542FA" w:rsidRDefault="00F1508E" w:rsidP="00D075F6">
            <w:pPr>
              <w:pStyle w:val="NoSpacing"/>
            </w:pPr>
            <w:r w:rsidRPr="001542FA">
              <w:t>-0.04</w:t>
            </w:r>
          </w:p>
        </w:tc>
        <w:tc>
          <w:tcPr>
            <w:tcW w:w="1667" w:type="dxa"/>
            <w:tcBorders>
              <w:top w:val="nil"/>
              <w:left w:val="nil"/>
              <w:bottom w:val="nil"/>
              <w:right w:val="nil"/>
            </w:tcBorders>
            <w:vAlign w:val="center"/>
          </w:tcPr>
          <w:p w14:paraId="3444623F" w14:textId="77777777" w:rsidR="00F1508E" w:rsidRPr="001542FA" w:rsidRDefault="00F1508E" w:rsidP="00D075F6">
            <w:pPr>
              <w:pStyle w:val="NoSpacing"/>
            </w:pPr>
            <w:r w:rsidRPr="001542FA">
              <w:t>-0.19 to 0.11</w:t>
            </w:r>
          </w:p>
        </w:tc>
        <w:tc>
          <w:tcPr>
            <w:tcW w:w="850" w:type="dxa"/>
            <w:tcBorders>
              <w:top w:val="nil"/>
              <w:left w:val="nil"/>
              <w:bottom w:val="nil"/>
              <w:right w:val="nil"/>
            </w:tcBorders>
            <w:vAlign w:val="center"/>
          </w:tcPr>
          <w:p w14:paraId="3E79C781" w14:textId="77777777" w:rsidR="00F1508E" w:rsidRPr="001542FA" w:rsidRDefault="00F1508E" w:rsidP="00D075F6">
            <w:pPr>
              <w:pStyle w:val="NoSpacing"/>
            </w:pPr>
            <w:r w:rsidRPr="001542FA">
              <w:t>0.07</w:t>
            </w:r>
          </w:p>
        </w:tc>
        <w:tc>
          <w:tcPr>
            <w:tcW w:w="1276" w:type="dxa"/>
            <w:tcBorders>
              <w:top w:val="nil"/>
              <w:left w:val="nil"/>
              <w:bottom w:val="nil"/>
              <w:right w:val="nil"/>
            </w:tcBorders>
            <w:shd w:val="clear" w:color="auto" w:fill="auto"/>
            <w:vAlign w:val="center"/>
          </w:tcPr>
          <w:p w14:paraId="60E777AD" w14:textId="77777777" w:rsidR="00F1508E" w:rsidRPr="001542FA" w:rsidRDefault="00F1508E" w:rsidP="00D075F6">
            <w:pPr>
              <w:pStyle w:val="NoSpacing"/>
            </w:pPr>
            <w:r w:rsidRPr="001542FA">
              <w:t>0.59</w:t>
            </w:r>
          </w:p>
        </w:tc>
      </w:tr>
      <w:tr w:rsidR="00F1508E" w:rsidRPr="00501424" w14:paraId="12B65075" w14:textId="77777777" w:rsidTr="00D075F6">
        <w:trPr>
          <w:trHeight w:val="17"/>
        </w:trPr>
        <w:tc>
          <w:tcPr>
            <w:tcW w:w="1985" w:type="dxa"/>
            <w:tcBorders>
              <w:top w:val="nil"/>
              <w:left w:val="nil"/>
              <w:bottom w:val="nil"/>
              <w:right w:val="nil"/>
            </w:tcBorders>
            <w:vAlign w:val="center"/>
          </w:tcPr>
          <w:p w14:paraId="004BD429" w14:textId="77777777" w:rsidR="00F1508E" w:rsidRPr="00501424" w:rsidRDefault="00F1508E" w:rsidP="00D075F6">
            <w:pPr>
              <w:pStyle w:val="NoSpacing"/>
            </w:pPr>
          </w:p>
        </w:tc>
        <w:tc>
          <w:tcPr>
            <w:tcW w:w="1134" w:type="dxa"/>
            <w:tcBorders>
              <w:top w:val="nil"/>
              <w:left w:val="nil"/>
              <w:bottom w:val="nil"/>
              <w:right w:val="nil"/>
            </w:tcBorders>
            <w:vAlign w:val="center"/>
          </w:tcPr>
          <w:p w14:paraId="7816C6A3" w14:textId="77777777" w:rsidR="00F1508E" w:rsidRPr="00501424" w:rsidRDefault="00F1508E" w:rsidP="00D075F6">
            <w:pPr>
              <w:pStyle w:val="NoSpacing"/>
            </w:pPr>
          </w:p>
        </w:tc>
        <w:tc>
          <w:tcPr>
            <w:tcW w:w="1984" w:type="dxa"/>
            <w:tcBorders>
              <w:top w:val="nil"/>
              <w:left w:val="nil"/>
              <w:bottom w:val="nil"/>
              <w:right w:val="nil"/>
            </w:tcBorders>
            <w:vAlign w:val="center"/>
          </w:tcPr>
          <w:p w14:paraId="1CCF5FB1" w14:textId="77777777" w:rsidR="00F1508E" w:rsidRPr="001542FA" w:rsidRDefault="00F1508E" w:rsidP="00D075F6">
            <w:pPr>
              <w:pStyle w:val="NoSpacing"/>
            </w:pPr>
            <w:r w:rsidRPr="001542FA">
              <w:t>Duration in days</w:t>
            </w:r>
          </w:p>
        </w:tc>
        <w:tc>
          <w:tcPr>
            <w:tcW w:w="1843" w:type="dxa"/>
            <w:tcBorders>
              <w:top w:val="nil"/>
              <w:left w:val="nil"/>
              <w:bottom w:val="nil"/>
              <w:right w:val="nil"/>
            </w:tcBorders>
            <w:vAlign w:val="center"/>
          </w:tcPr>
          <w:p w14:paraId="5A96D08E" w14:textId="77777777" w:rsidR="00F1508E" w:rsidRPr="001542FA" w:rsidRDefault="00F1508E" w:rsidP="00D075F6">
            <w:pPr>
              <w:pStyle w:val="NoSpacing"/>
            </w:pPr>
            <w:r w:rsidRPr="001542FA">
              <w:t>(1.5-16 days)</w:t>
            </w:r>
          </w:p>
        </w:tc>
        <w:tc>
          <w:tcPr>
            <w:tcW w:w="1418" w:type="dxa"/>
            <w:tcBorders>
              <w:top w:val="nil"/>
              <w:left w:val="nil"/>
              <w:bottom w:val="nil"/>
              <w:right w:val="nil"/>
            </w:tcBorders>
            <w:vAlign w:val="center"/>
          </w:tcPr>
          <w:p w14:paraId="66CBCDD2" w14:textId="77777777" w:rsidR="00F1508E" w:rsidRPr="001542FA" w:rsidRDefault="00F1508E" w:rsidP="00D075F6">
            <w:pPr>
              <w:pStyle w:val="NoSpacing"/>
            </w:pPr>
            <w:r w:rsidRPr="001542FA">
              <w:t>7</w:t>
            </w:r>
          </w:p>
        </w:tc>
        <w:tc>
          <w:tcPr>
            <w:tcW w:w="2268" w:type="dxa"/>
            <w:tcBorders>
              <w:top w:val="nil"/>
              <w:left w:val="nil"/>
              <w:bottom w:val="nil"/>
              <w:right w:val="nil"/>
            </w:tcBorders>
            <w:vAlign w:val="center"/>
          </w:tcPr>
          <w:p w14:paraId="33A3E342" w14:textId="77777777" w:rsidR="00F1508E" w:rsidRPr="001542FA" w:rsidRDefault="00F1508E" w:rsidP="00D075F6">
            <w:pPr>
              <w:pStyle w:val="NoSpacing"/>
            </w:pPr>
            <w:r w:rsidRPr="001542FA">
              <w:t>0.02</w:t>
            </w:r>
          </w:p>
        </w:tc>
        <w:tc>
          <w:tcPr>
            <w:tcW w:w="1667" w:type="dxa"/>
            <w:tcBorders>
              <w:top w:val="nil"/>
              <w:left w:val="nil"/>
              <w:bottom w:val="nil"/>
              <w:right w:val="nil"/>
            </w:tcBorders>
            <w:vAlign w:val="center"/>
          </w:tcPr>
          <w:p w14:paraId="31521905" w14:textId="77777777" w:rsidR="00F1508E" w:rsidRPr="001542FA" w:rsidRDefault="00F1508E" w:rsidP="00D075F6">
            <w:pPr>
              <w:pStyle w:val="NoSpacing"/>
            </w:pPr>
            <w:r w:rsidRPr="001542FA">
              <w:t>-0.06 to 0.11</w:t>
            </w:r>
          </w:p>
        </w:tc>
        <w:tc>
          <w:tcPr>
            <w:tcW w:w="850" w:type="dxa"/>
            <w:tcBorders>
              <w:top w:val="nil"/>
              <w:left w:val="nil"/>
              <w:bottom w:val="nil"/>
              <w:right w:val="nil"/>
            </w:tcBorders>
            <w:vAlign w:val="center"/>
          </w:tcPr>
          <w:p w14:paraId="35969794" w14:textId="77777777" w:rsidR="00F1508E" w:rsidRPr="001542FA" w:rsidRDefault="00F1508E" w:rsidP="00D075F6">
            <w:pPr>
              <w:pStyle w:val="NoSpacing"/>
            </w:pPr>
            <w:r w:rsidRPr="001542FA">
              <w:t>0.04</w:t>
            </w:r>
          </w:p>
        </w:tc>
        <w:tc>
          <w:tcPr>
            <w:tcW w:w="1276" w:type="dxa"/>
            <w:tcBorders>
              <w:top w:val="nil"/>
              <w:left w:val="nil"/>
              <w:bottom w:val="nil"/>
              <w:right w:val="nil"/>
            </w:tcBorders>
            <w:shd w:val="clear" w:color="auto" w:fill="auto"/>
            <w:vAlign w:val="center"/>
          </w:tcPr>
          <w:p w14:paraId="6D41DC88" w14:textId="77777777" w:rsidR="00F1508E" w:rsidRPr="001542FA" w:rsidRDefault="00F1508E" w:rsidP="00D075F6">
            <w:pPr>
              <w:pStyle w:val="NoSpacing"/>
            </w:pPr>
            <w:r w:rsidRPr="001542FA">
              <w:t>0.57</w:t>
            </w:r>
          </w:p>
        </w:tc>
      </w:tr>
      <w:tr w:rsidR="00F1508E" w:rsidRPr="00501424" w14:paraId="1E43F6B0" w14:textId="77777777" w:rsidTr="00D075F6">
        <w:trPr>
          <w:trHeight w:val="57"/>
        </w:trPr>
        <w:tc>
          <w:tcPr>
            <w:tcW w:w="1985" w:type="dxa"/>
            <w:tcBorders>
              <w:top w:val="nil"/>
              <w:left w:val="nil"/>
              <w:bottom w:val="nil"/>
              <w:right w:val="nil"/>
            </w:tcBorders>
            <w:vAlign w:val="center"/>
          </w:tcPr>
          <w:p w14:paraId="77396680" w14:textId="77777777" w:rsidR="00F1508E" w:rsidRPr="00501424" w:rsidRDefault="00F1508E" w:rsidP="00D075F6">
            <w:pPr>
              <w:pStyle w:val="NoSpacing"/>
            </w:pPr>
          </w:p>
        </w:tc>
        <w:tc>
          <w:tcPr>
            <w:tcW w:w="1134" w:type="dxa"/>
            <w:tcBorders>
              <w:top w:val="nil"/>
              <w:left w:val="nil"/>
              <w:bottom w:val="nil"/>
              <w:right w:val="nil"/>
            </w:tcBorders>
            <w:vAlign w:val="center"/>
          </w:tcPr>
          <w:p w14:paraId="701E4012" w14:textId="77777777" w:rsidR="00F1508E" w:rsidRPr="00501424" w:rsidRDefault="00F1508E" w:rsidP="00D075F6">
            <w:pPr>
              <w:pStyle w:val="NoSpacing"/>
            </w:pPr>
          </w:p>
        </w:tc>
        <w:tc>
          <w:tcPr>
            <w:tcW w:w="1984" w:type="dxa"/>
            <w:tcBorders>
              <w:top w:val="nil"/>
              <w:left w:val="nil"/>
              <w:bottom w:val="nil"/>
              <w:right w:val="nil"/>
            </w:tcBorders>
            <w:vAlign w:val="center"/>
          </w:tcPr>
          <w:p w14:paraId="538CF13E" w14:textId="77777777" w:rsidR="00F1508E" w:rsidRPr="001542FA" w:rsidRDefault="00F1508E" w:rsidP="00D075F6">
            <w:pPr>
              <w:pStyle w:val="NoSpacing"/>
            </w:pPr>
            <w:r w:rsidRPr="001542FA">
              <w:t>Publication date</w:t>
            </w:r>
          </w:p>
        </w:tc>
        <w:tc>
          <w:tcPr>
            <w:tcW w:w="1843" w:type="dxa"/>
            <w:tcBorders>
              <w:top w:val="nil"/>
              <w:left w:val="nil"/>
              <w:bottom w:val="nil"/>
              <w:right w:val="nil"/>
            </w:tcBorders>
            <w:vAlign w:val="center"/>
          </w:tcPr>
          <w:p w14:paraId="610FB75B" w14:textId="77777777" w:rsidR="00F1508E" w:rsidRPr="001542FA" w:rsidRDefault="00F1508E" w:rsidP="00D075F6">
            <w:pPr>
              <w:pStyle w:val="NoSpacing"/>
            </w:pPr>
            <w:r w:rsidRPr="001542FA">
              <w:t xml:space="preserve">2003 – 2015 </w:t>
            </w:r>
          </w:p>
        </w:tc>
        <w:tc>
          <w:tcPr>
            <w:tcW w:w="1418" w:type="dxa"/>
            <w:tcBorders>
              <w:top w:val="nil"/>
              <w:left w:val="nil"/>
              <w:bottom w:val="nil"/>
              <w:right w:val="nil"/>
            </w:tcBorders>
            <w:vAlign w:val="center"/>
          </w:tcPr>
          <w:p w14:paraId="32FA041D" w14:textId="77777777" w:rsidR="00F1508E" w:rsidRPr="001542FA" w:rsidRDefault="00F1508E" w:rsidP="00D075F6">
            <w:pPr>
              <w:pStyle w:val="NoSpacing"/>
            </w:pPr>
            <w:r w:rsidRPr="001542FA">
              <w:t>9</w:t>
            </w:r>
          </w:p>
        </w:tc>
        <w:tc>
          <w:tcPr>
            <w:tcW w:w="2268" w:type="dxa"/>
            <w:tcBorders>
              <w:top w:val="nil"/>
              <w:left w:val="nil"/>
              <w:bottom w:val="nil"/>
              <w:right w:val="nil"/>
            </w:tcBorders>
            <w:vAlign w:val="center"/>
          </w:tcPr>
          <w:p w14:paraId="3C7C8F26" w14:textId="77777777" w:rsidR="00F1508E" w:rsidRPr="001542FA" w:rsidRDefault="00F1508E" w:rsidP="00D075F6">
            <w:pPr>
              <w:pStyle w:val="NoSpacing"/>
            </w:pPr>
            <w:r w:rsidRPr="001542FA">
              <w:t>0.02</w:t>
            </w:r>
          </w:p>
        </w:tc>
        <w:tc>
          <w:tcPr>
            <w:tcW w:w="1667" w:type="dxa"/>
            <w:tcBorders>
              <w:top w:val="nil"/>
              <w:left w:val="nil"/>
              <w:bottom w:val="nil"/>
              <w:right w:val="nil"/>
            </w:tcBorders>
            <w:vAlign w:val="center"/>
          </w:tcPr>
          <w:p w14:paraId="118C6AA4" w14:textId="77777777" w:rsidR="00F1508E" w:rsidRPr="001542FA" w:rsidRDefault="00F1508E" w:rsidP="00D075F6">
            <w:pPr>
              <w:pStyle w:val="NoSpacing"/>
            </w:pPr>
            <w:r w:rsidRPr="001542FA">
              <w:t>-0.04 to 0.08</w:t>
            </w:r>
          </w:p>
        </w:tc>
        <w:tc>
          <w:tcPr>
            <w:tcW w:w="850" w:type="dxa"/>
            <w:tcBorders>
              <w:top w:val="nil"/>
              <w:left w:val="nil"/>
              <w:bottom w:val="nil"/>
              <w:right w:val="nil"/>
            </w:tcBorders>
            <w:vAlign w:val="center"/>
          </w:tcPr>
          <w:p w14:paraId="52E3D424" w14:textId="77777777" w:rsidR="00F1508E" w:rsidRPr="001542FA" w:rsidRDefault="00F1508E" w:rsidP="00D075F6">
            <w:pPr>
              <w:pStyle w:val="NoSpacing"/>
            </w:pPr>
            <w:r w:rsidRPr="001542FA">
              <w:t>0.03</w:t>
            </w:r>
          </w:p>
        </w:tc>
        <w:tc>
          <w:tcPr>
            <w:tcW w:w="1276" w:type="dxa"/>
            <w:tcBorders>
              <w:top w:val="nil"/>
              <w:left w:val="nil"/>
              <w:bottom w:val="nil"/>
              <w:right w:val="nil"/>
            </w:tcBorders>
            <w:shd w:val="clear" w:color="auto" w:fill="auto"/>
            <w:vAlign w:val="center"/>
          </w:tcPr>
          <w:p w14:paraId="094E5C9F" w14:textId="77777777" w:rsidR="00F1508E" w:rsidRPr="001542FA" w:rsidRDefault="00F1508E" w:rsidP="00D075F6">
            <w:pPr>
              <w:pStyle w:val="NoSpacing"/>
            </w:pPr>
            <w:r w:rsidRPr="001542FA">
              <w:t>0.54</w:t>
            </w:r>
          </w:p>
        </w:tc>
      </w:tr>
      <w:tr w:rsidR="00F1508E" w:rsidRPr="00501424" w14:paraId="0F83A0F0" w14:textId="77777777" w:rsidTr="00D075F6">
        <w:trPr>
          <w:trHeight w:val="18"/>
        </w:trPr>
        <w:tc>
          <w:tcPr>
            <w:tcW w:w="1985" w:type="dxa"/>
            <w:tcBorders>
              <w:top w:val="nil"/>
              <w:left w:val="nil"/>
              <w:bottom w:val="nil"/>
              <w:right w:val="nil"/>
            </w:tcBorders>
            <w:vAlign w:val="center"/>
          </w:tcPr>
          <w:p w14:paraId="305B76E2" w14:textId="77777777" w:rsidR="00F1508E" w:rsidRPr="00501424" w:rsidRDefault="00F1508E" w:rsidP="00D075F6">
            <w:pPr>
              <w:pStyle w:val="NoSpacing"/>
            </w:pPr>
          </w:p>
        </w:tc>
        <w:tc>
          <w:tcPr>
            <w:tcW w:w="1134" w:type="dxa"/>
            <w:tcBorders>
              <w:top w:val="nil"/>
              <w:left w:val="nil"/>
              <w:bottom w:val="nil"/>
              <w:right w:val="nil"/>
            </w:tcBorders>
            <w:vAlign w:val="center"/>
          </w:tcPr>
          <w:p w14:paraId="3FEC97BD" w14:textId="77777777" w:rsidR="00F1508E" w:rsidRPr="00501424" w:rsidRDefault="00F1508E" w:rsidP="00D075F6">
            <w:pPr>
              <w:pStyle w:val="NoSpacing"/>
            </w:pPr>
            <w:r w:rsidRPr="00501424">
              <w:t>Active</w:t>
            </w:r>
          </w:p>
        </w:tc>
        <w:tc>
          <w:tcPr>
            <w:tcW w:w="1984" w:type="dxa"/>
            <w:tcBorders>
              <w:top w:val="nil"/>
              <w:left w:val="nil"/>
              <w:bottom w:val="nil"/>
              <w:right w:val="nil"/>
            </w:tcBorders>
            <w:vAlign w:val="center"/>
          </w:tcPr>
          <w:p w14:paraId="72860D1E" w14:textId="77777777" w:rsidR="00F1508E" w:rsidRPr="001542FA" w:rsidRDefault="00F1508E" w:rsidP="00D075F6">
            <w:pPr>
              <w:pStyle w:val="NoSpacing"/>
            </w:pPr>
            <w:r w:rsidRPr="001542FA">
              <w:t>Age</w:t>
            </w:r>
          </w:p>
        </w:tc>
        <w:tc>
          <w:tcPr>
            <w:tcW w:w="1843" w:type="dxa"/>
            <w:tcBorders>
              <w:top w:val="nil"/>
              <w:left w:val="nil"/>
              <w:bottom w:val="nil"/>
              <w:right w:val="nil"/>
            </w:tcBorders>
            <w:vAlign w:val="center"/>
          </w:tcPr>
          <w:p w14:paraId="1BB2217A" w14:textId="77777777" w:rsidR="00F1508E" w:rsidRPr="001542FA" w:rsidRDefault="00F1508E" w:rsidP="00D075F6">
            <w:pPr>
              <w:pStyle w:val="NoSpacing"/>
            </w:pPr>
            <w:r w:rsidRPr="001542FA">
              <w:t>(20.08 to 39.87)</w:t>
            </w:r>
          </w:p>
        </w:tc>
        <w:tc>
          <w:tcPr>
            <w:tcW w:w="1418" w:type="dxa"/>
            <w:tcBorders>
              <w:top w:val="nil"/>
              <w:left w:val="nil"/>
              <w:bottom w:val="nil"/>
              <w:right w:val="nil"/>
            </w:tcBorders>
            <w:vAlign w:val="center"/>
          </w:tcPr>
          <w:p w14:paraId="1BBAF640" w14:textId="77777777" w:rsidR="00F1508E" w:rsidRPr="001542FA" w:rsidRDefault="00F1508E" w:rsidP="00D075F6">
            <w:pPr>
              <w:pStyle w:val="NoSpacing"/>
            </w:pPr>
            <w:r w:rsidRPr="001542FA">
              <w:t>5</w:t>
            </w:r>
          </w:p>
        </w:tc>
        <w:tc>
          <w:tcPr>
            <w:tcW w:w="2268" w:type="dxa"/>
            <w:tcBorders>
              <w:top w:val="nil"/>
              <w:left w:val="nil"/>
              <w:bottom w:val="nil"/>
              <w:right w:val="nil"/>
            </w:tcBorders>
            <w:vAlign w:val="center"/>
          </w:tcPr>
          <w:p w14:paraId="6E85C02D" w14:textId="77777777" w:rsidR="00F1508E" w:rsidRPr="001542FA" w:rsidRDefault="00F1508E" w:rsidP="00D075F6">
            <w:pPr>
              <w:pStyle w:val="NoSpacing"/>
            </w:pPr>
            <w:r w:rsidRPr="001542FA">
              <w:t>0.08</w:t>
            </w:r>
          </w:p>
        </w:tc>
        <w:tc>
          <w:tcPr>
            <w:tcW w:w="1667" w:type="dxa"/>
            <w:tcBorders>
              <w:top w:val="nil"/>
              <w:left w:val="nil"/>
              <w:bottom w:val="nil"/>
              <w:right w:val="nil"/>
            </w:tcBorders>
            <w:vAlign w:val="center"/>
          </w:tcPr>
          <w:p w14:paraId="1C2A70C4" w14:textId="77777777" w:rsidR="00F1508E" w:rsidRPr="001542FA" w:rsidRDefault="00F1508E" w:rsidP="00D075F6">
            <w:pPr>
              <w:pStyle w:val="NoSpacing"/>
            </w:pPr>
            <w:r w:rsidRPr="001542FA">
              <w:t>0.01 to 0.16</w:t>
            </w:r>
          </w:p>
        </w:tc>
        <w:tc>
          <w:tcPr>
            <w:tcW w:w="850" w:type="dxa"/>
            <w:tcBorders>
              <w:top w:val="nil"/>
              <w:left w:val="nil"/>
              <w:bottom w:val="nil"/>
              <w:right w:val="nil"/>
            </w:tcBorders>
            <w:vAlign w:val="center"/>
          </w:tcPr>
          <w:p w14:paraId="2334D0C4" w14:textId="77777777" w:rsidR="00F1508E" w:rsidRPr="001542FA" w:rsidRDefault="00F1508E" w:rsidP="00D075F6">
            <w:pPr>
              <w:pStyle w:val="NoSpacing"/>
            </w:pPr>
            <w:r w:rsidRPr="001542FA">
              <w:t>0.03</w:t>
            </w:r>
          </w:p>
        </w:tc>
        <w:tc>
          <w:tcPr>
            <w:tcW w:w="1276" w:type="dxa"/>
            <w:tcBorders>
              <w:top w:val="nil"/>
              <w:left w:val="nil"/>
              <w:bottom w:val="nil"/>
              <w:right w:val="nil"/>
            </w:tcBorders>
            <w:shd w:val="clear" w:color="auto" w:fill="auto"/>
            <w:vAlign w:val="center"/>
          </w:tcPr>
          <w:p w14:paraId="3C39C692" w14:textId="77777777" w:rsidR="00F1508E" w:rsidRPr="001542FA" w:rsidRDefault="00F1508E" w:rsidP="00D075F6">
            <w:pPr>
              <w:pStyle w:val="NoSpacing"/>
            </w:pPr>
            <w:r w:rsidRPr="001542FA">
              <w:t>0.00</w:t>
            </w:r>
            <w:r>
              <w:t>***</w:t>
            </w:r>
          </w:p>
        </w:tc>
      </w:tr>
      <w:tr w:rsidR="00F1508E" w:rsidRPr="00501424" w14:paraId="0A6FC7C8" w14:textId="77777777" w:rsidTr="00D075F6">
        <w:trPr>
          <w:trHeight w:val="17"/>
        </w:trPr>
        <w:tc>
          <w:tcPr>
            <w:tcW w:w="1985" w:type="dxa"/>
            <w:tcBorders>
              <w:top w:val="nil"/>
              <w:left w:val="nil"/>
              <w:bottom w:val="nil"/>
              <w:right w:val="nil"/>
            </w:tcBorders>
            <w:vAlign w:val="center"/>
          </w:tcPr>
          <w:p w14:paraId="47C1DF1E" w14:textId="77777777" w:rsidR="00F1508E" w:rsidRPr="00501424" w:rsidRDefault="00F1508E" w:rsidP="00D075F6">
            <w:pPr>
              <w:pStyle w:val="NoSpacing"/>
            </w:pPr>
          </w:p>
        </w:tc>
        <w:tc>
          <w:tcPr>
            <w:tcW w:w="1134" w:type="dxa"/>
            <w:tcBorders>
              <w:top w:val="nil"/>
              <w:left w:val="nil"/>
              <w:bottom w:val="nil"/>
              <w:right w:val="nil"/>
            </w:tcBorders>
            <w:vAlign w:val="center"/>
          </w:tcPr>
          <w:p w14:paraId="73996A1F" w14:textId="77777777" w:rsidR="00F1508E" w:rsidRPr="00501424" w:rsidRDefault="00F1508E" w:rsidP="00D075F6">
            <w:pPr>
              <w:pStyle w:val="NoSpacing"/>
            </w:pPr>
          </w:p>
        </w:tc>
        <w:tc>
          <w:tcPr>
            <w:tcW w:w="1984" w:type="dxa"/>
            <w:tcBorders>
              <w:top w:val="nil"/>
              <w:left w:val="nil"/>
              <w:bottom w:val="nil"/>
              <w:right w:val="nil"/>
            </w:tcBorders>
            <w:vAlign w:val="center"/>
          </w:tcPr>
          <w:p w14:paraId="5F891A80" w14:textId="77777777" w:rsidR="00F1508E" w:rsidRPr="001542FA" w:rsidRDefault="00F1508E" w:rsidP="00D075F6">
            <w:pPr>
              <w:pStyle w:val="NoSpacing"/>
            </w:pPr>
            <w:r w:rsidRPr="001542FA">
              <w:t xml:space="preserve">Gender </w:t>
            </w:r>
          </w:p>
        </w:tc>
        <w:tc>
          <w:tcPr>
            <w:tcW w:w="1843" w:type="dxa"/>
            <w:tcBorders>
              <w:top w:val="nil"/>
              <w:left w:val="nil"/>
              <w:bottom w:val="nil"/>
              <w:right w:val="nil"/>
            </w:tcBorders>
            <w:vAlign w:val="center"/>
          </w:tcPr>
          <w:p w14:paraId="29CA886D" w14:textId="77777777" w:rsidR="00F1508E" w:rsidRPr="001542FA" w:rsidRDefault="00F1508E" w:rsidP="00D075F6">
            <w:pPr>
              <w:pStyle w:val="NoSpacing"/>
            </w:pPr>
            <w:r w:rsidRPr="001542FA">
              <w:t>(% of males)</w:t>
            </w:r>
          </w:p>
        </w:tc>
        <w:tc>
          <w:tcPr>
            <w:tcW w:w="1418" w:type="dxa"/>
            <w:tcBorders>
              <w:top w:val="nil"/>
              <w:left w:val="nil"/>
              <w:bottom w:val="nil"/>
              <w:right w:val="nil"/>
            </w:tcBorders>
            <w:vAlign w:val="center"/>
          </w:tcPr>
          <w:p w14:paraId="59E094F6" w14:textId="77777777" w:rsidR="00F1508E" w:rsidRPr="001542FA" w:rsidRDefault="00F1508E" w:rsidP="00D075F6">
            <w:pPr>
              <w:pStyle w:val="NoSpacing"/>
            </w:pPr>
            <w:r w:rsidRPr="001542FA">
              <w:t>7</w:t>
            </w:r>
          </w:p>
        </w:tc>
        <w:tc>
          <w:tcPr>
            <w:tcW w:w="2268" w:type="dxa"/>
            <w:tcBorders>
              <w:top w:val="nil"/>
              <w:left w:val="nil"/>
              <w:bottom w:val="nil"/>
              <w:right w:val="nil"/>
            </w:tcBorders>
            <w:vAlign w:val="center"/>
          </w:tcPr>
          <w:p w14:paraId="17BF99A1" w14:textId="77777777" w:rsidR="00F1508E" w:rsidRPr="001542FA" w:rsidRDefault="00F1508E" w:rsidP="00D075F6">
            <w:pPr>
              <w:pStyle w:val="NoSpacing"/>
            </w:pPr>
            <w:r w:rsidRPr="001542FA">
              <w:t>0.73</w:t>
            </w:r>
          </w:p>
        </w:tc>
        <w:tc>
          <w:tcPr>
            <w:tcW w:w="1667" w:type="dxa"/>
            <w:tcBorders>
              <w:top w:val="nil"/>
              <w:left w:val="nil"/>
              <w:bottom w:val="nil"/>
              <w:right w:val="nil"/>
            </w:tcBorders>
            <w:vAlign w:val="center"/>
          </w:tcPr>
          <w:p w14:paraId="2C757D6C" w14:textId="77777777" w:rsidR="00F1508E" w:rsidRPr="001542FA" w:rsidRDefault="00F1508E" w:rsidP="00D075F6">
            <w:pPr>
              <w:pStyle w:val="NoSpacing"/>
            </w:pPr>
            <w:r w:rsidRPr="001542FA">
              <w:t>-2.29 to 3.75</w:t>
            </w:r>
          </w:p>
        </w:tc>
        <w:tc>
          <w:tcPr>
            <w:tcW w:w="850" w:type="dxa"/>
            <w:tcBorders>
              <w:top w:val="nil"/>
              <w:left w:val="nil"/>
              <w:bottom w:val="nil"/>
              <w:right w:val="nil"/>
            </w:tcBorders>
            <w:vAlign w:val="center"/>
          </w:tcPr>
          <w:p w14:paraId="32595A19" w14:textId="77777777" w:rsidR="00F1508E" w:rsidRPr="001542FA" w:rsidRDefault="00F1508E" w:rsidP="00D075F6">
            <w:pPr>
              <w:pStyle w:val="NoSpacing"/>
            </w:pPr>
            <w:r w:rsidRPr="001542FA">
              <w:t>1.24</w:t>
            </w:r>
          </w:p>
        </w:tc>
        <w:tc>
          <w:tcPr>
            <w:tcW w:w="1276" w:type="dxa"/>
            <w:tcBorders>
              <w:top w:val="nil"/>
              <w:left w:val="nil"/>
              <w:bottom w:val="nil"/>
              <w:right w:val="nil"/>
            </w:tcBorders>
            <w:shd w:val="clear" w:color="auto" w:fill="auto"/>
            <w:vAlign w:val="center"/>
          </w:tcPr>
          <w:p w14:paraId="28E23DF6" w14:textId="77777777" w:rsidR="00F1508E" w:rsidRPr="001542FA" w:rsidRDefault="00F1508E" w:rsidP="00D075F6">
            <w:pPr>
              <w:pStyle w:val="NoSpacing"/>
            </w:pPr>
            <w:r w:rsidRPr="001542FA">
              <w:t>0.55</w:t>
            </w:r>
          </w:p>
        </w:tc>
      </w:tr>
      <w:tr w:rsidR="00F1508E" w:rsidRPr="00501424" w14:paraId="3F98E798" w14:textId="77777777" w:rsidTr="00D075F6">
        <w:trPr>
          <w:trHeight w:val="17"/>
        </w:trPr>
        <w:tc>
          <w:tcPr>
            <w:tcW w:w="1985" w:type="dxa"/>
            <w:tcBorders>
              <w:top w:val="nil"/>
              <w:left w:val="nil"/>
              <w:bottom w:val="nil"/>
              <w:right w:val="nil"/>
            </w:tcBorders>
            <w:vAlign w:val="center"/>
          </w:tcPr>
          <w:p w14:paraId="7D500D15" w14:textId="77777777" w:rsidR="00F1508E" w:rsidRPr="00501424" w:rsidRDefault="00F1508E" w:rsidP="00D075F6">
            <w:pPr>
              <w:pStyle w:val="NoSpacing"/>
            </w:pPr>
          </w:p>
        </w:tc>
        <w:tc>
          <w:tcPr>
            <w:tcW w:w="1134" w:type="dxa"/>
            <w:tcBorders>
              <w:top w:val="nil"/>
              <w:left w:val="nil"/>
              <w:bottom w:val="nil"/>
              <w:right w:val="nil"/>
            </w:tcBorders>
            <w:vAlign w:val="center"/>
          </w:tcPr>
          <w:p w14:paraId="0312DF23" w14:textId="77777777" w:rsidR="00F1508E" w:rsidRPr="00501424" w:rsidRDefault="00F1508E" w:rsidP="00D075F6">
            <w:pPr>
              <w:pStyle w:val="NoSpacing"/>
            </w:pPr>
          </w:p>
        </w:tc>
        <w:tc>
          <w:tcPr>
            <w:tcW w:w="1984" w:type="dxa"/>
            <w:tcBorders>
              <w:top w:val="nil"/>
              <w:left w:val="nil"/>
              <w:bottom w:val="nil"/>
              <w:right w:val="nil"/>
            </w:tcBorders>
            <w:vAlign w:val="center"/>
          </w:tcPr>
          <w:p w14:paraId="0606E29D" w14:textId="77777777" w:rsidR="00F1508E" w:rsidRPr="001542FA" w:rsidRDefault="00F1508E" w:rsidP="00D075F6">
            <w:pPr>
              <w:pStyle w:val="NoSpacing"/>
            </w:pPr>
            <w:r w:rsidRPr="001542FA">
              <w:t>Number of sessions</w:t>
            </w:r>
          </w:p>
        </w:tc>
        <w:tc>
          <w:tcPr>
            <w:tcW w:w="1843" w:type="dxa"/>
            <w:tcBorders>
              <w:top w:val="nil"/>
              <w:left w:val="nil"/>
              <w:bottom w:val="nil"/>
              <w:right w:val="nil"/>
            </w:tcBorders>
            <w:vAlign w:val="center"/>
          </w:tcPr>
          <w:p w14:paraId="51304A8C" w14:textId="77777777" w:rsidR="00F1508E" w:rsidRPr="001542FA" w:rsidRDefault="00F1508E" w:rsidP="00D075F6">
            <w:pPr>
              <w:pStyle w:val="NoSpacing"/>
            </w:pPr>
            <w:r w:rsidRPr="001542FA">
              <w:t>(2-12 sessions)</w:t>
            </w:r>
          </w:p>
        </w:tc>
        <w:tc>
          <w:tcPr>
            <w:tcW w:w="1418" w:type="dxa"/>
            <w:tcBorders>
              <w:top w:val="nil"/>
              <w:left w:val="nil"/>
              <w:bottom w:val="nil"/>
              <w:right w:val="nil"/>
            </w:tcBorders>
            <w:vAlign w:val="center"/>
          </w:tcPr>
          <w:p w14:paraId="44A8BF75" w14:textId="77777777" w:rsidR="00F1508E" w:rsidRPr="001542FA" w:rsidRDefault="00F1508E" w:rsidP="00D075F6">
            <w:pPr>
              <w:pStyle w:val="NoSpacing"/>
            </w:pPr>
            <w:r w:rsidRPr="001542FA">
              <w:t>7</w:t>
            </w:r>
          </w:p>
        </w:tc>
        <w:tc>
          <w:tcPr>
            <w:tcW w:w="2268" w:type="dxa"/>
            <w:tcBorders>
              <w:top w:val="nil"/>
              <w:left w:val="nil"/>
              <w:bottom w:val="nil"/>
              <w:right w:val="nil"/>
            </w:tcBorders>
            <w:vAlign w:val="center"/>
          </w:tcPr>
          <w:p w14:paraId="18C5B78F" w14:textId="77777777" w:rsidR="00F1508E" w:rsidRPr="001542FA" w:rsidRDefault="00F1508E" w:rsidP="00D075F6">
            <w:pPr>
              <w:pStyle w:val="NoSpacing"/>
            </w:pPr>
            <w:r w:rsidRPr="001542FA">
              <w:t>0.10</w:t>
            </w:r>
          </w:p>
        </w:tc>
        <w:tc>
          <w:tcPr>
            <w:tcW w:w="1667" w:type="dxa"/>
            <w:tcBorders>
              <w:top w:val="nil"/>
              <w:left w:val="nil"/>
              <w:bottom w:val="nil"/>
              <w:right w:val="nil"/>
            </w:tcBorders>
            <w:vAlign w:val="center"/>
          </w:tcPr>
          <w:p w14:paraId="741FAA6F" w14:textId="77777777" w:rsidR="00F1508E" w:rsidRPr="001542FA" w:rsidRDefault="00F1508E" w:rsidP="00D075F6">
            <w:pPr>
              <w:pStyle w:val="NoSpacing"/>
            </w:pPr>
            <w:r w:rsidRPr="001542FA">
              <w:t>-0.05 to 0.24</w:t>
            </w:r>
          </w:p>
        </w:tc>
        <w:tc>
          <w:tcPr>
            <w:tcW w:w="850" w:type="dxa"/>
            <w:tcBorders>
              <w:top w:val="nil"/>
              <w:left w:val="nil"/>
              <w:bottom w:val="nil"/>
              <w:right w:val="nil"/>
            </w:tcBorders>
            <w:vAlign w:val="center"/>
          </w:tcPr>
          <w:p w14:paraId="7DDA5B15" w14:textId="77777777" w:rsidR="00F1508E" w:rsidRPr="001542FA" w:rsidRDefault="00F1508E" w:rsidP="00D075F6">
            <w:pPr>
              <w:pStyle w:val="NoSpacing"/>
            </w:pPr>
            <w:r w:rsidRPr="001542FA">
              <w:t>0.06</w:t>
            </w:r>
          </w:p>
        </w:tc>
        <w:tc>
          <w:tcPr>
            <w:tcW w:w="1276" w:type="dxa"/>
            <w:tcBorders>
              <w:top w:val="nil"/>
              <w:left w:val="nil"/>
              <w:bottom w:val="nil"/>
              <w:right w:val="nil"/>
            </w:tcBorders>
            <w:shd w:val="clear" w:color="auto" w:fill="auto"/>
            <w:vAlign w:val="center"/>
          </w:tcPr>
          <w:p w14:paraId="3CE53116" w14:textId="77777777" w:rsidR="00F1508E" w:rsidRPr="001542FA" w:rsidRDefault="00F1508E" w:rsidP="00D075F6">
            <w:pPr>
              <w:pStyle w:val="NoSpacing"/>
            </w:pPr>
            <w:r w:rsidRPr="001542FA">
              <w:t>0.10</w:t>
            </w:r>
          </w:p>
        </w:tc>
      </w:tr>
      <w:tr w:rsidR="00F1508E" w:rsidRPr="00501424" w14:paraId="76CDC00F" w14:textId="77777777" w:rsidTr="00D075F6">
        <w:trPr>
          <w:trHeight w:val="17"/>
        </w:trPr>
        <w:tc>
          <w:tcPr>
            <w:tcW w:w="1985" w:type="dxa"/>
            <w:tcBorders>
              <w:top w:val="nil"/>
              <w:left w:val="nil"/>
              <w:bottom w:val="nil"/>
              <w:right w:val="nil"/>
            </w:tcBorders>
            <w:vAlign w:val="center"/>
          </w:tcPr>
          <w:p w14:paraId="67F97A73" w14:textId="77777777" w:rsidR="00F1508E" w:rsidRPr="00501424" w:rsidRDefault="00F1508E" w:rsidP="00D075F6">
            <w:pPr>
              <w:pStyle w:val="NoSpacing"/>
            </w:pPr>
          </w:p>
        </w:tc>
        <w:tc>
          <w:tcPr>
            <w:tcW w:w="1134" w:type="dxa"/>
            <w:tcBorders>
              <w:top w:val="nil"/>
              <w:left w:val="nil"/>
              <w:bottom w:val="nil"/>
              <w:right w:val="nil"/>
            </w:tcBorders>
            <w:vAlign w:val="center"/>
          </w:tcPr>
          <w:p w14:paraId="68DB6B83" w14:textId="77777777" w:rsidR="00F1508E" w:rsidRPr="00501424" w:rsidRDefault="00F1508E" w:rsidP="00D075F6">
            <w:pPr>
              <w:pStyle w:val="NoSpacing"/>
            </w:pPr>
          </w:p>
        </w:tc>
        <w:tc>
          <w:tcPr>
            <w:tcW w:w="1984" w:type="dxa"/>
            <w:tcBorders>
              <w:top w:val="nil"/>
              <w:left w:val="nil"/>
              <w:bottom w:val="nil"/>
              <w:right w:val="nil"/>
            </w:tcBorders>
            <w:vAlign w:val="center"/>
          </w:tcPr>
          <w:p w14:paraId="44B86358" w14:textId="77777777" w:rsidR="00F1508E" w:rsidRPr="001542FA" w:rsidRDefault="00F1508E" w:rsidP="00D075F6">
            <w:pPr>
              <w:pStyle w:val="NoSpacing"/>
            </w:pPr>
            <w:r w:rsidRPr="001542FA">
              <w:t>Duration in days</w:t>
            </w:r>
          </w:p>
        </w:tc>
        <w:tc>
          <w:tcPr>
            <w:tcW w:w="1843" w:type="dxa"/>
            <w:tcBorders>
              <w:top w:val="nil"/>
              <w:left w:val="nil"/>
              <w:bottom w:val="nil"/>
              <w:right w:val="nil"/>
            </w:tcBorders>
            <w:vAlign w:val="center"/>
          </w:tcPr>
          <w:p w14:paraId="70C8103E" w14:textId="77777777" w:rsidR="00F1508E" w:rsidRPr="001542FA" w:rsidRDefault="00F1508E" w:rsidP="00D075F6">
            <w:pPr>
              <w:pStyle w:val="NoSpacing"/>
            </w:pPr>
            <w:r w:rsidRPr="001542FA">
              <w:t>(1.5-16 days)</w:t>
            </w:r>
          </w:p>
        </w:tc>
        <w:tc>
          <w:tcPr>
            <w:tcW w:w="1418" w:type="dxa"/>
            <w:tcBorders>
              <w:top w:val="nil"/>
              <w:left w:val="nil"/>
              <w:bottom w:val="nil"/>
              <w:right w:val="nil"/>
            </w:tcBorders>
            <w:vAlign w:val="center"/>
          </w:tcPr>
          <w:p w14:paraId="4623FC3B" w14:textId="77777777" w:rsidR="00F1508E" w:rsidRPr="001542FA" w:rsidRDefault="00F1508E" w:rsidP="00D075F6">
            <w:pPr>
              <w:pStyle w:val="NoSpacing"/>
            </w:pPr>
            <w:r w:rsidRPr="001542FA">
              <w:t>7</w:t>
            </w:r>
          </w:p>
        </w:tc>
        <w:tc>
          <w:tcPr>
            <w:tcW w:w="2268" w:type="dxa"/>
            <w:tcBorders>
              <w:top w:val="nil"/>
              <w:left w:val="nil"/>
              <w:bottom w:val="nil"/>
              <w:right w:val="nil"/>
            </w:tcBorders>
            <w:vAlign w:val="center"/>
          </w:tcPr>
          <w:p w14:paraId="6D9037E0" w14:textId="77777777" w:rsidR="00F1508E" w:rsidRPr="001542FA" w:rsidRDefault="00F1508E" w:rsidP="00D075F6">
            <w:pPr>
              <w:pStyle w:val="NoSpacing"/>
            </w:pPr>
            <w:r w:rsidRPr="001542FA">
              <w:t>0.10</w:t>
            </w:r>
          </w:p>
        </w:tc>
        <w:tc>
          <w:tcPr>
            <w:tcW w:w="1667" w:type="dxa"/>
            <w:tcBorders>
              <w:top w:val="nil"/>
              <w:left w:val="nil"/>
              <w:bottom w:val="nil"/>
              <w:right w:val="nil"/>
            </w:tcBorders>
            <w:vAlign w:val="center"/>
          </w:tcPr>
          <w:p w14:paraId="50BC816A" w14:textId="77777777" w:rsidR="00F1508E" w:rsidRPr="001542FA" w:rsidRDefault="00F1508E" w:rsidP="00D075F6">
            <w:pPr>
              <w:pStyle w:val="NoSpacing"/>
            </w:pPr>
            <w:r w:rsidRPr="001542FA">
              <w:t>-0.03 to 0.22</w:t>
            </w:r>
          </w:p>
        </w:tc>
        <w:tc>
          <w:tcPr>
            <w:tcW w:w="850" w:type="dxa"/>
            <w:tcBorders>
              <w:top w:val="nil"/>
              <w:left w:val="nil"/>
              <w:bottom w:val="nil"/>
              <w:right w:val="nil"/>
            </w:tcBorders>
            <w:vAlign w:val="center"/>
          </w:tcPr>
          <w:p w14:paraId="6ABD8EDB" w14:textId="77777777" w:rsidR="00F1508E" w:rsidRPr="001542FA" w:rsidRDefault="00F1508E" w:rsidP="00D075F6">
            <w:pPr>
              <w:pStyle w:val="NoSpacing"/>
            </w:pPr>
            <w:r w:rsidRPr="001542FA">
              <w:t>0.05</w:t>
            </w:r>
          </w:p>
        </w:tc>
        <w:tc>
          <w:tcPr>
            <w:tcW w:w="1276" w:type="dxa"/>
            <w:tcBorders>
              <w:top w:val="nil"/>
              <w:left w:val="nil"/>
              <w:bottom w:val="nil"/>
              <w:right w:val="nil"/>
            </w:tcBorders>
            <w:shd w:val="clear" w:color="auto" w:fill="auto"/>
            <w:vAlign w:val="center"/>
          </w:tcPr>
          <w:p w14:paraId="051E4F1D" w14:textId="77777777" w:rsidR="00F1508E" w:rsidRPr="001542FA" w:rsidRDefault="00F1508E" w:rsidP="00D075F6">
            <w:pPr>
              <w:pStyle w:val="NoSpacing"/>
            </w:pPr>
            <w:r w:rsidRPr="001542FA">
              <w:t>0.06</w:t>
            </w:r>
          </w:p>
        </w:tc>
      </w:tr>
      <w:tr w:rsidR="00F1508E" w:rsidRPr="00501424" w14:paraId="1A39AA5C" w14:textId="77777777" w:rsidTr="00D075F6">
        <w:trPr>
          <w:trHeight w:val="17"/>
        </w:trPr>
        <w:tc>
          <w:tcPr>
            <w:tcW w:w="1985" w:type="dxa"/>
            <w:tcBorders>
              <w:top w:val="nil"/>
              <w:left w:val="nil"/>
              <w:bottom w:val="nil"/>
              <w:right w:val="nil"/>
            </w:tcBorders>
            <w:vAlign w:val="center"/>
          </w:tcPr>
          <w:p w14:paraId="4E4DE5F3" w14:textId="77777777" w:rsidR="00F1508E" w:rsidRPr="00501424" w:rsidRDefault="00F1508E" w:rsidP="00D075F6">
            <w:pPr>
              <w:pStyle w:val="NoSpacing"/>
            </w:pPr>
          </w:p>
        </w:tc>
        <w:tc>
          <w:tcPr>
            <w:tcW w:w="1134" w:type="dxa"/>
            <w:tcBorders>
              <w:top w:val="nil"/>
              <w:left w:val="nil"/>
              <w:bottom w:val="nil"/>
              <w:right w:val="nil"/>
            </w:tcBorders>
            <w:vAlign w:val="center"/>
          </w:tcPr>
          <w:p w14:paraId="1D7B87B3" w14:textId="77777777" w:rsidR="00F1508E" w:rsidRPr="00501424" w:rsidRDefault="00F1508E" w:rsidP="00D075F6">
            <w:pPr>
              <w:pStyle w:val="NoSpacing"/>
            </w:pPr>
          </w:p>
        </w:tc>
        <w:tc>
          <w:tcPr>
            <w:tcW w:w="1984" w:type="dxa"/>
            <w:tcBorders>
              <w:top w:val="nil"/>
              <w:left w:val="nil"/>
              <w:bottom w:val="nil"/>
              <w:right w:val="nil"/>
            </w:tcBorders>
            <w:vAlign w:val="center"/>
          </w:tcPr>
          <w:p w14:paraId="2711B180" w14:textId="77777777" w:rsidR="00F1508E" w:rsidRPr="001542FA" w:rsidRDefault="00F1508E" w:rsidP="00D075F6">
            <w:pPr>
              <w:pStyle w:val="NoSpacing"/>
            </w:pPr>
            <w:r w:rsidRPr="001542FA">
              <w:t>Publication date</w:t>
            </w:r>
          </w:p>
        </w:tc>
        <w:tc>
          <w:tcPr>
            <w:tcW w:w="1843" w:type="dxa"/>
            <w:tcBorders>
              <w:top w:val="nil"/>
              <w:left w:val="nil"/>
              <w:bottom w:val="nil"/>
              <w:right w:val="nil"/>
            </w:tcBorders>
            <w:vAlign w:val="center"/>
          </w:tcPr>
          <w:p w14:paraId="6CD33C50" w14:textId="77777777" w:rsidR="00F1508E" w:rsidRPr="001542FA" w:rsidRDefault="00F1508E" w:rsidP="00D075F6">
            <w:pPr>
              <w:pStyle w:val="NoSpacing"/>
            </w:pPr>
            <w:r w:rsidRPr="001542FA">
              <w:t xml:space="preserve">2008 – 2015 </w:t>
            </w:r>
          </w:p>
        </w:tc>
        <w:tc>
          <w:tcPr>
            <w:tcW w:w="1418" w:type="dxa"/>
            <w:tcBorders>
              <w:top w:val="nil"/>
              <w:left w:val="nil"/>
              <w:bottom w:val="nil"/>
              <w:right w:val="nil"/>
            </w:tcBorders>
            <w:vAlign w:val="center"/>
          </w:tcPr>
          <w:p w14:paraId="7EBDA778" w14:textId="77777777" w:rsidR="00F1508E" w:rsidRPr="001542FA" w:rsidRDefault="00F1508E" w:rsidP="00D075F6">
            <w:pPr>
              <w:pStyle w:val="NoSpacing"/>
            </w:pPr>
            <w:r w:rsidRPr="001542FA">
              <w:t>7</w:t>
            </w:r>
          </w:p>
        </w:tc>
        <w:tc>
          <w:tcPr>
            <w:tcW w:w="2268" w:type="dxa"/>
            <w:tcBorders>
              <w:top w:val="nil"/>
              <w:left w:val="nil"/>
              <w:bottom w:val="nil"/>
              <w:right w:val="nil"/>
            </w:tcBorders>
            <w:vAlign w:val="center"/>
          </w:tcPr>
          <w:p w14:paraId="4CCEA1B3" w14:textId="77777777" w:rsidR="00F1508E" w:rsidRPr="001542FA" w:rsidRDefault="00F1508E" w:rsidP="00D075F6">
            <w:pPr>
              <w:pStyle w:val="NoSpacing"/>
            </w:pPr>
            <w:r w:rsidRPr="001542FA">
              <w:t>-0.07</w:t>
            </w:r>
          </w:p>
        </w:tc>
        <w:tc>
          <w:tcPr>
            <w:tcW w:w="1667" w:type="dxa"/>
            <w:tcBorders>
              <w:top w:val="nil"/>
              <w:left w:val="nil"/>
              <w:bottom w:val="nil"/>
              <w:right w:val="nil"/>
            </w:tcBorders>
            <w:vAlign w:val="center"/>
          </w:tcPr>
          <w:p w14:paraId="2E1E3AA7" w14:textId="77777777" w:rsidR="00F1508E" w:rsidRPr="001542FA" w:rsidRDefault="00F1508E" w:rsidP="00D075F6">
            <w:pPr>
              <w:pStyle w:val="NoSpacing"/>
            </w:pPr>
            <w:r w:rsidRPr="001542FA">
              <w:t>-0.14 to 0.00</w:t>
            </w:r>
          </w:p>
        </w:tc>
        <w:tc>
          <w:tcPr>
            <w:tcW w:w="850" w:type="dxa"/>
            <w:tcBorders>
              <w:top w:val="nil"/>
              <w:left w:val="nil"/>
              <w:bottom w:val="nil"/>
              <w:right w:val="nil"/>
            </w:tcBorders>
            <w:vAlign w:val="center"/>
          </w:tcPr>
          <w:p w14:paraId="58BCDE5A" w14:textId="77777777" w:rsidR="00F1508E" w:rsidRPr="001542FA" w:rsidRDefault="00F1508E" w:rsidP="00D075F6">
            <w:pPr>
              <w:pStyle w:val="NoSpacing"/>
            </w:pPr>
            <w:r w:rsidRPr="001542FA">
              <w:t>0.03</w:t>
            </w:r>
          </w:p>
        </w:tc>
        <w:tc>
          <w:tcPr>
            <w:tcW w:w="1276" w:type="dxa"/>
            <w:tcBorders>
              <w:top w:val="nil"/>
              <w:left w:val="nil"/>
              <w:bottom w:val="nil"/>
              <w:right w:val="nil"/>
            </w:tcBorders>
            <w:shd w:val="clear" w:color="auto" w:fill="auto"/>
            <w:vAlign w:val="center"/>
          </w:tcPr>
          <w:p w14:paraId="60AAF9AF" w14:textId="77777777" w:rsidR="00F1508E" w:rsidRPr="001542FA" w:rsidRDefault="00F1508E" w:rsidP="00D075F6">
            <w:pPr>
              <w:pStyle w:val="NoSpacing"/>
            </w:pPr>
            <w:r w:rsidRPr="001542FA">
              <w:t>0.02</w:t>
            </w:r>
            <w:r>
              <w:t>*</w:t>
            </w:r>
          </w:p>
        </w:tc>
      </w:tr>
      <w:tr w:rsidR="00F1508E" w:rsidRPr="00501424" w14:paraId="5D855C18" w14:textId="77777777" w:rsidTr="00D075F6">
        <w:trPr>
          <w:trHeight w:val="17"/>
        </w:trPr>
        <w:tc>
          <w:tcPr>
            <w:tcW w:w="1985" w:type="dxa"/>
            <w:tcBorders>
              <w:top w:val="nil"/>
              <w:left w:val="nil"/>
              <w:bottom w:val="nil"/>
              <w:right w:val="nil"/>
            </w:tcBorders>
            <w:vAlign w:val="center"/>
          </w:tcPr>
          <w:p w14:paraId="31494199" w14:textId="77777777" w:rsidR="00F1508E" w:rsidRPr="00501424" w:rsidRDefault="00F1508E" w:rsidP="00D075F6">
            <w:pPr>
              <w:pStyle w:val="NoSpacing"/>
            </w:pPr>
            <w:r w:rsidRPr="00501424">
              <w:t>Follow-Up</w:t>
            </w:r>
          </w:p>
        </w:tc>
        <w:tc>
          <w:tcPr>
            <w:tcW w:w="1134" w:type="dxa"/>
            <w:tcBorders>
              <w:top w:val="nil"/>
              <w:left w:val="nil"/>
              <w:bottom w:val="nil"/>
              <w:right w:val="nil"/>
            </w:tcBorders>
            <w:vAlign w:val="center"/>
          </w:tcPr>
          <w:p w14:paraId="62664A92" w14:textId="77777777" w:rsidR="00F1508E" w:rsidRPr="00501424" w:rsidRDefault="00F1508E" w:rsidP="00D075F6">
            <w:pPr>
              <w:pStyle w:val="NoSpacing"/>
            </w:pPr>
            <w:r w:rsidRPr="00501424">
              <w:t>Passive</w:t>
            </w:r>
          </w:p>
        </w:tc>
        <w:tc>
          <w:tcPr>
            <w:tcW w:w="1984" w:type="dxa"/>
            <w:tcBorders>
              <w:top w:val="nil"/>
              <w:left w:val="nil"/>
              <w:bottom w:val="nil"/>
              <w:right w:val="nil"/>
            </w:tcBorders>
            <w:vAlign w:val="center"/>
          </w:tcPr>
          <w:p w14:paraId="0947A187" w14:textId="77777777" w:rsidR="00F1508E" w:rsidRPr="001542FA" w:rsidRDefault="00F1508E" w:rsidP="00D075F6">
            <w:pPr>
              <w:pStyle w:val="NoSpacing"/>
            </w:pPr>
            <w:r w:rsidRPr="001542FA">
              <w:t>Age</w:t>
            </w:r>
          </w:p>
        </w:tc>
        <w:tc>
          <w:tcPr>
            <w:tcW w:w="1843" w:type="dxa"/>
            <w:tcBorders>
              <w:top w:val="nil"/>
              <w:left w:val="nil"/>
              <w:bottom w:val="nil"/>
              <w:right w:val="nil"/>
            </w:tcBorders>
            <w:vAlign w:val="center"/>
          </w:tcPr>
          <w:p w14:paraId="1C0C6D65" w14:textId="77777777" w:rsidR="00F1508E" w:rsidRPr="001542FA" w:rsidRDefault="00F1508E" w:rsidP="00D075F6">
            <w:pPr>
              <w:pStyle w:val="NoSpacing"/>
            </w:pPr>
            <w:r w:rsidRPr="001542FA">
              <w:t>(20.08 to 39.87)</w:t>
            </w:r>
          </w:p>
        </w:tc>
        <w:tc>
          <w:tcPr>
            <w:tcW w:w="1418" w:type="dxa"/>
            <w:tcBorders>
              <w:top w:val="nil"/>
              <w:left w:val="nil"/>
              <w:bottom w:val="nil"/>
              <w:right w:val="nil"/>
            </w:tcBorders>
            <w:vAlign w:val="center"/>
          </w:tcPr>
          <w:p w14:paraId="23CD7BC2" w14:textId="77777777" w:rsidR="00F1508E" w:rsidRPr="001542FA" w:rsidRDefault="00F1508E" w:rsidP="00D075F6">
            <w:pPr>
              <w:pStyle w:val="NoSpacing"/>
            </w:pPr>
            <w:r w:rsidRPr="001542FA">
              <w:t>9</w:t>
            </w:r>
          </w:p>
        </w:tc>
        <w:tc>
          <w:tcPr>
            <w:tcW w:w="2268" w:type="dxa"/>
            <w:tcBorders>
              <w:top w:val="nil"/>
              <w:left w:val="nil"/>
              <w:bottom w:val="nil"/>
              <w:right w:val="nil"/>
            </w:tcBorders>
            <w:vAlign w:val="center"/>
          </w:tcPr>
          <w:p w14:paraId="1D118092" w14:textId="77777777" w:rsidR="00F1508E" w:rsidRPr="001542FA" w:rsidRDefault="00F1508E" w:rsidP="00D075F6">
            <w:pPr>
              <w:pStyle w:val="NoSpacing"/>
            </w:pPr>
            <w:r w:rsidRPr="001542FA">
              <w:t>-0.03</w:t>
            </w:r>
          </w:p>
        </w:tc>
        <w:tc>
          <w:tcPr>
            <w:tcW w:w="1667" w:type="dxa"/>
            <w:tcBorders>
              <w:top w:val="nil"/>
              <w:left w:val="nil"/>
              <w:bottom w:val="nil"/>
              <w:right w:val="nil"/>
            </w:tcBorders>
            <w:vAlign w:val="center"/>
          </w:tcPr>
          <w:p w14:paraId="437E1244" w14:textId="77777777" w:rsidR="00F1508E" w:rsidRPr="001542FA" w:rsidRDefault="00F1508E" w:rsidP="00D075F6">
            <w:pPr>
              <w:pStyle w:val="NoSpacing"/>
            </w:pPr>
            <w:r w:rsidRPr="001542FA">
              <w:t>-0.06 to 0.00</w:t>
            </w:r>
          </w:p>
        </w:tc>
        <w:tc>
          <w:tcPr>
            <w:tcW w:w="850" w:type="dxa"/>
            <w:tcBorders>
              <w:top w:val="nil"/>
              <w:left w:val="nil"/>
              <w:bottom w:val="nil"/>
              <w:right w:val="nil"/>
            </w:tcBorders>
            <w:vAlign w:val="center"/>
          </w:tcPr>
          <w:p w14:paraId="568FA181" w14:textId="77777777" w:rsidR="00F1508E" w:rsidRPr="001542FA" w:rsidRDefault="00F1508E" w:rsidP="00D075F6">
            <w:pPr>
              <w:pStyle w:val="NoSpacing"/>
            </w:pPr>
            <w:r w:rsidRPr="001542FA">
              <w:t>0.01</w:t>
            </w:r>
          </w:p>
        </w:tc>
        <w:tc>
          <w:tcPr>
            <w:tcW w:w="1276" w:type="dxa"/>
            <w:tcBorders>
              <w:top w:val="nil"/>
              <w:left w:val="nil"/>
              <w:bottom w:val="nil"/>
              <w:right w:val="nil"/>
            </w:tcBorders>
            <w:shd w:val="clear" w:color="auto" w:fill="auto"/>
            <w:vAlign w:val="center"/>
          </w:tcPr>
          <w:p w14:paraId="5F33B3CB" w14:textId="77777777" w:rsidR="00F1508E" w:rsidRPr="001542FA" w:rsidRDefault="00F1508E" w:rsidP="00D075F6">
            <w:pPr>
              <w:pStyle w:val="NoSpacing"/>
            </w:pPr>
            <w:r w:rsidRPr="001542FA">
              <w:t>0.03</w:t>
            </w:r>
            <w:r>
              <w:t>*</w:t>
            </w:r>
          </w:p>
        </w:tc>
      </w:tr>
      <w:tr w:rsidR="00F1508E" w:rsidRPr="00501424" w14:paraId="13DD7886" w14:textId="77777777" w:rsidTr="00D075F6">
        <w:trPr>
          <w:trHeight w:val="17"/>
        </w:trPr>
        <w:tc>
          <w:tcPr>
            <w:tcW w:w="1985" w:type="dxa"/>
            <w:tcBorders>
              <w:top w:val="nil"/>
              <w:left w:val="nil"/>
              <w:bottom w:val="nil"/>
              <w:right w:val="nil"/>
            </w:tcBorders>
            <w:vAlign w:val="center"/>
          </w:tcPr>
          <w:p w14:paraId="602AED64" w14:textId="77777777" w:rsidR="00F1508E" w:rsidRPr="00501424" w:rsidRDefault="00F1508E" w:rsidP="00D075F6">
            <w:pPr>
              <w:pStyle w:val="NoSpacing"/>
            </w:pPr>
          </w:p>
        </w:tc>
        <w:tc>
          <w:tcPr>
            <w:tcW w:w="1134" w:type="dxa"/>
            <w:tcBorders>
              <w:top w:val="nil"/>
              <w:left w:val="nil"/>
              <w:bottom w:val="nil"/>
              <w:right w:val="nil"/>
            </w:tcBorders>
            <w:vAlign w:val="center"/>
          </w:tcPr>
          <w:p w14:paraId="69E20C03" w14:textId="77777777" w:rsidR="00F1508E" w:rsidRPr="00501424" w:rsidRDefault="00F1508E" w:rsidP="00D075F6">
            <w:pPr>
              <w:pStyle w:val="NoSpacing"/>
            </w:pPr>
          </w:p>
        </w:tc>
        <w:tc>
          <w:tcPr>
            <w:tcW w:w="1984" w:type="dxa"/>
            <w:tcBorders>
              <w:top w:val="nil"/>
              <w:left w:val="nil"/>
              <w:bottom w:val="nil"/>
              <w:right w:val="nil"/>
            </w:tcBorders>
            <w:vAlign w:val="center"/>
          </w:tcPr>
          <w:p w14:paraId="1FF3C481" w14:textId="77777777" w:rsidR="00F1508E" w:rsidRPr="001542FA" w:rsidRDefault="00F1508E" w:rsidP="00D075F6">
            <w:pPr>
              <w:pStyle w:val="NoSpacing"/>
            </w:pPr>
            <w:r w:rsidRPr="001542FA">
              <w:t xml:space="preserve">Gender </w:t>
            </w:r>
          </w:p>
        </w:tc>
        <w:tc>
          <w:tcPr>
            <w:tcW w:w="1843" w:type="dxa"/>
            <w:tcBorders>
              <w:top w:val="nil"/>
              <w:left w:val="nil"/>
              <w:bottom w:val="nil"/>
              <w:right w:val="nil"/>
            </w:tcBorders>
            <w:vAlign w:val="center"/>
          </w:tcPr>
          <w:p w14:paraId="65C6548A" w14:textId="77777777" w:rsidR="00F1508E" w:rsidRPr="001542FA" w:rsidRDefault="00F1508E" w:rsidP="00D075F6">
            <w:pPr>
              <w:pStyle w:val="NoSpacing"/>
            </w:pPr>
            <w:r w:rsidRPr="001542FA">
              <w:t>(% of males)</w:t>
            </w:r>
          </w:p>
        </w:tc>
        <w:tc>
          <w:tcPr>
            <w:tcW w:w="1418" w:type="dxa"/>
            <w:tcBorders>
              <w:top w:val="nil"/>
              <w:left w:val="nil"/>
              <w:bottom w:val="nil"/>
              <w:right w:val="nil"/>
            </w:tcBorders>
            <w:vAlign w:val="center"/>
          </w:tcPr>
          <w:p w14:paraId="04A61D82" w14:textId="77777777" w:rsidR="00F1508E" w:rsidRPr="001542FA" w:rsidRDefault="00F1508E" w:rsidP="00D075F6">
            <w:pPr>
              <w:pStyle w:val="NoSpacing"/>
            </w:pPr>
            <w:r w:rsidRPr="001542FA">
              <w:t>9</w:t>
            </w:r>
          </w:p>
        </w:tc>
        <w:tc>
          <w:tcPr>
            <w:tcW w:w="2268" w:type="dxa"/>
            <w:tcBorders>
              <w:top w:val="nil"/>
              <w:left w:val="nil"/>
              <w:bottom w:val="nil"/>
              <w:right w:val="nil"/>
            </w:tcBorders>
            <w:vAlign w:val="center"/>
          </w:tcPr>
          <w:p w14:paraId="73C6C2DD" w14:textId="77777777" w:rsidR="00F1508E" w:rsidRPr="001542FA" w:rsidRDefault="00F1508E" w:rsidP="00D075F6">
            <w:pPr>
              <w:pStyle w:val="NoSpacing"/>
            </w:pPr>
            <w:r w:rsidRPr="001542FA">
              <w:t>3.24</w:t>
            </w:r>
          </w:p>
        </w:tc>
        <w:tc>
          <w:tcPr>
            <w:tcW w:w="1667" w:type="dxa"/>
            <w:tcBorders>
              <w:top w:val="nil"/>
              <w:left w:val="nil"/>
              <w:bottom w:val="nil"/>
              <w:right w:val="nil"/>
            </w:tcBorders>
            <w:vAlign w:val="center"/>
          </w:tcPr>
          <w:p w14:paraId="2B2E92CB" w14:textId="77777777" w:rsidR="00F1508E" w:rsidRPr="001542FA" w:rsidRDefault="00F1508E" w:rsidP="00D075F6">
            <w:pPr>
              <w:pStyle w:val="NoSpacing"/>
            </w:pPr>
            <w:r w:rsidRPr="001542FA">
              <w:t>1.61 to 4.88</w:t>
            </w:r>
          </w:p>
        </w:tc>
        <w:tc>
          <w:tcPr>
            <w:tcW w:w="850" w:type="dxa"/>
            <w:tcBorders>
              <w:top w:val="nil"/>
              <w:left w:val="nil"/>
              <w:bottom w:val="nil"/>
              <w:right w:val="nil"/>
            </w:tcBorders>
            <w:vAlign w:val="center"/>
          </w:tcPr>
          <w:p w14:paraId="34C24EFD" w14:textId="77777777" w:rsidR="00F1508E" w:rsidRPr="001542FA" w:rsidRDefault="00F1508E" w:rsidP="00D075F6">
            <w:pPr>
              <w:pStyle w:val="NoSpacing"/>
            </w:pPr>
            <w:r w:rsidRPr="001542FA">
              <w:t>0.71</w:t>
            </w:r>
          </w:p>
        </w:tc>
        <w:tc>
          <w:tcPr>
            <w:tcW w:w="1276" w:type="dxa"/>
            <w:tcBorders>
              <w:top w:val="nil"/>
              <w:left w:val="nil"/>
              <w:bottom w:val="nil"/>
              <w:right w:val="nil"/>
            </w:tcBorders>
            <w:shd w:val="clear" w:color="auto" w:fill="auto"/>
            <w:vAlign w:val="center"/>
          </w:tcPr>
          <w:p w14:paraId="1D5D0033" w14:textId="77777777" w:rsidR="00F1508E" w:rsidRPr="001542FA" w:rsidRDefault="00F1508E" w:rsidP="00D075F6">
            <w:pPr>
              <w:pStyle w:val="NoSpacing"/>
            </w:pPr>
            <w:r w:rsidRPr="001542FA">
              <w:t>0.00</w:t>
            </w:r>
            <w:r>
              <w:t>***</w:t>
            </w:r>
          </w:p>
        </w:tc>
      </w:tr>
      <w:tr w:rsidR="00F1508E" w:rsidRPr="00501424" w14:paraId="7FC3BB38" w14:textId="77777777" w:rsidTr="00D075F6">
        <w:trPr>
          <w:trHeight w:val="17"/>
        </w:trPr>
        <w:tc>
          <w:tcPr>
            <w:tcW w:w="1985" w:type="dxa"/>
            <w:tcBorders>
              <w:top w:val="nil"/>
              <w:left w:val="nil"/>
              <w:bottom w:val="nil"/>
              <w:right w:val="nil"/>
            </w:tcBorders>
            <w:vAlign w:val="center"/>
          </w:tcPr>
          <w:p w14:paraId="326577E9" w14:textId="77777777" w:rsidR="00F1508E" w:rsidRPr="00501424" w:rsidRDefault="00F1508E" w:rsidP="00D075F6">
            <w:pPr>
              <w:pStyle w:val="NoSpacing"/>
            </w:pPr>
          </w:p>
        </w:tc>
        <w:tc>
          <w:tcPr>
            <w:tcW w:w="1134" w:type="dxa"/>
            <w:tcBorders>
              <w:top w:val="nil"/>
              <w:left w:val="nil"/>
              <w:bottom w:val="nil"/>
              <w:right w:val="nil"/>
            </w:tcBorders>
            <w:vAlign w:val="center"/>
          </w:tcPr>
          <w:p w14:paraId="79B5E734" w14:textId="77777777" w:rsidR="00F1508E" w:rsidRPr="00501424" w:rsidRDefault="00F1508E" w:rsidP="00D075F6">
            <w:pPr>
              <w:pStyle w:val="NoSpacing"/>
            </w:pPr>
          </w:p>
        </w:tc>
        <w:tc>
          <w:tcPr>
            <w:tcW w:w="1984" w:type="dxa"/>
            <w:tcBorders>
              <w:top w:val="nil"/>
              <w:left w:val="nil"/>
              <w:bottom w:val="nil"/>
              <w:right w:val="nil"/>
            </w:tcBorders>
            <w:vAlign w:val="center"/>
          </w:tcPr>
          <w:p w14:paraId="5273B39F" w14:textId="77777777" w:rsidR="00F1508E" w:rsidRPr="001542FA" w:rsidRDefault="00F1508E" w:rsidP="00D075F6">
            <w:pPr>
              <w:pStyle w:val="NoSpacing"/>
            </w:pPr>
            <w:r w:rsidRPr="001542FA">
              <w:t>Number of sessions</w:t>
            </w:r>
          </w:p>
        </w:tc>
        <w:tc>
          <w:tcPr>
            <w:tcW w:w="1843" w:type="dxa"/>
            <w:tcBorders>
              <w:top w:val="nil"/>
              <w:left w:val="nil"/>
              <w:bottom w:val="nil"/>
              <w:right w:val="nil"/>
            </w:tcBorders>
            <w:vAlign w:val="center"/>
          </w:tcPr>
          <w:p w14:paraId="3BBEACCF" w14:textId="77777777" w:rsidR="00F1508E" w:rsidRPr="001542FA" w:rsidRDefault="00F1508E" w:rsidP="00D075F6">
            <w:pPr>
              <w:pStyle w:val="NoSpacing"/>
            </w:pPr>
            <w:r w:rsidRPr="001542FA">
              <w:t>(2-12 sessions)</w:t>
            </w:r>
          </w:p>
        </w:tc>
        <w:tc>
          <w:tcPr>
            <w:tcW w:w="1418" w:type="dxa"/>
            <w:tcBorders>
              <w:top w:val="nil"/>
              <w:left w:val="nil"/>
              <w:bottom w:val="nil"/>
              <w:right w:val="nil"/>
            </w:tcBorders>
            <w:vAlign w:val="center"/>
          </w:tcPr>
          <w:p w14:paraId="1CF85712" w14:textId="77777777" w:rsidR="00F1508E" w:rsidRPr="001542FA" w:rsidRDefault="00F1508E" w:rsidP="00D075F6">
            <w:pPr>
              <w:pStyle w:val="NoSpacing"/>
            </w:pPr>
            <w:r w:rsidRPr="001542FA">
              <w:t>9</w:t>
            </w:r>
          </w:p>
        </w:tc>
        <w:tc>
          <w:tcPr>
            <w:tcW w:w="2268" w:type="dxa"/>
            <w:tcBorders>
              <w:top w:val="nil"/>
              <w:left w:val="nil"/>
              <w:bottom w:val="nil"/>
              <w:right w:val="nil"/>
            </w:tcBorders>
            <w:vAlign w:val="center"/>
          </w:tcPr>
          <w:p w14:paraId="7E310728" w14:textId="77777777" w:rsidR="00F1508E" w:rsidRPr="001542FA" w:rsidRDefault="00F1508E" w:rsidP="00D075F6">
            <w:pPr>
              <w:pStyle w:val="NoSpacing"/>
            </w:pPr>
            <w:r w:rsidRPr="001542FA">
              <w:t>0.15</w:t>
            </w:r>
          </w:p>
        </w:tc>
        <w:tc>
          <w:tcPr>
            <w:tcW w:w="1667" w:type="dxa"/>
            <w:tcBorders>
              <w:top w:val="nil"/>
              <w:left w:val="nil"/>
              <w:bottom w:val="nil"/>
              <w:right w:val="nil"/>
            </w:tcBorders>
            <w:vAlign w:val="center"/>
          </w:tcPr>
          <w:p w14:paraId="39EC7D85" w14:textId="77777777" w:rsidR="00F1508E" w:rsidRPr="001542FA" w:rsidRDefault="00F1508E" w:rsidP="00D075F6">
            <w:pPr>
              <w:pStyle w:val="NoSpacing"/>
            </w:pPr>
            <w:r w:rsidRPr="001542FA">
              <w:t>0.10 to 0.19</w:t>
            </w:r>
          </w:p>
        </w:tc>
        <w:tc>
          <w:tcPr>
            <w:tcW w:w="850" w:type="dxa"/>
            <w:tcBorders>
              <w:top w:val="nil"/>
              <w:left w:val="nil"/>
              <w:bottom w:val="nil"/>
              <w:right w:val="nil"/>
            </w:tcBorders>
            <w:vAlign w:val="center"/>
          </w:tcPr>
          <w:p w14:paraId="4098380D" w14:textId="77777777" w:rsidR="00F1508E" w:rsidRPr="001542FA" w:rsidRDefault="00F1508E" w:rsidP="00D075F6">
            <w:pPr>
              <w:pStyle w:val="NoSpacing"/>
            </w:pPr>
            <w:r w:rsidRPr="001542FA">
              <w:t>0.02</w:t>
            </w:r>
          </w:p>
        </w:tc>
        <w:tc>
          <w:tcPr>
            <w:tcW w:w="1276" w:type="dxa"/>
            <w:tcBorders>
              <w:top w:val="nil"/>
              <w:left w:val="nil"/>
              <w:bottom w:val="nil"/>
              <w:right w:val="nil"/>
            </w:tcBorders>
            <w:shd w:val="clear" w:color="auto" w:fill="auto"/>
            <w:vAlign w:val="center"/>
          </w:tcPr>
          <w:p w14:paraId="2AAB114F" w14:textId="77777777" w:rsidR="00F1508E" w:rsidRPr="001542FA" w:rsidRDefault="00F1508E" w:rsidP="00D075F6">
            <w:pPr>
              <w:pStyle w:val="NoSpacing"/>
            </w:pPr>
            <w:r w:rsidRPr="001542FA">
              <w:t>0.00</w:t>
            </w:r>
            <w:r>
              <w:t>***</w:t>
            </w:r>
          </w:p>
        </w:tc>
      </w:tr>
      <w:tr w:rsidR="00F1508E" w:rsidRPr="00501424" w14:paraId="337F69EF" w14:textId="77777777" w:rsidTr="00D075F6">
        <w:trPr>
          <w:trHeight w:val="17"/>
        </w:trPr>
        <w:tc>
          <w:tcPr>
            <w:tcW w:w="1985" w:type="dxa"/>
            <w:tcBorders>
              <w:top w:val="nil"/>
              <w:left w:val="nil"/>
              <w:bottom w:val="nil"/>
              <w:right w:val="nil"/>
            </w:tcBorders>
            <w:vAlign w:val="center"/>
          </w:tcPr>
          <w:p w14:paraId="12F2440A" w14:textId="77777777" w:rsidR="00F1508E" w:rsidRPr="00501424" w:rsidRDefault="00F1508E" w:rsidP="00D075F6">
            <w:pPr>
              <w:pStyle w:val="NoSpacing"/>
            </w:pPr>
          </w:p>
        </w:tc>
        <w:tc>
          <w:tcPr>
            <w:tcW w:w="1134" w:type="dxa"/>
            <w:tcBorders>
              <w:top w:val="nil"/>
              <w:left w:val="nil"/>
              <w:bottom w:val="nil"/>
              <w:right w:val="nil"/>
            </w:tcBorders>
            <w:vAlign w:val="center"/>
          </w:tcPr>
          <w:p w14:paraId="7328EE4D" w14:textId="77777777" w:rsidR="00F1508E" w:rsidRPr="00501424" w:rsidRDefault="00F1508E" w:rsidP="00D075F6">
            <w:pPr>
              <w:pStyle w:val="NoSpacing"/>
            </w:pPr>
          </w:p>
        </w:tc>
        <w:tc>
          <w:tcPr>
            <w:tcW w:w="1984" w:type="dxa"/>
            <w:tcBorders>
              <w:top w:val="nil"/>
              <w:left w:val="nil"/>
              <w:bottom w:val="nil"/>
              <w:right w:val="nil"/>
            </w:tcBorders>
            <w:vAlign w:val="center"/>
          </w:tcPr>
          <w:p w14:paraId="044AE26F" w14:textId="77777777" w:rsidR="00F1508E" w:rsidRPr="001542FA" w:rsidRDefault="00F1508E" w:rsidP="00D075F6">
            <w:pPr>
              <w:pStyle w:val="NoSpacing"/>
            </w:pPr>
            <w:r w:rsidRPr="001542FA">
              <w:t>Duration in days</w:t>
            </w:r>
          </w:p>
        </w:tc>
        <w:tc>
          <w:tcPr>
            <w:tcW w:w="1843" w:type="dxa"/>
            <w:tcBorders>
              <w:top w:val="nil"/>
              <w:left w:val="nil"/>
              <w:bottom w:val="nil"/>
              <w:right w:val="nil"/>
            </w:tcBorders>
            <w:vAlign w:val="center"/>
          </w:tcPr>
          <w:p w14:paraId="47DD6383" w14:textId="77777777" w:rsidR="00F1508E" w:rsidRPr="001542FA" w:rsidRDefault="00F1508E" w:rsidP="00D075F6">
            <w:pPr>
              <w:pStyle w:val="NoSpacing"/>
            </w:pPr>
            <w:r w:rsidRPr="001542FA">
              <w:t>(1.5-16 days)</w:t>
            </w:r>
          </w:p>
        </w:tc>
        <w:tc>
          <w:tcPr>
            <w:tcW w:w="1418" w:type="dxa"/>
            <w:tcBorders>
              <w:top w:val="nil"/>
              <w:left w:val="nil"/>
              <w:bottom w:val="nil"/>
              <w:right w:val="nil"/>
            </w:tcBorders>
            <w:vAlign w:val="center"/>
          </w:tcPr>
          <w:p w14:paraId="133F725B" w14:textId="77777777" w:rsidR="00F1508E" w:rsidRPr="001542FA" w:rsidRDefault="00F1508E" w:rsidP="00D075F6">
            <w:pPr>
              <w:pStyle w:val="NoSpacing"/>
            </w:pPr>
            <w:r w:rsidRPr="001542FA">
              <w:t>9</w:t>
            </w:r>
          </w:p>
        </w:tc>
        <w:tc>
          <w:tcPr>
            <w:tcW w:w="2268" w:type="dxa"/>
            <w:tcBorders>
              <w:top w:val="nil"/>
              <w:left w:val="nil"/>
              <w:bottom w:val="nil"/>
              <w:right w:val="nil"/>
            </w:tcBorders>
            <w:vAlign w:val="center"/>
          </w:tcPr>
          <w:p w14:paraId="0412D7C4" w14:textId="77777777" w:rsidR="00F1508E" w:rsidRPr="001542FA" w:rsidRDefault="00F1508E" w:rsidP="00D075F6">
            <w:pPr>
              <w:pStyle w:val="NoSpacing"/>
            </w:pPr>
            <w:r w:rsidRPr="001542FA">
              <w:t>0.08</w:t>
            </w:r>
          </w:p>
        </w:tc>
        <w:tc>
          <w:tcPr>
            <w:tcW w:w="1667" w:type="dxa"/>
            <w:tcBorders>
              <w:top w:val="nil"/>
              <w:left w:val="nil"/>
              <w:bottom w:val="nil"/>
              <w:right w:val="nil"/>
            </w:tcBorders>
            <w:vAlign w:val="center"/>
          </w:tcPr>
          <w:p w14:paraId="61EC3159" w14:textId="77777777" w:rsidR="00F1508E" w:rsidRPr="001542FA" w:rsidRDefault="00F1508E" w:rsidP="00D075F6">
            <w:pPr>
              <w:pStyle w:val="NoSpacing"/>
            </w:pPr>
            <w:r w:rsidRPr="001542FA">
              <w:t>0.05 to 0.10</w:t>
            </w:r>
          </w:p>
        </w:tc>
        <w:tc>
          <w:tcPr>
            <w:tcW w:w="850" w:type="dxa"/>
            <w:tcBorders>
              <w:top w:val="nil"/>
              <w:left w:val="nil"/>
              <w:bottom w:val="nil"/>
              <w:right w:val="nil"/>
            </w:tcBorders>
            <w:vAlign w:val="center"/>
          </w:tcPr>
          <w:p w14:paraId="3D2E178C" w14:textId="77777777" w:rsidR="00F1508E" w:rsidRPr="001542FA" w:rsidRDefault="00F1508E" w:rsidP="00D075F6">
            <w:pPr>
              <w:pStyle w:val="NoSpacing"/>
            </w:pPr>
            <w:r w:rsidRPr="001542FA">
              <w:t>0.01</w:t>
            </w:r>
          </w:p>
        </w:tc>
        <w:tc>
          <w:tcPr>
            <w:tcW w:w="1276" w:type="dxa"/>
            <w:tcBorders>
              <w:top w:val="nil"/>
              <w:left w:val="nil"/>
              <w:bottom w:val="nil"/>
              <w:right w:val="nil"/>
            </w:tcBorders>
            <w:shd w:val="clear" w:color="auto" w:fill="auto"/>
            <w:vAlign w:val="center"/>
          </w:tcPr>
          <w:p w14:paraId="2C4A2523" w14:textId="77777777" w:rsidR="00F1508E" w:rsidRPr="001542FA" w:rsidRDefault="00F1508E" w:rsidP="00D075F6">
            <w:pPr>
              <w:pStyle w:val="NoSpacing"/>
            </w:pPr>
            <w:r w:rsidRPr="001542FA">
              <w:t>0.00</w:t>
            </w:r>
            <w:r>
              <w:t>***</w:t>
            </w:r>
          </w:p>
        </w:tc>
      </w:tr>
      <w:tr w:rsidR="00F1508E" w:rsidRPr="00501424" w14:paraId="1B2FC77D" w14:textId="77777777" w:rsidTr="00D075F6">
        <w:trPr>
          <w:trHeight w:val="17"/>
        </w:trPr>
        <w:tc>
          <w:tcPr>
            <w:tcW w:w="1985" w:type="dxa"/>
            <w:tcBorders>
              <w:top w:val="nil"/>
              <w:left w:val="nil"/>
              <w:bottom w:val="nil"/>
              <w:right w:val="nil"/>
            </w:tcBorders>
            <w:vAlign w:val="center"/>
          </w:tcPr>
          <w:p w14:paraId="3A0FD4D5" w14:textId="77777777" w:rsidR="00F1508E" w:rsidRPr="00501424" w:rsidRDefault="00F1508E" w:rsidP="00D075F6">
            <w:pPr>
              <w:pStyle w:val="NoSpacing"/>
            </w:pPr>
          </w:p>
        </w:tc>
        <w:tc>
          <w:tcPr>
            <w:tcW w:w="1134" w:type="dxa"/>
            <w:tcBorders>
              <w:top w:val="nil"/>
              <w:left w:val="nil"/>
              <w:bottom w:val="nil"/>
              <w:right w:val="nil"/>
            </w:tcBorders>
            <w:vAlign w:val="center"/>
          </w:tcPr>
          <w:p w14:paraId="0C64D582" w14:textId="77777777" w:rsidR="00F1508E" w:rsidRPr="00501424" w:rsidRDefault="00F1508E" w:rsidP="00D075F6">
            <w:pPr>
              <w:pStyle w:val="NoSpacing"/>
            </w:pPr>
          </w:p>
        </w:tc>
        <w:tc>
          <w:tcPr>
            <w:tcW w:w="1984" w:type="dxa"/>
            <w:tcBorders>
              <w:top w:val="nil"/>
              <w:left w:val="nil"/>
              <w:bottom w:val="nil"/>
              <w:right w:val="nil"/>
            </w:tcBorders>
            <w:vAlign w:val="center"/>
          </w:tcPr>
          <w:p w14:paraId="135FA5CF" w14:textId="77777777" w:rsidR="00F1508E" w:rsidRPr="001542FA" w:rsidRDefault="00F1508E" w:rsidP="00D075F6">
            <w:pPr>
              <w:pStyle w:val="NoSpacing"/>
            </w:pPr>
            <w:r w:rsidRPr="001542FA">
              <w:t>Publication date</w:t>
            </w:r>
          </w:p>
        </w:tc>
        <w:tc>
          <w:tcPr>
            <w:tcW w:w="1843" w:type="dxa"/>
            <w:tcBorders>
              <w:top w:val="nil"/>
              <w:left w:val="nil"/>
              <w:bottom w:val="nil"/>
              <w:right w:val="nil"/>
            </w:tcBorders>
            <w:vAlign w:val="center"/>
          </w:tcPr>
          <w:p w14:paraId="5768B7E9" w14:textId="77777777" w:rsidR="00F1508E" w:rsidRPr="001542FA" w:rsidRDefault="00F1508E" w:rsidP="00D075F6">
            <w:pPr>
              <w:pStyle w:val="NoSpacing"/>
            </w:pPr>
            <w:r w:rsidRPr="001542FA">
              <w:t xml:space="preserve">2004 – 2015 </w:t>
            </w:r>
          </w:p>
        </w:tc>
        <w:tc>
          <w:tcPr>
            <w:tcW w:w="1418" w:type="dxa"/>
            <w:tcBorders>
              <w:top w:val="nil"/>
              <w:left w:val="nil"/>
              <w:bottom w:val="nil"/>
              <w:right w:val="nil"/>
            </w:tcBorders>
            <w:vAlign w:val="center"/>
          </w:tcPr>
          <w:p w14:paraId="67644AF2" w14:textId="77777777" w:rsidR="00F1508E" w:rsidRPr="001542FA" w:rsidRDefault="00F1508E" w:rsidP="00D075F6">
            <w:pPr>
              <w:pStyle w:val="NoSpacing"/>
            </w:pPr>
            <w:r w:rsidRPr="001542FA">
              <w:t>9</w:t>
            </w:r>
          </w:p>
        </w:tc>
        <w:tc>
          <w:tcPr>
            <w:tcW w:w="2268" w:type="dxa"/>
            <w:tcBorders>
              <w:top w:val="nil"/>
              <w:left w:val="nil"/>
              <w:bottom w:val="nil"/>
              <w:right w:val="nil"/>
            </w:tcBorders>
            <w:vAlign w:val="center"/>
          </w:tcPr>
          <w:p w14:paraId="0D9C15EF" w14:textId="77777777" w:rsidR="00F1508E" w:rsidRPr="001542FA" w:rsidRDefault="00F1508E" w:rsidP="00D075F6">
            <w:pPr>
              <w:pStyle w:val="NoSpacing"/>
            </w:pPr>
            <w:r w:rsidRPr="001542FA">
              <w:t>-0.07</w:t>
            </w:r>
          </w:p>
        </w:tc>
        <w:tc>
          <w:tcPr>
            <w:tcW w:w="1667" w:type="dxa"/>
            <w:tcBorders>
              <w:top w:val="nil"/>
              <w:left w:val="nil"/>
              <w:bottom w:val="nil"/>
              <w:right w:val="nil"/>
            </w:tcBorders>
            <w:vAlign w:val="center"/>
          </w:tcPr>
          <w:p w14:paraId="38023A81" w14:textId="77777777" w:rsidR="00F1508E" w:rsidRPr="001542FA" w:rsidRDefault="00F1508E" w:rsidP="00D075F6">
            <w:pPr>
              <w:pStyle w:val="NoSpacing"/>
            </w:pPr>
            <w:r w:rsidRPr="001542FA">
              <w:t>-0.09 to -0.05</w:t>
            </w:r>
          </w:p>
        </w:tc>
        <w:tc>
          <w:tcPr>
            <w:tcW w:w="850" w:type="dxa"/>
            <w:tcBorders>
              <w:top w:val="nil"/>
              <w:left w:val="nil"/>
              <w:bottom w:val="nil"/>
              <w:right w:val="nil"/>
            </w:tcBorders>
            <w:vAlign w:val="center"/>
          </w:tcPr>
          <w:p w14:paraId="488B480C" w14:textId="77777777" w:rsidR="00F1508E" w:rsidRPr="001542FA" w:rsidRDefault="00F1508E" w:rsidP="00D075F6">
            <w:pPr>
              <w:pStyle w:val="NoSpacing"/>
            </w:pPr>
            <w:r w:rsidRPr="001542FA">
              <w:t>0.01</w:t>
            </w:r>
          </w:p>
        </w:tc>
        <w:tc>
          <w:tcPr>
            <w:tcW w:w="1276" w:type="dxa"/>
            <w:tcBorders>
              <w:top w:val="nil"/>
              <w:left w:val="nil"/>
              <w:bottom w:val="nil"/>
              <w:right w:val="nil"/>
            </w:tcBorders>
            <w:shd w:val="clear" w:color="auto" w:fill="auto"/>
            <w:vAlign w:val="center"/>
          </w:tcPr>
          <w:p w14:paraId="2257BE64" w14:textId="77777777" w:rsidR="00F1508E" w:rsidRPr="001542FA" w:rsidRDefault="00F1508E" w:rsidP="00D075F6">
            <w:pPr>
              <w:pStyle w:val="NoSpacing"/>
            </w:pPr>
            <w:r w:rsidRPr="001542FA">
              <w:t>0.00</w:t>
            </w:r>
            <w:r>
              <w:t>***</w:t>
            </w:r>
          </w:p>
        </w:tc>
      </w:tr>
      <w:tr w:rsidR="00F1508E" w:rsidRPr="00501424" w14:paraId="246D73C8" w14:textId="77777777" w:rsidTr="00D075F6">
        <w:trPr>
          <w:trHeight w:val="17"/>
        </w:trPr>
        <w:tc>
          <w:tcPr>
            <w:tcW w:w="1985" w:type="dxa"/>
            <w:tcBorders>
              <w:top w:val="nil"/>
              <w:left w:val="nil"/>
              <w:bottom w:val="nil"/>
              <w:right w:val="nil"/>
            </w:tcBorders>
            <w:vAlign w:val="center"/>
          </w:tcPr>
          <w:p w14:paraId="1304D2FD" w14:textId="77777777" w:rsidR="00F1508E" w:rsidRPr="00501424" w:rsidRDefault="00F1508E" w:rsidP="00D075F6">
            <w:pPr>
              <w:pStyle w:val="NoSpacing"/>
            </w:pPr>
          </w:p>
        </w:tc>
        <w:tc>
          <w:tcPr>
            <w:tcW w:w="1134" w:type="dxa"/>
            <w:tcBorders>
              <w:top w:val="nil"/>
              <w:left w:val="nil"/>
              <w:bottom w:val="nil"/>
              <w:right w:val="nil"/>
            </w:tcBorders>
            <w:vAlign w:val="center"/>
          </w:tcPr>
          <w:p w14:paraId="3B1EFFD0" w14:textId="77777777" w:rsidR="00F1508E" w:rsidRPr="00501424" w:rsidRDefault="00F1508E" w:rsidP="00D075F6">
            <w:pPr>
              <w:pStyle w:val="NoSpacing"/>
            </w:pPr>
            <w:r w:rsidRPr="00501424">
              <w:t>Active</w:t>
            </w:r>
          </w:p>
        </w:tc>
        <w:tc>
          <w:tcPr>
            <w:tcW w:w="1984" w:type="dxa"/>
            <w:tcBorders>
              <w:top w:val="nil"/>
              <w:left w:val="nil"/>
              <w:bottom w:val="nil"/>
              <w:right w:val="nil"/>
            </w:tcBorders>
            <w:vAlign w:val="center"/>
          </w:tcPr>
          <w:p w14:paraId="2F48A87A" w14:textId="77777777" w:rsidR="00F1508E" w:rsidRPr="001542FA" w:rsidRDefault="00F1508E" w:rsidP="00D075F6">
            <w:pPr>
              <w:pStyle w:val="NoSpacing"/>
            </w:pPr>
            <w:r w:rsidRPr="001542FA">
              <w:t>Age</w:t>
            </w:r>
          </w:p>
        </w:tc>
        <w:tc>
          <w:tcPr>
            <w:tcW w:w="1843" w:type="dxa"/>
            <w:tcBorders>
              <w:top w:val="nil"/>
              <w:left w:val="nil"/>
              <w:bottom w:val="nil"/>
              <w:right w:val="nil"/>
            </w:tcBorders>
            <w:vAlign w:val="center"/>
          </w:tcPr>
          <w:p w14:paraId="117428F7" w14:textId="77777777" w:rsidR="00F1508E" w:rsidRPr="001542FA" w:rsidRDefault="00F1508E" w:rsidP="00D075F6">
            <w:pPr>
              <w:pStyle w:val="NoSpacing"/>
            </w:pPr>
            <w:r w:rsidRPr="001542FA">
              <w:t>(20.08 to 39.87)</w:t>
            </w:r>
          </w:p>
        </w:tc>
        <w:tc>
          <w:tcPr>
            <w:tcW w:w="1418" w:type="dxa"/>
            <w:tcBorders>
              <w:top w:val="nil"/>
              <w:left w:val="nil"/>
              <w:bottom w:val="nil"/>
              <w:right w:val="nil"/>
            </w:tcBorders>
            <w:vAlign w:val="center"/>
          </w:tcPr>
          <w:p w14:paraId="30543AA3" w14:textId="77777777" w:rsidR="00F1508E" w:rsidRPr="001542FA" w:rsidRDefault="00F1508E" w:rsidP="00D075F6">
            <w:pPr>
              <w:pStyle w:val="NoSpacing"/>
            </w:pPr>
            <w:r w:rsidRPr="001542FA">
              <w:t>3</w:t>
            </w:r>
          </w:p>
        </w:tc>
        <w:tc>
          <w:tcPr>
            <w:tcW w:w="2268" w:type="dxa"/>
            <w:tcBorders>
              <w:top w:val="nil"/>
              <w:left w:val="nil"/>
              <w:bottom w:val="nil"/>
              <w:right w:val="nil"/>
            </w:tcBorders>
            <w:vAlign w:val="center"/>
          </w:tcPr>
          <w:p w14:paraId="2A5A4DD1" w14:textId="77777777" w:rsidR="00F1508E" w:rsidRPr="001542FA" w:rsidRDefault="00F1508E" w:rsidP="00D075F6">
            <w:pPr>
              <w:pStyle w:val="NoSpacing"/>
            </w:pPr>
            <w:r w:rsidRPr="001542FA">
              <w:t>0.14</w:t>
            </w:r>
          </w:p>
        </w:tc>
        <w:tc>
          <w:tcPr>
            <w:tcW w:w="1667" w:type="dxa"/>
            <w:tcBorders>
              <w:top w:val="nil"/>
              <w:left w:val="nil"/>
              <w:bottom w:val="nil"/>
              <w:right w:val="nil"/>
            </w:tcBorders>
            <w:vAlign w:val="center"/>
          </w:tcPr>
          <w:p w14:paraId="65681328" w14:textId="77777777" w:rsidR="00F1508E" w:rsidRPr="001542FA" w:rsidRDefault="00F1508E" w:rsidP="00D075F6">
            <w:pPr>
              <w:pStyle w:val="NoSpacing"/>
            </w:pPr>
            <w:r w:rsidRPr="001542FA">
              <w:t>-1.03 to 1.31</w:t>
            </w:r>
          </w:p>
        </w:tc>
        <w:tc>
          <w:tcPr>
            <w:tcW w:w="850" w:type="dxa"/>
            <w:tcBorders>
              <w:top w:val="nil"/>
              <w:left w:val="nil"/>
              <w:bottom w:val="nil"/>
              <w:right w:val="nil"/>
            </w:tcBorders>
            <w:vAlign w:val="center"/>
          </w:tcPr>
          <w:p w14:paraId="64B3C344" w14:textId="77777777" w:rsidR="00F1508E" w:rsidRPr="001542FA" w:rsidRDefault="00F1508E" w:rsidP="00D075F6">
            <w:pPr>
              <w:pStyle w:val="NoSpacing"/>
            </w:pPr>
            <w:r w:rsidRPr="001542FA">
              <w:t>0.27</w:t>
            </w:r>
          </w:p>
        </w:tc>
        <w:tc>
          <w:tcPr>
            <w:tcW w:w="1276" w:type="dxa"/>
            <w:tcBorders>
              <w:top w:val="nil"/>
              <w:left w:val="nil"/>
              <w:bottom w:val="nil"/>
              <w:right w:val="nil"/>
            </w:tcBorders>
            <w:shd w:val="clear" w:color="auto" w:fill="auto"/>
            <w:vAlign w:val="center"/>
          </w:tcPr>
          <w:p w14:paraId="5F56EA75" w14:textId="77777777" w:rsidR="00F1508E" w:rsidRPr="001542FA" w:rsidRDefault="00F1508E" w:rsidP="00D075F6">
            <w:pPr>
              <w:pStyle w:val="NoSpacing"/>
            </w:pPr>
            <w:r w:rsidRPr="001542FA">
              <w:t>0.61</w:t>
            </w:r>
          </w:p>
        </w:tc>
      </w:tr>
      <w:tr w:rsidR="00F1508E" w:rsidRPr="00501424" w14:paraId="73B8DD19" w14:textId="77777777" w:rsidTr="00D075F6">
        <w:trPr>
          <w:trHeight w:val="17"/>
        </w:trPr>
        <w:tc>
          <w:tcPr>
            <w:tcW w:w="1985" w:type="dxa"/>
            <w:tcBorders>
              <w:top w:val="nil"/>
              <w:left w:val="nil"/>
              <w:bottom w:val="nil"/>
              <w:right w:val="nil"/>
            </w:tcBorders>
            <w:vAlign w:val="center"/>
          </w:tcPr>
          <w:p w14:paraId="15FF7B01" w14:textId="77777777" w:rsidR="00F1508E" w:rsidRPr="00501424" w:rsidRDefault="00F1508E" w:rsidP="00D075F6">
            <w:pPr>
              <w:pStyle w:val="NoSpacing"/>
            </w:pPr>
          </w:p>
        </w:tc>
        <w:tc>
          <w:tcPr>
            <w:tcW w:w="1134" w:type="dxa"/>
            <w:tcBorders>
              <w:top w:val="nil"/>
              <w:left w:val="nil"/>
              <w:bottom w:val="nil"/>
              <w:right w:val="nil"/>
            </w:tcBorders>
            <w:vAlign w:val="center"/>
          </w:tcPr>
          <w:p w14:paraId="051E8373" w14:textId="77777777" w:rsidR="00F1508E" w:rsidRPr="00501424" w:rsidRDefault="00F1508E" w:rsidP="00D075F6">
            <w:pPr>
              <w:pStyle w:val="NoSpacing"/>
            </w:pPr>
          </w:p>
        </w:tc>
        <w:tc>
          <w:tcPr>
            <w:tcW w:w="1984" w:type="dxa"/>
            <w:tcBorders>
              <w:top w:val="nil"/>
              <w:left w:val="nil"/>
              <w:bottom w:val="nil"/>
              <w:right w:val="nil"/>
            </w:tcBorders>
            <w:vAlign w:val="center"/>
          </w:tcPr>
          <w:p w14:paraId="7EA57B16" w14:textId="77777777" w:rsidR="00F1508E" w:rsidRPr="001542FA" w:rsidRDefault="00F1508E" w:rsidP="00D075F6">
            <w:pPr>
              <w:pStyle w:val="NoSpacing"/>
            </w:pPr>
            <w:r w:rsidRPr="001542FA">
              <w:t xml:space="preserve">Gender </w:t>
            </w:r>
          </w:p>
        </w:tc>
        <w:tc>
          <w:tcPr>
            <w:tcW w:w="1843" w:type="dxa"/>
            <w:tcBorders>
              <w:top w:val="nil"/>
              <w:left w:val="nil"/>
              <w:bottom w:val="nil"/>
              <w:right w:val="nil"/>
            </w:tcBorders>
            <w:vAlign w:val="center"/>
          </w:tcPr>
          <w:p w14:paraId="2D6FF08E" w14:textId="77777777" w:rsidR="00F1508E" w:rsidRPr="001542FA" w:rsidRDefault="00F1508E" w:rsidP="00D075F6">
            <w:pPr>
              <w:pStyle w:val="NoSpacing"/>
            </w:pPr>
            <w:r w:rsidRPr="001542FA">
              <w:t>(% of males)</w:t>
            </w:r>
          </w:p>
        </w:tc>
        <w:tc>
          <w:tcPr>
            <w:tcW w:w="1418" w:type="dxa"/>
            <w:tcBorders>
              <w:top w:val="nil"/>
              <w:left w:val="nil"/>
              <w:bottom w:val="nil"/>
              <w:right w:val="nil"/>
            </w:tcBorders>
            <w:vAlign w:val="center"/>
          </w:tcPr>
          <w:p w14:paraId="3A6C5147" w14:textId="77777777" w:rsidR="00F1508E" w:rsidRPr="001542FA" w:rsidRDefault="00F1508E" w:rsidP="00D075F6">
            <w:pPr>
              <w:pStyle w:val="NoSpacing"/>
            </w:pPr>
            <w:r w:rsidRPr="001542FA">
              <w:t>5</w:t>
            </w:r>
          </w:p>
        </w:tc>
        <w:tc>
          <w:tcPr>
            <w:tcW w:w="2268" w:type="dxa"/>
            <w:tcBorders>
              <w:top w:val="nil"/>
              <w:left w:val="nil"/>
              <w:bottom w:val="nil"/>
              <w:right w:val="nil"/>
            </w:tcBorders>
            <w:vAlign w:val="center"/>
          </w:tcPr>
          <w:p w14:paraId="6876D487" w14:textId="77777777" w:rsidR="00F1508E" w:rsidRPr="001542FA" w:rsidRDefault="00F1508E" w:rsidP="00D075F6">
            <w:pPr>
              <w:pStyle w:val="NoSpacing"/>
            </w:pPr>
            <w:r w:rsidRPr="001542FA">
              <w:t>-0.04</w:t>
            </w:r>
          </w:p>
        </w:tc>
        <w:tc>
          <w:tcPr>
            <w:tcW w:w="1667" w:type="dxa"/>
            <w:tcBorders>
              <w:top w:val="nil"/>
              <w:left w:val="nil"/>
              <w:bottom w:val="nil"/>
              <w:right w:val="nil"/>
            </w:tcBorders>
            <w:vAlign w:val="center"/>
          </w:tcPr>
          <w:p w14:paraId="31C420AD" w14:textId="77777777" w:rsidR="00F1508E" w:rsidRPr="001542FA" w:rsidRDefault="00F1508E" w:rsidP="00D075F6">
            <w:pPr>
              <w:pStyle w:val="NoSpacing"/>
            </w:pPr>
            <w:r w:rsidRPr="001542FA">
              <w:t>-0.12 to 0.05</w:t>
            </w:r>
          </w:p>
        </w:tc>
        <w:tc>
          <w:tcPr>
            <w:tcW w:w="850" w:type="dxa"/>
            <w:tcBorders>
              <w:top w:val="nil"/>
              <w:left w:val="nil"/>
              <w:bottom w:val="nil"/>
              <w:right w:val="nil"/>
            </w:tcBorders>
            <w:vAlign w:val="center"/>
          </w:tcPr>
          <w:p w14:paraId="4C265A53" w14:textId="77777777" w:rsidR="00F1508E" w:rsidRPr="001542FA" w:rsidRDefault="00F1508E" w:rsidP="00D075F6">
            <w:pPr>
              <w:pStyle w:val="NoSpacing"/>
            </w:pPr>
            <w:r w:rsidRPr="001542FA">
              <w:t>0.03</w:t>
            </w:r>
          </w:p>
        </w:tc>
        <w:tc>
          <w:tcPr>
            <w:tcW w:w="1276" w:type="dxa"/>
            <w:tcBorders>
              <w:top w:val="nil"/>
              <w:left w:val="nil"/>
              <w:bottom w:val="nil"/>
              <w:right w:val="nil"/>
            </w:tcBorders>
            <w:shd w:val="clear" w:color="auto" w:fill="auto"/>
            <w:vAlign w:val="center"/>
          </w:tcPr>
          <w:p w14:paraId="7663F4F2" w14:textId="77777777" w:rsidR="00F1508E" w:rsidRPr="001542FA" w:rsidRDefault="00F1508E" w:rsidP="00D075F6">
            <w:pPr>
              <w:pStyle w:val="NoSpacing"/>
            </w:pPr>
            <w:r w:rsidRPr="001542FA">
              <w:t>0.24</w:t>
            </w:r>
          </w:p>
        </w:tc>
      </w:tr>
      <w:tr w:rsidR="00F1508E" w:rsidRPr="00501424" w14:paraId="2603F14A" w14:textId="77777777" w:rsidTr="00D075F6">
        <w:trPr>
          <w:trHeight w:val="17"/>
        </w:trPr>
        <w:tc>
          <w:tcPr>
            <w:tcW w:w="1985" w:type="dxa"/>
            <w:tcBorders>
              <w:top w:val="nil"/>
              <w:left w:val="nil"/>
              <w:bottom w:val="nil"/>
              <w:right w:val="nil"/>
            </w:tcBorders>
            <w:vAlign w:val="center"/>
          </w:tcPr>
          <w:p w14:paraId="16070B96" w14:textId="77777777" w:rsidR="00F1508E" w:rsidRPr="00501424" w:rsidRDefault="00F1508E" w:rsidP="00D075F6">
            <w:pPr>
              <w:pStyle w:val="NoSpacing"/>
            </w:pPr>
          </w:p>
        </w:tc>
        <w:tc>
          <w:tcPr>
            <w:tcW w:w="1134" w:type="dxa"/>
            <w:tcBorders>
              <w:top w:val="nil"/>
              <w:left w:val="nil"/>
              <w:bottom w:val="nil"/>
              <w:right w:val="nil"/>
            </w:tcBorders>
            <w:vAlign w:val="center"/>
          </w:tcPr>
          <w:p w14:paraId="27542494" w14:textId="77777777" w:rsidR="00F1508E" w:rsidRPr="00501424" w:rsidRDefault="00F1508E" w:rsidP="00D075F6">
            <w:pPr>
              <w:pStyle w:val="NoSpacing"/>
            </w:pPr>
          </w:p>
        </w:tc>
        <w:tc>
          <w:tcPr>
            <w:tcW w:w="1984" w:type="dxa"/>
            <w:tcBorders>
              <w:top w:val="nil"/>
              <w:left w:val="nil"/>
              <w:bottom w:val="nil"/>
              <w:right w:val="nil"/>
            </w:tcBorders>
            <w:vAlign w:val="center"/>
          </w:tcPr>
          <w:p w14:paraId="620C0640" w14:textId="77777777" w:rsidR="00F1508E" w:rsidRPr="001542FA" w:rsidRDefault="00F1508E" w:rsidP="00D075F6">
            <w:pPr>
              <w:pStyle w:val="NoSpacing"/>
            </w:pPr>
            <w:r w:rsidRPr="001542FA">
              <w:t>Number of sessions</w:t>
            </w:r>
          </w:p>
        </w:tc>
        <w:tc>
          <w:tcPr>
            <w:tcW w:w="1843" w:type="dxa"/>
            <w:tcBorders>
              <w:top w:val="nil"/>
              <w:left w:val="nil"/>
              <w:bottom w:val="nil"/>
              <w:right w:val="nil"/>
            </w:tcBorders>
            <w:vAlign w:val="center"/>
          </w:tcPr>
          <w:p w14:paraId="02589FD8" w14:textId="77777777" w:rsidR="00F1508E" w:rsidRPr="001542FA" w:rsidRDefault="00F1508E" w:rsidP="00D075F6">
            <w:pPr>
              <w:pStyle w:val="NoSpacing"/>
            </w:pPr>
            <w:r w:rsidRPr="001542FA">
              <w:t>(2-12 sessions)</w:t>
            </w:r>
          </w:p>
        </w:tc>
        <w:tc>
          <w:tcPr>
            <w:tcW w:w="1418" w:type="dxa"/>
            <w:tcBorders>
              <w:top w:val="nil"/>
              <w:left w:val="nil"/>
              <w:bottom w:val="nil"/>
              <w:right w:val="nil"/>
            </w:tcBorders>
            <w:vAlign w:val="center"/>
          </w:tcPr>
          <w:p w14:paraId="1CF8C5BD" w14:textId="77777777" w:rsidR="00F1508E" w:rsidRPr="001542FA" w:rsidRDefault="00F1508E" w:rsidP="00D075F6">
            <w:pPr>
              <w:pStyle w:val="NoSpacing"/>
            </w:pPr>
            <w:r w:rsidRPr="001542FA">
              <w:t>9</w:t>
            </w:r>
          </w:p>
        </w:tc>
        <w:tc>
          <w:tcPr>
            <w:tcW w:w="2268" w:type="dxa"/>
            <w:tcBorders>
              <w:top w:val="nil"/>
              <w:left w:val="nil"/>
              <w:bottom w:val="nil"/>
              <w:right w:val="nil"/>
            </w:tcBorders>
            <w:vAlign w:val="center"/>
          </w:tcPr>
          <w:p w14:paraId="0EC693D8" w14:textId="77777777" w:rsidR="00F1508E" w:rsidRPr="001542FA" w:rsidRDefault="00F1508E" w:rsidP="00D075F6">
            <w:pPr>
              <w:pStyle w:val="NoSpacing"/>
            </w:pPr>
            <w:r w:rsidRPr="001542FA">
              <w:t>0.67</w:t>
            </w:r>
          </w:p>
        </w:tc>
        <w:tc>
          <w:tcPr>
            <w:tcW w:w="1667" w:type="dxa"/>
            <w:tcBorders>
              <w:top w:val="nil"/>
              <w:left w:val="nil"/>
              <w:bottom w:val="nil"/>
              <w:right w:val="nil"/>
            </w:tcBorders>
            <w:vAlign w:val="center"/>
          </w:tcPr>
          <w:p w14:paraId="73228814" w14:textId="77777777" w:rsidR="00F1508E" w:rsidRPr="001542FA" w:rsidRDefault="00F1508E" w:rsidP="00D075F6">
            <w:pPr>
              <w:pStyle w:val="NoSpacing"/>
            </w:pPr>
            <w:r w:rsidRPr="001542FA">
              <w:t>-0.03 to 0.21</w:t>
            </w:r>
          </w:p>
        </w:tc>
        <w:tc>
          <w:tcPr>
            <w:tcW w:w="850" w:type="dxa"/>
            <w:tcBorders>
              <w:top w:val="nil"/>
              <w:left w:val="nil"/>
              <w:bottom w:val="nil"/>
              <w:right w:val="nil"/>
            </w:tcBorders>
            <w:vAlign w:val="center"/>
          </w:tcPr>
          <w:p w14:paraId="0ECB5377" w14:textId="77777777" w:rsidR="00F1508E" w:rsidRPr="001542FA" w:rsidRDefault="00F1508E" w:rsidP="00D075F6">
            <w:pPr>
              <w:pStyle w:val="NoSpacing"/>
            </w:pPr>
            <w:r w:rsidRPr="001542FA">
              <w:t>0.04</w:t>
            </w:r>
          </w:p>
        </w:tc>
        <w:tc>
          <w:tcPr>
            <w:tcW w:w="1276" w:type="dxa"/>
            <w:tcBorders>
              <w:top w:val="nil"/>
              <w:left w:val="nil"/>
              <w:bottom w:val="nil"/>
              <w:right w:val="nil"/>
            </w:tcBorders>
            <w:shd w:val="clear" w:color="auto" w:fill="auto"/>
            <w:vAlign w:val="center"/>
          </w:tcPr>
          <w:p w14:paraId="294DBACC" w14:textId="77777777" w:rsidR="00F1508E" w:rsidRPr="001542FA" w:rsidRDefault="00F1508E" w:rsidP="00D075F6">
            <w:pPr>
              <w:pStyle w:val="NoSpacing"/>
            </w:pPr>
            <w:r w:rsidRPr="001542FA">
              <w:t>0.03</w:t>
            </w:r>
            <w:r>
              <w:t>*</w:t>
            </w:r>
          </w:p>
        </w:tc>
      </w:tr>
      <w:tr w:rsidR="00F1508E" w:rsidRPr="00501424" w14:paraId="1E2E8373" w14:textId="77777777" w:rsidTr="00D075F6">
        <w:trPr>
          <w:trHeight w:val="17"/>
        </w:trPr>
        <w:tc>
          <w:tcPr>
            <w:tcW w:w="1985" w:type="dxa"/>
            <w:tcBorders>
              <w:top w:val="nil"/>
              <w:left w:val="nil"/>
              <w:bottom w:val="nil"/>
              <w:right w:val="nil"/>
            </w:tcBorders>
            <w:vAlign w:val="center"/>
          </w:tcPr>
          <w:p w14:paraId="004C5ACF" w14:textId="77777777" w:rsidR="00F1508E" w:rsidRPr="00501424" w:rsidRDefault="00F1508E" w:rsidP="00D075F6">
            <w:pPr>
              <w:pStyle w:val="NoSpacing"/>
            </w:pPr>
          </w:p>
        </w:tc>
        <w:tc>
          <w:tcPr>
            <w:tcW w:w="1134" w:type="dxa"/>
            <w:tcBorders>
              <w:top w:val="nil"/>
              <w:left w:val="nil"/>
              <w:bottom w:val="nil"/>
              <w:right w:val="nil"/>
            </w:tcBorders>
            <w:vAlign w:val="center"/>
          </w:tcPr>
          <w:p w14:paraId="0C447026" w14:textId="77777777" w:rsidR="00F1508E" w:rsidRPr="00501424" w:rsidRDefault="00F1508E" w:rsidP="00D075F6">
            <w:pPr>
              <w:pStyle w:val="NoSpacing"/>
            </w:pPr>
          </w:p>
        </w:tc>
        <w:tc>
          <w:tcPr>
            <w:tcW w:w="1984" w:type="dxa"/>
            <w:tcBorders>
              <w:top w:val="nil"/>
              <w:left w:val="nil"/>
              <w:bottom w:val="nil"/>
              <w:right w:val="nil"/>
            </w:tcBorders>
            <w:vAlign w:val="center"/>
          </w:tcPr>
          <w:p w14:paraId="388F1715" w14:textId="77777777" w:rsidR="00F1508E" w:rsidRPr="001542FA" w:rsidRDefault="00F1508E" w:rsidP="00D075F6">
            <w:pPr>
              <w:pStyle w:val="NoSpacing"/>
            </w:pPr>
            <w:r w:rsidRPr="001542FA">
              <w:t>Duration in days</w:t>
            </w:r>
          </w:p>
        </w:tc>
        <w:tc>
          <w:tcPr>
            <w:tcW w:w="1843" w:type="dxa"/>
            <w:tcBorders>
              <w:top w:val="nil"/>
              <w:left w:val="nil"/>
              <w:bottom w:val="nil"/>
              <w:right w:val="nil"/>
            </w:tcBorders>
            <w:vAlign w:val="center"/>
          </w:tcPr>
          <w:p w14:paraId="64754819" w14:textId="77777777" w:rsidR="00F1508E" w:rsidRPr="001542FA" w:rsidRDefault="00F1508E" w:rsidP="00D075F6">
            <w:pPr>
              <w:pStyle w:val="NoSpacing"/>
            </w:pPr>
            <w:r w:rsidRPr="001542FA">
              <w:t>(1.5-16 days)</w:t>
            </w:r>
          </w:p>
        </w:tc>
        <w:tc>
          <w:tcPr>
            <w:tcW w:w="1418" w:type="dxa"/>
            <w:tcBorders>
              <w:top w:val="nil"/>
              <w:left w:val="nil"/>
              <w:bottom w:val="nil"/>
              <w:right w:val="nil"/>
            </w:tcBorders>
            <w:vAlign w:val="center"/>
          </w:tcPr>
          <w:p w14:paraId="025BE2F1" w14:textId="77777777" w:rsidR="00F1508E" w:rsidRPr="001542FA" w:rsidRDefault="00F1508E" w:rsidP="00D075F6">
            <w:pPr>
              <w:pStyle w:val="NoSpacing"/>
            </w:pPr>
            <w:r w:rsidRPr="001542FA">
              <w:t>5</w:t>
            </w:r>
          </w:p>
        </w:tc>
        <w:tc>
          <w:tcPr>
            <w:tcW w:w="2268" w:type="dxa"/>
            <w:tcBorders>
              <w:top w:val="nil"/>
              <w:left w:val="nil"/>
              <w:bottom w:val="nil"/>
              <w:right w:val="nil"/>
            </w:tcBorders>
            <w:vAlign w:val="center"/>
          </w:tcPr>
          <w:p w14:paraId="1A1DF4B2" w14:textId="77777777" w:rsidR="00F1508E" w:rsidRPr="001542FA" w:rsidRDefault="00F1508E" w:rsidP="00D075F6">
            <w:pPr>
              <w:pStyle w:val="NoSpacing"/>
            </w:pPr>
            <w:r w:rsidRPr="001542FA">
              <w:t>0.08</w:t>
            </w:r>
          </w:p>
        </w:tc>
        <w:tc>
          <w:tcPr>
            <w:tcW w:w="1667" w:type="dxa"/>
            <w:tcBorders>
              <w:top w:val="nil"/>
              <w:left w:val="nil"/>
              <w:bottom w:val="nil"/>
              <w:right w:val="nil"/>
            </w:tcBorders>
            <w:vAlign w:val="center"/>
          </w:tcPr>
          <w:p w14:paraId="0A410C8A" w14:textId="77777777" w:rsidR="00F1508E" w:rsidRPr="001542FA" w:rsidRDefault="00F1508E" w:rsidP="00D075F6">
            <w:pPr>
              <w:pStyle w:val="NoSpacing"/>
            </w:pPr>
            <w:r w:rsidRPr="001542FA">
              <w:t>-0.03 to 0.20</w:t>
            </w:r>
          </w:p>
        </w:tc>
        <w:tc>
          <w:tcPr>
            <w:tcW w:w="850" w:type="dxa"/>
            <w:tcBorders>
              <w:top w:val="nil"/>
              <w:left w:val="nil"/>
              <w:bottom w:val="nil"/>
              <w:right w:val="nil"/>
            </w:tcBorders>
            <w:vAlign w:val="center"/>
          </w:tcPr>
          <w:p w14:paraId="7C8AB344" w14:textId="77777777" w:rsidR="00F1508E" w:rsidRPr="001542FA" w:rsidRDefault="00F1508E" w:rsidP="00D075F6">
            <w:pPr>
              <w:pStyle w:val="NoSpacing"/>
            </w:pPr>
            <w:r w:rsidRPr="001542FA">
              <w:t>0.04</w:t>
            </w:r>
          </w:p>
        </w:tc>
        <w:tc>
          <w:tcPr>
            <w:tcW w:w="1276" w:type="dxa"/>
            <w:tcBorders>
              <w:top w:val="nil"/>
              <w:left w:val="nil"/>
              <w:bottom w:val="nil"/>
              <w:right w:val="nil"/>
            </w:tcBorders>
            <w:shd w:val="clear" w:color="auto" w:fill="auto"/>
            <w:vAlign w:val="center"/>
          </w:tcPr>
          <w:p w14:paraId="700C2D30" w14:textId="77777777" w:rsidR="00F1508E" w:rsidRPr="001542FA" w:rsidRDefault="00F1508E" w:rsidP="00D075F6">
            <w:pPr>
              <w:pStyle w:val="NoSpacing"/>
            </w:pPr>
            <w:r w:rsidRPr="001542FA">
              <w:t>0.04</w:t>
            </w:r>
            <w:r>
              <w:t>*</w:t>
            </w:r>
          </w:p>
        </w:tc>
      </w:tr>
      <w:tr w:rsidR="00F1508E" w:rsidRPr="00501424" w14:paraId="103A1FBA" w14:textId="77777777" w:rsidTr="00D075F6">
        <w:trPr>
          <w:trHeight w:val="17"/>
        </w:trPr>
        <w:tc>
          <w:tcPr>
            <w:tcW w:w="1985" w:type="dxa"/>
            <w:tcBorders>
              <w:top w:val="nil"/>
              <w:left w:val="nil"/>
              <w:bottom w:val="single" w:sz="4" w:space="0" w:color="auto"/>
              <w:right w:val="nil"/>
            </w:tcBorders>
            <w:vAlign w:val="center"/>
          </w:tcPr>
          <w:p w14:paraId="797593BD" w14:textId="77777777" w:rsidR="00F1508E" w:rsidRPr="00501424" w:rsidRDefault="00F1508E" w:rsidP="00D075F6">
            <w:pPr>
              <w:pStyle w:val="NoSpacing"/>
            </w:pPr>
          </w:p>
        </w:tc>
        <w:tc>
          <w:tcPr>
            <w:tcW w:w="1134" w:type="dxa"/>
            <w:tcBorders>
              <w:top w:val="nil"/>
              <w:left w:val="nil"/>
              <w:bottom w:val="single" w:sz="4" w:space="0" w:color="auto"/>
              <w:right w:val="nil"/>
            </w:tcBorders>
            <w:vAlign w:val="center"/>
          </w:tcPr>
          <w:p w14:paraId="2EB1A602" w14:textId="77777777" w:rsidR="00F1508E" w:rsidRPr="00501424" w:rsidRDefault="00F1508E" w:rsidP="00D075F6">
            <w:pPr>
              <w:pStyle w:val="NoSpacing"/>
            </w:pPr>
          </w:p>
        </w:tc>
        <w:tc>
          <w:tcPr>
            <w:tcW w:w="1984" w:type="dxa"/>
            <w:tcBorders>
              <w:top w:val="nil"/>
              <w:left w:val="nil"/>
              <w:bottom w:val="single" w:sz="4" w:space="0" w:color="auto"/>
              <w:right w:val="nil"/>
            </w:tcBorders>
            <w:vAlign w:val="center"/>
          </w:tcPr>
          <w:p w14:paraId="703A6760" w14:textId="77777777" w:rsidR="00F1508E" w:rsidRPr="001542FA" w:rsidRDefault="00F1508E" w:rsidP="00D075F6">
            <w:pPr>
              <w:pStyle w:val="NoSpacing"/>
            </w:pPr>
            <w:r w:rsidRPr="001542FA">
              <w:t>Publication date</w:t>
            </w:r>
          </w:p>
        </w:tc>
        <w:tc>
          <w:tcPr>
            <w:tcW w:w="1843" w:type="dxa"/>
            <w:tcBorders>
              <w:top w:val="nil"/>
              <w:left w:val="nil"/>
              <w:bottom w:val="single" w:sz="4" w:space="0" w:color="auto"/>
              <w:right w:val="nil"/>
            </w:tcBorders>
            <w:vAlign w:val="center"/>
          </w:tcPr>
          <w:p w14:paraId="0B9CC71D" w14:textId="77777777" w:rsidR="00F1508E" w:rsidRPr="001542FA" w:rsidRDefault="00F1508E" w:rsidP="00D075F6">
            <w:pPr>
              <w:pStyle w:val="NoSpacing"/>
            </w:pPr>
            <w:r w:rsidRPr="001542FA">
              <w:t>2005 – 2015</w:t>
            </w:r>
          </w:p>
        </w:tc>
        <w:tc>
          <w:tcPr>
            <w:tcW w:w="1418" w:type="dxa"/>
            <w:tcBorders>
              <w:top w:val="nil"/>
              <w:left w:val="nil"/>
              <w:bottom w:val="single" w:sz="4" w:space="0" w:color="auto"/>
              <w:right w:val="nil"/>
            </w:tcBorders>
            <w:vAlign w:val="center"/>
          </w:tcPr>
          <w:p w14:paraId="188F531E" w14:textId="77777777" w:rsidR="00F1508E" w:rsidRPr="001542FA" w:rsidRDefault="00F1508E" w:rsidP="00D075F6">
            <w:pPr>
              <w:pStyle w:val="NoSpacing"/>
            </w:pPr>
            <w:r w:rsidRPr="001542FA">
              <w:t>5</w:t>
            </w:r>
          </w:p>
        </w:tc>
        <w:tc>
          <w:tcPr>
            <w:tcW w:w="2268" w:type="dxa"/>
            <w:tcBorders>
              <w:top w:val="nil"/>
              <w:left w:val="nil"/>
              <w:bottom w:val="single" w:sz="4" w:space="0" w:color="auto"/>
              <w:right w:val="nil"/>
            </w:tcBorders>
            <w:vAlign w:val="center"/>
          </w:tcPr>
          <w:p w14:paraId="4D74667C" w14:textId="77777777" w:rsidR="00F1508E" w:rsidRPr="001542FA" w:rsidRDefault="00F1508E" w:rsidP="00D075F6">
            <w:pPr>
              <w:pStyle w:val="NoSpacing"/>
            </w:pPr>
            <w:r w:rsidRPr="001542FA">
              <w:t>-0.04</w:t>
            </w:r>
          </w:p>
        </w:tc>
        <w:tc>
          <w:tcPr>
            <w:tcW w:w="1667" w:type="dxa"/>
            <w:tcBorders>
              <w:top w:val="nil"/>
              <w:left w:val="nil"/>
              <w:bottom w:val="single" w:sz="4" w:space="0" w:color="auto"/>
              <w:right w:val="nil"/>
            </w:tcBorders>
            <w:vAlign w:val="center"/>
          </w:tcPr>
          <w:p w14:paraId="058C92EB" w14:textId="77777777" w:rsidR="00F1508E" w:rsidRPr="001542FA" w:rsidRDefault="00F1508E" w:rsidP="00D075F6">
            <w:pPr>
              <w:pStyle w:val="NoSpacing"/>
            </w:pPr>
            <w:r w:rsidRPr="001542FA">
              <w:t>-0.12 to 0.05</w:t>
            </w:r>
          </w:p>
        </w:tc>
        <w:tc>
          <w:tcPr>
            <w:tcW w:w="850" w:type="dxa"/>
            <w:tcBorders>
              <w:top w:val="nil"/>
              <w:left w:val="nil"/>
              <w:bottom w:val="single" w:sz="4" w:space="0" w:color="auto"/>
              <w:right w:val="nil"/>
            </w:tcBorders>
            <w:vAlign w:val="center"/>
          </w:tcPr>
          <w:p w14:paraId="7CECFC1D" w14:textId="77777777" w:rsidR="00F1508E" w:rsidRPr="001542FA" w:rsidRDefault="00F1508E" w:rsidP="00D075F6">
            <w:pPr>
              <w:pStyle w:val="NoSpacing"/>
            </w:pPr>
            <w:r w:rsidRPr="001542FA">
              <w:t>0.03</w:t>
            </w:r>
          </w:p>
        </w:tc>
        <w:tc>
          <w:tcPr>
            <w:tcW w:w="1276" w:type="dxa"/>
            <w:tcBorders>
              <w:top w:val="nil"/>
              <w:left w:val="nil"/>
              <w:bottom w:val="single" w:sz="4" w:space="0" w:color="auto"/>
              <w:right w:val="nil"/>
            </w:tcBorders>
            <w:vAlign w:val="center"/>
          </w:tcPr>
          <w:p w14:paraId="2A90CDF6" w14:textId="77777777" w:rsidR="00F1508E" w:rsidRPr="001542FA" w:rsidRDefault="00F1508E" w:rsidP="00D075F6">
            <w:pPr>
              <w:pStyle w:val="NoSpacing"/>
            </w:pPr>
            <w:r w:rsidRPr="001542FA">
              <w:t>0.24</w:t>
            </w:r>
          </w:p>
        </w:tc>
      </w:tr>
      <w:tr w:rsidR="00F1508E" w:rsidRPr="00501424" w14:paraId="4523878B" w14:textId="77777777" w:rsidTr="00D075F6">
        <w:trPr>
          <w:trHeight w:val="17"/>
        </w:trPr>
        <w:tc>
          <w:tcPr>
            <w:tcW w:w="14425" w:type="dxa"/>
            <w:gridSpan w:val="9"/>
            <w:tcBorders>
              <w:top w:val="single" w:sz="4" w:space="0" w:color="auto"/>
              <w:left w:val="nil"/>
              <w:bottom w:val="nil"/>
              <w:right w:val="nil"/>
            </w:tcBorders>
            <w:vAlign w:val="center"/>
          </w:tcPr>
          <w:p w14:paraId="20DFCF61" w14:textId="77777777" w:rsidR="00F1508E" w:rsidRPr="00612C8A" w:rsidRDefault="00F1508E" w:rsidP="00D075F6">
            <w:pPr>
              <w:rPr>
                <w:rFonts w:ascii="Times New Roman" w:hAnsi="Times New Roman" w:cs="Times New Roman"/>
                <w:sz w:val="18"/>
                <w:szCs w:val="18"/>
              </w:rPr>
            </w:pPr>
            <w:r w:rsidRPr="008568C9">
              <w:rPr>
                <w:rFonts w:ascii="Times New Roman" w:hAnsi="Times New Roman" w:cs="Times New Roman"/>
                <w:i/>
                <w:sz w:val="18"/>
                <w:szCs w:val="18"/>
              </w:rPr>
              <w:lastRenderedPageBreak/>
              <w:t>Note: *</w:t>
            </w:r>
            <w:r w:rsidRPr="008568C9">
              <w:rPr>
                <w:rFonts w:ascii="Times New Roman" w:hAnsi="Times New Roman" w:cs="Times New Roman"/>
                <w:sz w:val="18"/>
                <w:szCs w:val="18"/>
              </w:rPr>
              <w:t>significant at</w:t>
            </w:r>
            <w:r w:rsidRPr="008568C9">
              <w:rPr>
                <w:rFonts w:ascii="Times New Roman" w:hAnsi="Times New Roman" w:cs="Times New Roman"/>
                <w:i/>
                <w:sz w:val="18"/>
                <w:szCs w:val="18"/>
              </w:rPr>
              <w:t xml:space="preserve"> p </w:t>
            </w:r>
            <w:r w:rsidRPr="008568C9">
              <w:rPr>
                <w:rFonts w:ascii="Times New Roman" w:hAnsi="Times New Roman" w:cs="Times New Roman"/>
                <w:sz w:val="18"/>
                <w:szCs w:val="18"/>
              </w:rPr>
              <w:t>&lt; .05 threshold;</w:t>
            </w:r>
            <w:r w:rsidRPr="008568C9">
              <w:rPr>
                <w:rFonts w:ascii="Times New Roman" w:hAnsi="Times New Roman" w:cs="Times New Roman"/>
                <w:i/>
                <w:sz w:val="18"/>
                <w:szCs w:val="18"/>
              </w:rPr>
              <w:t xml:space="preserve"> **</w:t>
            </w:r>
            <w:r w:rsidRPr="008568C9">
              <w:rPr>
                <w:rFonts w:ascii="Times New Roman" w:hAnsi="Times New Roman" w:cs="Times New Roman"/>
                <w:sz w:val="18"/>
                <w:szCs w:val="18"/>
              </w:rPr>
              <w:t xml:space="preserve">significant at Bonferroni adjusted </w:t>
            </w:r>
            <w:r w:rsidRPr="008568C9">
              <w:rPr>
                <w:rFonts w:ascii="Times New Roman" w:hAnsi="Times New Roman" w:cs="Times New Roman"/>
                <w:i/>
                <w:sz w:val="18"/>
                <w:szCs w:val="18"/>
              </w:rPr>
              <w:t xml:space="preserve">p </w:t>
            </w:r>
            <w:r w:rsidRPr="008568C9">
              <w:rPr>
                <w:rFonts w:ascii="Times New Roman" w:hAnsi="Times New Roman" w:cs="Times New Roman"/>
                <w:sz w:val="18"/>
                <w:szCs w:val="18"/>
              </w:rPr>
              <w:t xml:space="preserve">&lt; .01 threshold; ***significant at p &lt; .0001.  Abbreviations: </w:t>
            </w:r>
            <w:r>
              <w:rPr>
                <w:rFonts w:ascii="Times New Roman" w:hAnsi="Times New Roman" w:cs="Times New Roman"/>
                <w:sz w:val="18"/>
                <w:szCs w:val="18"/>
              </w:rPr>
              <w:t>N</w:t>
            </w:r>
            <w:r w:rsidRPr="008568C9">
              <w:rPr>
                <w:rFonts w:ascii="Times New Roman" w:hAnsi="Times New Roman" w:cs="Times New Roman"/>
                <w:sz w:val="18"/>
                <w:szCs w:val="18"/>
              </w:rPr>
              <w:t xml:space="preserve">: </w:t>
            </w:r>
            <w:r>
              <w:rPr>
                <w:rFonts w:ascii="Times New Roman" w:hAnsi="Times New Roman" w:cs="Times New Roman"/>
                <w:sz w:val="18"/>
                <w:szCs w:val="18"/>
              </w:rPr>
              <w:t>Number of studies</w:t>
            </w:r>
            <w:r w:rsidRPr="008568C9">
              <w:rPr>
                <w:rFonts w:ascii="Times New Roman" w:hAnsi="Times New Roman" w:cs="Times New Roman"/>
                <w:sz w:val="18"/>
                <w:szCs w:val="18"/>
              </w:rPr>
              <w:t xml:space="preserve">; CI: Confidence Interval; </w:t>
            </w:r>
            <w:r>
              <w:t>SE</w:t>
            </w:r>
            <w:r>
              <w:rPr>
                <w:rFonts w:ascii="Times New Roman" w:hAnsi="Times New Roman" w:cs="Times New Roman"/>
                <w:sz w:val="18"/>
                <w:szCs w:val="18"/>
              </w:rPr>
              <w:t>: Standard Error</w:t>
            </w:r>
            <w:r w:rsidRPr="008568C9">
              <w:rPr>
                <w:rFonts w:ascii="Times New Roman" w:hAnsi="Times New Roman" w:cs="Times New Roman"/>
                <w:sz w:val="18"/>
                <w:szCs w:val="18"/>
              </w:rPr>
              <w:t xml:space="preserve">; </w:t>
            </w:r>
            <w:r>
              <w:rPr>
                <w:rFonts w:ascii="Times New Roman" w:hAnsi="Times New Roman" w:cs="Times New Roman"/>
                <w:sz w:val="18"/>
                <w:szCs w:val="18"/>
              </w:rPr>
              <w:t>P</w:t>
            </w:r>
            <w:r w:rsidRPr="008568C9">
              <w:rPr>
                <w:rFonts w:ascii="Times New Roman" w:hAnsi="Times New Roman" w:cs="Times New Roman"/>
                <w:sz w:val="18"/>
                <w:szCs w:val="18"/>
              </w:rPr>
              <w:t xml:space="preserve">: </w:t>
            </w:r>
            <w:r>
              <w:rPr>
                <w:rFonts w:ascii="Times New Roman" w:hAnsi="Times New Roman" w:cs="Times New Roman"/>
                <w:sz w:val="18"/>
                <w:szCs w:val="18"/>
              </w:rPr>
              <w:t>Calculated probability</w:t>
            </w:r>
            <w:r w:rsidRPr="008568C9">
              <w:rPr>
                <w:rFonts w:ascii="Times New Roman" w:hAnsi="Times New Roman" w:cs="Times New Roman"/>
                <w:sz w:val="18"/>
                <w:szCs w:val="18"/>
              </w:rPr>
              <w:t>.</w:t>
            </w:r>
          </w:p>
        </w:tc>
      </w:tr>
    </w:tbl>
    <w:p w14:paraId="3021E7CA" w14:textId="77777777" w:rsidR="00F1508E" w:rsidRDefault="00F1508E" w:rsidP="00F1508E">
      <w:pPr>
        <w:spacing w:line="259" w:lineRule="auto"/>
        <w:rPr>
          <w:rFonts w:asciiTheme="majorHAnsi" w:eastAsiaTheme="majorEastAsia" w:hAnsiTheme="majorHAnsi" w:cstheme="majorBidi"/>
          <w:b/>
          <w:bCs/>
          <w:smallCaps/>
          <w:color w:val="000000" w:themeColor="text1"/>
          <w:sz w:val="28"/>
          <w:szCs w:val="28"/>
        </w:rPr>
      </w:pPr>
      <w:r>
        <w:br w:type="page"/>
      </w:r>
    </w:p>
    <w:p w14:paraId="1FC602BB" w14:textId="609EABD8" w:rsidR="00F1508E" w:rsidRDefault="00F1508E" w:rsidP="00B27113">
      <w:pPr>
        <w:pStyle w:val="Heading2"/>
      </w:pPr>
      <w:bookmarkStart w:id="280" w:name="_Toc530660514"/>
      <w:bookmarkStart w:id="281" w:name="_Toc3538115"/>
      <w:r>
        <w:lastRenderedPageBreak/>
        <w:t>Sub-</w:t>
      </w:r>
      <w:r w:rsidR="00147EF9">
        <w:t>g</w:t>
      </w:r>
      <w:r>
        <w:t xml:space="preserve">roup </w:t>
      </w:r>
      <w:r w:rsidR="00147EF9">
        <w:t>A</w:t>
      </w:r>
      <w:r>
        <w:t>nalysis</w:t>
      </w:r>
      <w:bookmarkEnd w:id="280"/>
      <w:bookmarkEnd w:id="281"/>
    </w:p>
    <w:p w14:paraId="0A638B51" w14:textId="304E06FA" w:rsidR="00F1508E" w:rsidRDefault="00F1508E" w:rsidP="00F1508E">
      <w:r>
        <w:rPr>
          <w:shd w:val="clear" w:color="auto" w:fill="FFFFFF"/>
        </w:rPr>
        <w:fldChar w:fldCharType="begin"/>
      </w:r>
      <w:r>
        <w:rPr>
          <w:shd w:val="clear" w:color="auto" w:fill="FFFFFF"/>
        </w:rPr>
        <w:instrText xml:space="preserve"> REF _Ref529272316 \h </w:instrText>
      </w:r>
      <w:r>
        <w:rPr>
          <w:shd w:val="clear" w:color="auto" w:fill="FFFFFF"/>
        </w:rPr>
      </w:r>
      <w:r>
        <w:rPr>
          <w:shd w:val="clear" w:color="auto" w:fill="FFFFFF"/>
        </w:rPr>
        <w:fldChar w:fldCharType="separate"/>
      </w:r>
      <w:r w:rsidR="00574650">
        <w:t xml:space="preserve">Table </w:t>
      </w:r>
      <w:r w:rsidR="00574650">
        <w:rPr>
          <w:noProof/>
        </w:rPr>
        <w:t>4</w:t>
      </w:r>
      <w:r w:rsidR="00574650">
        <w:t>.</w:t>
      </w:r>
      <w:r w:rsidR="00574650">
        <w:rPr>
          <w:noProof/>
        </w:rPr>
        <w:t>5</w:t>
      </w:r>
      <w:r>
        <w:rPr>
          <w:shd w:val="clear" w:color="auto" w:fill="FFFFFF"/>
        </w:rPr>
        <w:fldChar w:fldCharType="end"/>
      </w:r>
      <w:r>
        <w:rPr>
          <w:shd w:val="clear" w:color="auto" w:fill="FFFFFF"/>
        </w:rPr>
        <w:t xml:space="preserve"> contains the subgroup analyses that were conducted to examine the findings within different recruitment settings, e-therapies, and treatment typologies</w:t>
      </w:r>
      <w:r w:rsidR="00554CB4">
        <w:rPr>
          <w:shd w:val="clear" w:color="auto" w:fill="FFFFFF"/>
        </w:rPr>
        <w:t xml:space="preserve">.  </w:t>
      </w:r>
      <w:r>
        <w:rPr>
          <w:shd w:val="clear" w:color="auto" w:fill="FFFFFF"/>
        </w:rPr>
        <w:t xml:space="preserve">The only significant effect was for treatment typology in studies examining end of treatment effects against an active control </w:t>
      </w:r>
      <w:bookmarkStart w:id="282" w:name="_Ref528849497"/>
      <w:r>
        <w:rPr>
          <w:shd w:val="clear" w:color="auto" w:fill="FFFFFF"/>
        </w:rPr>
        <w:t>(</w:t>
      </w:r>
      <w:r>
        <w:rPr>
          <w:shd w:val="clear" w:color="auto" w:fill="FFFFFF"/>
        </w:rPr>
        <w:fldChar w:fldCharType="begin"/>
      </w:r>
      <w:r>
        <w:rPr>
          <w:shd w:val="clear" w:color="auto" w:fill="FFFFFF"/>
        </w:rPr>
        <w:instrText xml:space="preserve"> REF _Ref529272316 \h </w:instrText>
      </w:r>
      <w:r>
        <w:rPr>
          <w:shd w:val="clear" w:color="auto" w:fill="FFFFFF"/>
        </w:rPr>
      </w:r>
      <w:r>
        <w:rPr>
          <w:shd w:val="clear" w:color="auto" w:fill="FFFFFF"/>
        </w:rPr>
        <w:fldChar w:fldCharType="separate"/>
      </w:r>
      <w:r w:rsidR="00574650">
        <w:t xml:space="preserve">Table </w:t>
      </w:r>
      <w:r w:rsidR="00574650">
        <w:rPr>
          <w:noProof/>
        </w:rPr>
        <w:t>4</w:t>
      </w:r>
      <w:r w:rsidR="00574650">
        <w:t>.</w:t>
      </w:r>
      <w:r w:rsidR="00574650">
        <w:rPr>
          <w:noProof/>
        </w:rPr>
        <w:t>5</w:t>
      </w:r>
      <w:r>
        <w:rPr>
          <w:shd w:val="clear" w:color="auto" w:fill="FFFFFF"/>
        </w:rPr>
        <w:fldChar w:fldCharType="end"/>
      </w:r>
      <w:r>
        <w:rPr>
          <w:shd w:val="clear" w:color="auto" w:fill="FFFFFF"/>
        </w:rPr>
        <w:fldChar w:fldCharType="begin"/>
      </w:r>
      <w:r>
        <w:rPr>
          <w:shd w:val="clear" w:color="auto" w:fill="FFFFFF"/>
        </w:rPr>
        <w:instrText xml:space="preserve"> REF _Ref528849497 \h  \* MERGEFORMAT </w:instrText>
      </w:r>
      <w:r>
        <w:rPr>
          <w:shd w:val="clear" w:color="auto" w:fill="FFFFFF"/>
        </w:rPr>
      </w:r>
      <w:r>
        <w:rPr>
          <w:shd w:val="clear" w:color="auto" w:fill="FFFFFF"/>
        </w:rPr>
        <w:fldChar w:fldCharType="end"/>
      </w:r>
      <w:r>
        <w:rPr>
          <w:shd w:val="clear" w:color="auto" w:fill="FFFFFF"/>
        </w:rPr>
        <w:t xml:space="preserve">).  The result indicated that minimal-contact therapy may </w:t>
      </w:r>
      <w:r>
        <w:t>tend to generate better outcomes than s</w:t>
      </w:r>
      <w:r w:rsidRPr="00945104">
        <w:t>elf-administered therapy</w:t>
      </w:r>
      <w:r>
        <w:t xml:space="preserve"> (0.03) and p</w:t>
      </w:r>
      <w:r w:rsidRPr="00945104">
        <w:t>redominantly self-help</w:t>
      </w:r>
      <w:r>
        <w:t xml:space="preserve"> (</w:t>
      </w:r>
      <w:r w:rsidRPr="00945104">
        <w:t>-0.63</w:t>
      </w:r>
      <w:r>
        <w:t>).</w:t>
      </w:r>
    </w:p>
    <w:p w14:paraId="27E44B90" w14:textId="3D151CCB" w:rsidR="00F1508E" w:rsidRDefault="00F1508E" w:rsidP="00F1508E">
      <w:pPr>
        <w:pStyle w:val="Caption"/>
        <w:keepNext/>
      </w:pPr>
      <w:bookmarkStart w:id="283" w:name="_Ref529272316"/>
      <w:bookmarkStart w:id="284" w:name="_Toc530759490"/>
      <w:bookmarkEnd w:id="282"/>
      <w:proofErr w:type="gramStart"/>
      <w:r>
        <w:t xml:space="preserve">Table </w:t>
      </w:r>
      <w:r w:rsidR="007E7BB7">
        <w:fldChar w:fldCharType="begin"/>
      </w:r>
      <w:r w:rsidR="007E7BB7">
        <w:instrText xml:space="preserve"> STYLEREF 1 \s </w:instrText>
      </w:r>
      <w:r w:rsidR="007E7BB7">
        <w:fldChar w:fldCharType="separate"/>
      </w:r>
      <w:r w:rsidR="00574650">
        <w:rPr>
          <w:noProof/>
        </w:rPr>
        <w:t>4</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proofErr w:type="gramStart"/>
      <w:r w:rsidR="00574650">
        <w:rPr>
          <w:noProof/>
        </w:rPr>
        <w:t>5</w:t>
      </w:r>
      <w:r w:rsidR="007E7BB7">
        <w:fldChar w:fldCharType="end"/>
      </w:r>
      <w:bookmarkEnd w:id="283"/>
      <w:r>
        <w:t xml:space="preserve"> </w:t>
      </w:r>
      <w:r w:rsidRPr="001444B5">
        <w:t>Subgroup analysis</w:t>
      </w:r>
      <w:bookmarkEnd w:id="284"/>
      <w:proofErr w:type="gramEnd"/>
    </w:p>
    <w:tbl>
      <w:tblPr>
        <w:tblStyle w:val="TableGrid"/>
        <w:tblW w:w="14034" w:type="dxa"/>
        <w:tblBorders>
          <w:left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1843"/>
        <w:gridCol w:w="992"/>
        <w:gridCol w:w="2127"/>
        <w:gridCol w:w="3118"/>
        <w:gridCol w:w="425"/>
        <w:gridCol w:w="993"/>
        <w:gridCol w:w="1417"/>
        <w:gridCol w:w="851"/>
        <w:gridCol w:w="1417"/>
        <w:gridCol w:w="851"/>
      </w:tblGrid>
      <w:tr w:rsidR="00F1508E" w:rsidRPr="00945104" w14:paraId="4153D308" w14:textId="77777777" w:rsidTr="00D075F6">
        <w:trPr>
          <w:trHeight w:val="243"/>
        </w:trPr>
        <w:tc>
          <w:tcPr>
            <w:tcW w:w="1843" w:type="dxa"/>
            <w:tcBorders>
              <w:top w:val="single" w:sz="4" w:space="0" w:color="auto"/>
              <w:bottom w:val="single" w:sz="4" w:space="0" w:color="auto"/>
            </w:tcBorders>
            <w:vAlign w:val="center"/>
          </w:tcPr>
          <w:p w14:paraId="7C33A26F" w14:textId="77777777" w:rsidR="00F1508E" w:rsidRPr="00945104" w:rsidRDefault="00F1508E" w:rsidP="00D075F6">
            <w:pPr>
              <w:pStyle w:val="NoSpacing"/>
            </w:pPr>
            <w:r w:rsidRPr="00945104">
              <w:t>Time point</w:t>
            </w:r>
          </w:p>
        </w:tc>
        <w:tc>
          <w:tcPr>
            <w:tcW w:w="992" w:type="dxa"/>
            <w:tcBorders>
              <w:top w:val="single" w:sz="4" w:space="0" w:color="auto"/>
              <w:bottom w:val="single" w:sz="4" w:space="0" w:color="auto"/>
            </w:tcBorders>
            <w:vAlign w:val="center"/>
          </w:tcPr>
          <w:p w14:paraId="63EB7555" w14:textId="77777777" w:rsidR="00F1508E" w:rsidRPr="00945104" w:rsidRDefault="00F1508E" w:rsidP="00D075F6">
            <w:pPr>
              <w:pStyle w:val="NoSpacing"/>
            </w:pPr>
            <w:r w:rsidRPr="00945104">
              <w:t>Control</w:t>
            </w:r>
          </w:p>
        </w:tc>
        <w:tc>
          <w:tcPr>
            <w:tcW w:w="2127" w:type="dxa"/>
            <w:tcBorders>
              <w:top w:val="single" w:sz="4" w:space="0" w:color="auto"/>
              <w:bottom w:val="single" w:sz="4" w:space="0" w:color="auto"/>
            </w:tcBorders>
            <w:vAlign w:val="center"/>
          </w:tcPr>
          <w:p w14:paraId="5B012534" w14:textId="77777777" w:rsidR="00F1508E" w:rsidRPr="00945104" w:rsidRDefault="00F1508E" w:rsidP="00D075F6">
            <w:pPr>
              <w:pStyle w:val="NoSpacing"/>
            </w:pPr>
            <w:r w:rsidRPr="00945104">
              <w:t>Variable</w:t>
            </w:r>
          </w:p>
        </w:tc>
        <w:tc>
          <w:tcPr>
            <w:tcW w:w="3118" w:type="dxa"/>
            <w:tcBorders>
              <w:top w:val="single" w:sz="4" w:space="0" w:color="auto"/>
              <w:bottom w:val="single" w:sz="4" w:space="0" w:color="auto"/>
            </w:tcBorders>
            <w:vAlign w:val="center"/>
          </w:tcPr>
          <w:p w14:paraId="55FD283C" w14:textId="77777777" w:rsidR="00F1508E" w:rsidRPr="00945104" w:rsidRDefault="00F1508E" w:rsidP="00D075F6">
            <w:pPr>
              <w:pStyle w:val="NoSpacing"/>
            </w:pPr>
            <w:r w:rsidRPr="00945104">
              <w:t>Group</w:t>
            </w:r>
          </w:p>
        </w:tc>
        <w:tc>
          <w:tcPr>
            <w:tcW w:w="425" w:type="dxa"/>
            <w:tcBorders>
              <w:top w:val="single" w:sz="4" w:space="0" w:color="auto"/>
              <w:bottom w:val="single" w:sz="4" w:space="0" w:color="auto"/>
            </w:tcBorders>
            <w:vAlign w:val="center"/>
          </w:tcPr>
          <w:p w14:paraId="6BFD78A9" w14:textId="77777777" w:rsidR="00F1508E" w:rsidRPr="00945104" w:rsidRDefault="00F1508E" w:rsidP="00D075F6">
            <w:pPr>
              <w:pStyle w:val="NoSpacing"/>
              <w:jc w:val="center"/>
            </w:pPr>
            <w:r w:rsidRPr="00945104">
              <w:t>N</w:t>
            </w:r>
          </w:p>
        </w:tc>
        <w:tc>
          <w:tcPr>
            <w:tcW w:w="993" w:type="dxa"/>
            <w:tcBorders>
              <w:top w:val="single" w:sz="4" w:space="0" w:color="auto"/>
              <w:bottom w:val="single" w:sz="4" w:space="0" w:color="auto"/>
            </w:tcBorders>
            <w:vAlign w:val="center"/>
          </w:tcPr>
          <w:p w14:paraId="760AD6B0" w14:textId="77777777" w:rsidR="00F1508E" w:rsidRPr="00945104" w:rsidRDefault="00F1508E" w:rsidP="00D075F6">
            <w:pPr>
              <w:pStyle w:val="NoSpacing"/>
              <w:jc w:val="center"/>
            </w:pPr>
            <w:r w:rsidRPr="00945104">
              <w:t>SMD (g)</w:t>
            </w:r>
          </w:p>
        </w:tc>
        <w:tc>
          <w:tcPr>
            <w:tcW w:w="1417" w:type="dxa"/>
            <w:tcBorders>
              <w:top w:val="single" w:sz="4" w:space="0" w:color="auto"/>
              <w:bottom w:val="single" w:sz="4" w:space="0" w:color="auto"/>
            </w:tcBorders>
            <w:vAlign w:val="center"/>
          </w:tcPr>
          <w:p w14:paraId="18DB2257" w14:textId="77777777" w:rsidR="00F1508E" w:rsidRPr="00945104" w:rsidRDefault="00F1508E" w:rsidP="00D075F6">
            <w:pPr>
              <w:pStyle w:val="NoSpacing"/>
            </w:pPr>
            <w:r w:rsidRPr="00945104">
              <w:t>95% CI</w:t>
            </w:r>
          </w:p>
        </w:tc>
        <w:tc>
          <w:tcPr>
            <w:tcW w:w="851" w:type="dxa"/>
            <w:tcBorders>
              <w:top w:val="single" w:sz="4" w:space="0" w:color="auto"/>
              <w:bottom w:val="single" w:sz="4" w:space="0" w:color="auto"/>
            </w:tcBorders>
            <w:vAlign w:val="center"/>
          </w:tcPr>
          <w:p w14:paraId="29C11596" w14:textId="77777777" w:rsidR="00F1508E" w:rsidRPr="00945104" w:rsidRDefault="00F1508E" w:rsidP="00D075F6">
            <w:pPr>
              <w:pStyle w:val="NoSpacing"/>
              <w:jc w:val="center"/>
            </w:pPr>
            <w:proofErr w:type="gramStart"/>
            <w:r w:rsidRPr="00945104">
              <w:t>I</w:t>
            </w:r>
            <w:r w:rsidRPr="008A325D">
              <w:rPr>
                <w:vertAlign w:val="superscript"/>
              </w:rPr>
              <w:t>2</w:t>
            </w:r>
            <w:r w:rsidRPr="00945104">
              <w:t>(</w:t>
            </w:r>
            <w:proofErr w:type="gramEnd"/>
            <w:r w:rsidRPr="00945104">
              <w:t>%)</w:t>
            </w:r>
          </w:p>
        </w:tc>
        <w:tc>
          <w:tcPr>
            <w:tcW w:w="1417" w:type="dxa"/>
            <w:tcBorders>
              <w:top w:val="single" w:sz="4" w:space="0" w:color="auto"/>
              <w:bottom w:val="single" w:sz="4" w:space="0" w:color="auto"/>
            </w:tcBorders>
            <w:vAlign w:val="center"/>
          </w:tcPr>
          <w:p w14:paraId="6F65D4E2" w14:textId="77777777" w:rsidR="00F1508E" w:rsidRPr="00945104" w:rsidRDefault="00F1508E" w:rsidP="00D075F6">
            <w:pPr>
              <w:pStyle w:val="NoSpacing"/>
              <w:jc w:val="center"/>
            </w:pPr>
            <w:r w:rsidRPr="00945104">
              <w:t>P (between subgroups)</w:t>
            </w:r>
          </w:p>
        </w:tc>
        <w:tc>
          <w:tcPr>
            <w:tcW w:w="851" w:type="dxa"/>
            <w:tcBorders>
              <w:top w:val="single" w:sz="4" w:space="0" w:color="auto"/>
              <w:bottom w:val="single" w:sz="4" w:space="0" w:color="auto"/>
            </w:tcBorders>
            <w:vAlign w:val="center"/>
          </w:tcPr>
          <w:p w14:paraId="30A4E78D" w14:textId="77777777" w:rsidR="00F1508E" w:rsidRPr="00945104" w:rsidRDefault="00F1508E" w:rsidP="00D075F6">
            <w:pPr>
              <w:pStyle w:val="NoSpacing"/>
              <w:jc w:val="center"/>
            </w:pPr>
            <w:r w:rsidRPr="00945104">
              <w:t>NNT</w:t>
            </w:r>
          </w:p>
        </w:tc>
      </w:tr>
      <w:tr w:rsidR="00F1508E" w:rsidRPr="00945104" w14:paraId="1F971514" w14:textId="77777777" w:rsidTr="00D075F6">
        <w:trPr>
          <w:trHeight w:val="243"/>
        </w:trPr>
        <w:tc>
          <w:tcPr>
            <w:tcW w:w="1843" w:type="dxa"/>
            <w:vAlign w:val="center"/>
          </w:tcPr>
          <w:p w14:paraId="47D3A655" w14:textId="77777777" w:rsidR="00F1508E" w:rsidRPr="00945104" w:rsidRDefault="00F1508E" w:rsidP="00D075F6">
            <w:pPr>
              <w:pStyle w:val="NoSpacing"/>
            </w:pPr>
            <w:r w:rsidRPr="00945104">
              <w:t>End of Treatment</w:t>
            </w:r>
          </w:p>
        </w:tc>
        <w:tc>
          <w:tcPr>
            <w:tcW w:w="992" w:type="dxa"/>
            <w:vAlign w:val="center"/>
          </w:tcPr>
          <w:p w14:paraId="1DA0EF36" w14:textId="77777777" w:rsidR="00F1508E" w:rsidRPr="00945104" w:rsidRDefault="00F1508E" w:rsidP="00D075F6">
            <w:pPr>
              <w:pStyle w:val="NoSpacing"/>
            </w:pPr>
            <w:r w:rsidRPr="00945104">
              <w:t>Passive</w:t>
            </w:r>
          </w:p>
        </w:tc>
        <w:tc>
          <w:tcPr>
            <w:tcW w:w="2127" w:type="dxa"/>
            <w:vAlign w:val="center"/>
          </w:tcPr>
          <w:p w14:paraId="4205A669" w14:textId="77777777" w:rsidR="00F1508E" w:rsidRPr="00945104" w:rsidRDefault="00F1508E" w:rsidP="00D075F6">
            <w:pPr>
              <w:pStyle w:val="NoSpacing"/>
            </w:pPr>
            <w:r w:rsidRPr="00945104">
              <w:t>Recruitment setting</w:t>
            </w:r>
          </w:p>
        </w:tc>
        <w:tc>
          <w:tcPr>
            <w:tcW w:w="3118" w:type="dxa"/>
            <w:vAlign w:val="center"/>
          </w:tcPr>
          <w:p w14:paraId="6DCDE208" w14:textId="77777777" w:rsidR="00F1508E" w:rsidRPr="00E657EA" w:rsidRDefault="00F1508E" w:rsidP="00D075F6">
            <w:pPr>
              <w:pStyle w:val="NoSpacing"/>
            </w:pPr>
            <w:r w:rsidRPr="00E657EA">
              <w:t>Clinical</w:t>
            </w:r>
          </w:p>
        </w:tc>
        <w:tc>
          <w:tcPr>
            <w:tcW w:w="425" w:type="dxa"/>
            <w:vAlign w:val="center"/>
          </w:tcPr>
          <w:p w14:paraId="0E654F96" w14:textId="77777777" w:rsidR="00F1508E" w:rsidRPr="00E657EA" w:rsidRDefault="00F1508E" w:rsidP="00D075F6">
            <w:pPr>
              <w:pStyle w:val="NoSpacing"/>
              <w:jc w:val="center"/>
            </w:pPr>
            <w:r w:rsidRPr="00E657EA">
              <w:t>9</w:t>
            </w:r>
          </w:p>
        </w:tc>
        <w:tc>
          <w:tcPr>
            <w:tcW w:w="993" w:type="dxa"/>
            <w:vAlign w:val="center"/>
          </w:tcPr>
          <w:p w14:paraId="5FAAD893" w14:textId="77777777" w:rsidR="00F1508E" w:rsidRPr="00E657EA" w:rsidRDefault="00F1508E" w:rsidP="00D075F6">
            <w:pPr>
              <w:pStyle w:val="NoSpacing"/>
              <w:jc w:val="center"/>
            </w:pPr>
            <w:r w:rsidRPr="00E657EA">
              <w:t>0.27</w:t>
            </w:r>
          </w:p>
        </w:tc>
        <w:tc>
          <w:tcPr>
            <w:tcW w:w="1417" w:type="dxa"/>
            <w:vAlign w:val="center"/>
          </w:tcPr>
          <w:p w14:paraId="38436A40" w14:textId="77777777" w:rsidR="00F1508E" w:rsidRPr="00E657EA" w:rsidRDefault="00F1508E" w:rsidP="00D075F6">
            <w:pPr>
              <w:pStyle w:val="NoSpacing"/>
            </w:pPr>
            <w:r w:rsidRPr="00E657EA">
              <w:t>-0.05 to 0.58</w:t>
            </w:r>
          </w:p>
        </w:tc>
        <w:tc>
          <w:tcPr>
            <w:tcW w:w="851" w:type="dxa"/>
            <w:vAlign w:val="center"/>
          </w:tcPr>
          <w:p w14:paraId="0D4FF3D7" w14:textId="77777777" w:rsidR="00F1508E" w:rsidRPr="00E657EA" w:rsidRDefault="00F1508E" w:rsidP="00D075F6">
            <w:pPr>
              <w:pStyle w:val="NoSpacing"/>
              <w:jc w:val="center"/>
            </w:pPr>
            <w:r w:rsidRPr="00E657EA">
              <w:t>89.48</w:t>
            </w:r>
          </w:p>
        </w:tc>
        <w:tc>
          <w:tcPr>
            <w:tcW w:w="1417" w:type="dxa"/>
            <w:vAlign w:val="center"/>
          </w:tcPr>
          <w:p w14:paraId="4F4A49BC" w14:textId="77777777" w:rsidR="00F1508E" w:rsidRPr="00E657EA" w:rsidRDefault="00F1508E" w:rsidP="00D075F6">
            <w:pPr>
              <w:pStyle w:val="NoSpacing"/>
              <w:jc w:val="center"/>
            </w:pPr>
            <w:r w:rsidRPr="00E657EA">
              <w:t>0.50</w:t>
            </w:r>
          </w:p>
        </w:tc>
        <w:tc>
          <w:tcPr>
            <w:tcW w:w="851" w:type="dxa"/>
            <w:vAlign w:val="center"/>
          </w:tcPr>
          <w:p w14:paraId="6FFB87D6" w14:textId="77777777" w:rsidR="00F1508E" w:rsidRPr="00E657EA" w:rsidRDefault="00F1508E" w:rsidP="00D075F6">
            <w:pPr>
              <w:pStyle w:val="NoSpacing"/>
              <w:jc w:val="center"/>
            </w:pPr>
            <w:r w:rsidRPr="00E657EA">
              <w:t>6.605</w:t>
            </w:r>
          </w:p>
        </w:tc>
      </w:tr>
      <w:tr w:rsidR="00F1508E" w:rsidRPr="00945104" w14:paraId="0B85B977" w14:textId="77777777" w:rsidTr="00D075F6">
        <w:trPr>
          <w:trHeight w:val="243"/>
        </w:trPr>
        <w:tc>
          <w:tcPr>
            <w:tcW w:w="1843" w:type="dxa"/>
            <w:vAlign w:val="center"/>
          </w:tcPr>
          <w:p w14:paraId="02106F52" w14:textId="77777777" w:rsidR="00F1508E" w:rsidRPr="00945104" w:rsidRDefault="00F1508E" w:rsidP="00D075F6">
            <w:pPr>
              <w:pStyle w:val="NoSpacing"/>
            </w:pPr>
          </w:p>
        </w:tc>
        <w:tc>
          <w:tcPr>
            <w:tcW w:w="992" w:type="dxa"/>
            <w:vAlign w:val="center"/>
          </w:tcPr>
          <w:p w14:paraId="4B8B421A" w14:textId="77777777" w:rsidR="00F1508E" w:rsidRPr="00945104" w:rsidRDefault="00F1508E" w:rsidP="00D075F6">
            <w:pPr>
              <w:pStyle w:val="NoSpacing"/>
            </w:pPr>
          </w:p>
        </w:tc>
        <w:tc>
          <w:tcPr>
            <w:tcW w:w="2127" w:type="dxa"/>
            <w:vAlign w:val="center"/>
          </w:tcPr>
          <w:p w14:paraId="3873CAD2" w14:textId="77777777" w:rsidR="00F1508E" w:rsidRPr="00945104" w:rsidRDefault="00F1508E" w:rsidP="00D075F6">
            <w:pPr>
              <w:pStyle w:val="NoSpacing"/>
            </w:pPr>
          </w:p>
        </w:tc>
        <w:tc>
          <w:tcPr>
            <w:tcW w:w="3118" w:type="dxa"/>
            <w:vAlign w:val="center"/>
          </w:tcPr>
          <w:p w14:paraId="4D38AFEE" w14:textId="77777777" w:rsidR="00F1508E" w:rsidRPr="00E657EA" w:rsidRDefault="00F1508E" w:rsidP="00D075F6">
            <w:pPr>
              <w:pStyle w:val="NoSpacing"/>
            </w:pPr>
            <w:r w:rsidRPr="00E657EA">
              <w:t>Community</w:t>
            </w:r>
          </w:p>
        </w:tc>
        <w:tc>
          <w:tcPr>
            <w:tcW w:w="425" w:type="dxa"/>
            <w:vAlign w:val="center"/>
          </w:tcPr>
          <w:p w14:paraId="12C22EE8" w14:textId="77777777" w:rsidR="00F1508E" w:rsidRPr="00E657EA" w:rsidRDefault="00F1508E" w:rsidP="00D075F6">
            <w:pPr>
              <w:pStyle w:val="NoSpacing"/>
              <w:jc w:val="center"/>
            </w:pPr>
            <w:r w:rsidRPr="00E657EA">
              <w:t>6</w:t>
            </w:r>
          </w:p>
        </w:tc>
        <w:tc>
          <w:tcPr>
            <w:tcW w:w="993" w:type="dxa"/>
            <w:vAlign w:val="center"/>
          </w:tcPr>
          <w:p w14:paraId="3E8E2DE8" w14:textId="77777777" w:rsidR="00F1508E" w:rsidRPr="00E657EA" w:rsidRDefault="00F1508E" w:rsidP="00D075F6">
            <w:pPr>
              <w:pStyle w:val="NoSpacing"/>
              <w:jc w:val="center"/>
            </w:pPr>
            <w:r w:rsidRPr="00E657EA">
              <w:t>0.47</w:t>
            </w:r>
          </w:p>
        </w:tc>
        <w:tc>
          <w:tcPr>
            <w:tcW w:w="1417" w:type="dxa"/>
            <w:vAlign w:val="center"/>
          </w:tcPr>
          <w:p w14:paraId="6F83FCE3" w14:textId="77777777" w:rsidR="00F1508E" w:rsidRPr="00E657EA" w:rsidRDefault="00F1508E" w:rsidP="00D075F6">
            <w:pPr>
              <w:pStyle w:val="NoSpacing"/>
            </w:pPr>
            <w:r w:rsidRPr="00E657EA">
              <w:t>-0.03 to 0.97</w:t>
            </w:r>
          </w:p>
        </w:tc>
        <w:tc>
          <w:tcPr>
            <w:tcW w:w="851" w:type="dxa"/>
            <w:vAlign w:val="center"/>
          </w:tcPr>
          <w:p w14:paraId="358987FA" w14:textId="77777777" w:rsidR="00F1508E" w:rsidRPr="00E657EA" w:rsidRDefault="00F1508E" w:rsidP="00D075F6">
            <w:pPr>
              <w:pStyle w:val="NoSpacing"/>
              <w:jc w:val="center"/>
            </w:pPr>
            <w:r w:rsidRPr="00E657EA">
              <w:t>95.28</w:t>
            </w:r>
          </w:p>
        </w:tc>
        <w:tc>
          <w:tcPr>
            <w:tcW w:w="1417" w:type="dxa"/>
            <w:shd w:val="clear" w:color="auto" w:fill="auto"/>
            <w:vAlign w:val="center"/>
          </w:tcPr>
          <w:p w14:paraId="783250DE" w14:textId="77777777" w:rsidR="00F1508E" w:rsidRPr="00E657EA" w:rsidRDefault="00F1508E" w:rsidP="00D075F6">
            <w:pPr>
              <w:pStyle w:val="NoSpacing"/>
              <w:jc w:val="center"/>
            </w:pPr>
          </w:p>
        </w:tc>
        <w:tc>
          <w:tcPr>
            <w:tcW w:w="851" w:type="dxa"/>
            <w:shd w:val="clear" w:color="auto" w:fill="auto"/>
            <w:vAlign w:val="center"/>
          </w:tcPr>
          <w:p w14:paraId="3D5546B1" w14:textId="77777777" w:rsidR="00F1508E" w:rsidRPr="00E657EA" w:rsidRDefault="00F1508E" w:rsidP="00D075F6">
            <w:pPr>
              <w:pStyle w:val="NoSpacing"/>
              <w:jc w:val="center"/>
            </w:pPr>
            <w:r w:rsidRPr="00E657EA">
              <w:t>3.841</w:t>
            </w:r>
          </w:p>
        </w:tc>
      </w:tr>
      <w:tr w:rsidR="00F1508E" w:rsidRPr="00945104" w14:paraId="3D5D8FF4" w14:textId="77777777" w:rsidTr="00D075F6">
        <w:trPr>
          <w:trHeight w:val="243"/>
        </w:trPr>
        <w:tc>
          <w:tcPr>
            <w:tcW w:w="1843" w:type="dxa"/>
            <w:vAlign w:val="center"/>
          </w:tcPr>
          <w:p w14:paraId="2428B072" w14:textId="77777777" w:rsidR="00F1508E" w:rsidRPr="00945104" w:rsidRDefault="00F1508E" w:rsidP="00D075F6">
            <w:pPr>
              <w:pStyle w:val="NoSpacing"/>
            </w:pPr>
          </w:p>
        </w:tc>
        <w:tc>
          <w:tcPr>
            <w:tcW w:w="992" w:type="dxa"/>
            <w:vAlign w:val="center"/>
          </w:tcPr>
          <w:p w14:paraId="4805D151" w14:textId="77777777" w:rsidR="00F1508E" w:rsidRPr="00945104" w:rsidRDefault="00F1508E" w:rsidP="00D075F6">
            <w:pPr>
              <w:pStyle w:val="NoSpacing"/>
            </w:pPr>
          </w:p>
        </w:tc>
        <w:tc>
          <w:tcPr>
            <w:tcW w:w="2127" w:type="dxa"/>
            <w:vAlign w:val="center"/>
          </w:tcPr>
          <w:p w14:paraId="223BEA58" w14:textId="77777777" w:rsidR="00F1508E" w:rsidRPr="00945104" w:rsidRDefault="00F1508E" w:rsidP="00D075F6">
            <w:pPr>
              <w:pStyle w:val="NoSpacing"/>
            </w:pPr>
            <w:r w:rsidRPr="00945104">
              <w:t>E</w:t>
            </w:r>
            <w:r w:rsidRPr="00945104">
              <w:noBreakHyphen/>
              <w:t>therapy</w:t>
            </w:r>
          </w:p>
        </w:tc>
        <w:tc>
          <w:tcPr>
            <w:tcW w:w="3118" w:type="dxa"/>
            <w:vAlign w:val="center"/>
          </w:tcPr>
          <w:p w14:paraId="6F99E43E" w14:textId="77777777" w:rsidR="00F1508E" w:rsidRPr="00E657EA" w:rsidRDefault="00F1508E" w:rsidP="00D075F6">
            <w:pPr>
              <w:pStyle w:val="NoSpacing"/>
            </w:pPr>
            <w:r w:rsidRPr="00E657EA">
              <w:t>Beating the Blues</w:t>
            </w:r>
          </w:p>
        </w:tc>
        <w:tc>
          <w:tcPr>
            <w:tcW w:w="425" w:type="dxa"/>
            <w:vAlign w:val="center"/>
          </w:tcPr>
          <w:p w14:paraId="7DD61A27" w14:textId="77777777" w:rsidR="00F1508E" w:rsidRPr="00E657EA" w:rsidRDefault="00F1508E" w:rsidP="00D075F6">
            <w:pPr>
              <w:pStyle w:val="NoSpacing"/>
              <w:jc w:val="center"/>
            </w:pPr>
            <w:r w:rsidRPr="00E657EA">
              <w:t>4</w:t>
            </w:r>
          </w:p>
        </w:tc>
        <w:tc>
          <w:tcPr>
            <w:tcW w:w="993" w:type="dxa"/>
            <w:vAlign w:val="center"/>
          </w:tcPr>
          <w:p w14:paraId="19B63F49" w14:textId="77777777" w:rsidR="00F1508E" w:rsidRPr="00E657EA" w:rsidRDefault="00F1508E" w:rsidP="00D075F6">
            <w:pPr>
              <w:pStyle w:val="NoSpacing"/>
              <w:jc w:val="center"/>
            </w:pPr>
            <w:r w:rsidRPr="00E657EA">
              <w:t>0.16</w:t>
            </w:r>
          </w:p>
        </w:tc>
        <w:tc>
          <w:tcPr>
            <w:tcW w:w="1417" w:type="dxa"/>
            <w:vAlign w:val="center"/>
          </w:tcPr>
          <w:p w14:paraId="7FA68365" w14:textId="77777777" w:rsidR="00F1508E" w:rsidRPr="00E657EA" w:rsidRDefault="00F1508E" w:rsidP="00D075F6">
            <w:pPr>
              <w:pStyle w:val="NoSpacing"/>
            </w:pPr>
            <w:r w:rsidRPr="00E657EA">
              <w:t>-0.47 to 0.78</w:t>
            </w:r>
          </w:p>
        </w:tc>
        <w:tc>
          <w:tcPr>
            <w:tcW w:w="851" w:type="dxa"/>
            <w:vAlign w:val="center"/>
          </w:tcPr>
          <w:p w14:paraId="320BBC84" w14:textId="77777777" w:rsidR="00F1508E" w:rsidRPr="00E657EA" w:rsidRDefault="00F1508E" w:rsidP="00D075F6">
            <w:pPr>
              <w:pStyle w:val="NoSpacing"/>
              <w:jc w:val="center"/>
            </w:pPr>
            <w:r w:rsidRPr="00E657EA">
              <w:t>93.48</w:t>
            </w:r>
          </w:p>
        </w:tc>
        <w:tc>
          <w:tcPr>
            <w:tcW w:w="1417" w:type="dxa"/>
            <w:vAlign w:val="center"/>
          </w:tcPr>
          <w:p w14:paraId="074BF37E" w14:textId="77777777" w:rsidR="00F1508E" w:rsidRPr="00E657EA" w:rsidRDefault="00F1508E" w:rsidP="00D075F6">
            <w:pPr>
              <w:pStyle w:val="NoSpacing"/>
              <w:jc w:val="center"/>
            </w:pPr>
            <w:r w:rsidRPr="00E657EA">
              <w:t>0.74</w:t>
            </w:r>
          </w:p>
        </w:tc>
        <w:tc>
          <w:tcPr>
            <w:tcW w:w="851" w:type="dxa"/>
            <w:vAlign w:val="center"/>
          </w:tcPr>
          <w:p w14:paraId="07C8CC98" w14:textId="77777777" w:rsidR="00F1508E" w:rsidRPr="00E657EA" w:rsidRDefault="00F1508E" w:rsidP="00D075F6">
            <w:pPr>
              <w:pStyle w:val="NoSpacing"/>
              <w:jc w:val="center"/>
            </w:pPr>
            <w:r w:rsidRPr="00E657EA">
              <w:t>11.101</w:t>
            </w:r>
          </w:p>
        </w:tc>
      </w:tr>
      <w:tr w:rsidR="00F1508E" w:rsidRPr="00945104" w14:paraId="04A49A87" w14:textId="77777777" w:rsidTr="00D075F6">
        <w:trPr>
          <w:trHeight w:val="243"/>
        </w:trPr>
        <w:tc>
          <w:tcPr>
            <w:tcW w:w="1843" w:type="dxa"/>
            <w:vAlign w:val="center"/>
          </w:tcPr>
          <w:p w14:paraId="496847FA" w14:textId="77777777" w:rsidR="00F1508E" w:rsidRPr="00945104" w:rsidRDefault="00F1508E" w:rsidP="00D075F6">
            <w:pPr>
              <w:pStyle w:val="NoSpacing"/>
            </w:pPr>
          </w:p>
        </w:tc>
        <w:tc>
          <w:tcPr>
            <w:tcW w:w="992" w:type="dxa"/>
            <w:vAlign w:val="center"/>
          </w:tcPr>
          <w:p w14:paraId="409E0E79" w14:textId="77777777" w:rsidR="00F1508E" w:rsidRPr="00945104" w:rsidRDefault="00F1508E" w:rsidP="00D075F6">
            <w:pPr>
              <w:pStyle w:val="NoSpacing"/>
            </w:pPr>
          </w:p>
        </w:tc>
        <w:tc>
          <w:tcPr>
            <w:tcW w:w="2127" w:type="dxa"/>
            <w:vAlign w:val="center"/>
          </w:tcPr>
          <w:p w14:paraId="0A9E0AD5" w14:textId="77777777" w:rsidR="00F1508E" w:rsidRPr="00945104" w:rsidRDefault="00F1508E" w:rsidP="00D075F6">
            <w:pPr>
              <w:pStyle w:val="NoSpacing"/>
            </w:pPr>
          </w:p>
        </w:tc>
        <w:tc>
          <w:tcPr>
            <w:tcW w:w="3118" w:type="dxa"/>
            <w:vAlign w:val="center"/>
          </w:tcPr>
          <w:p w14:paraId="6C123CCE" w14:textId="77777777" w:rsidR="00F1508E" w:rsidRPr="00E657EA" w:rsidRDefault="00F1508E" w:rsidP="00D075F6">
            <w:pPr>
              <w:pStyle w:val="NoSpacing"/>
            </w:pPr>
            <w:proofErr w:type="spellStart"/>
            <w:r w:rsidRPr="00E657EA">
              <w:t>MoodGYM</w:t>
            </w:r>
            <w:proofErr w:type="spellEnd"/>
          </w:p>
        </w:tc>
        <w:tc>
          <w:tcPr>
            <w:tcW w:w="425" w:type="dxa"/>
            <w:vAlign w:val="center"/>
          </w:tcPr>
          <w:p w14:paraId="12B3AA38" w14:textId="77777777" w:rsidR="00F1508E" w:rsidRPr="00E657EA" w:rsidRDefault="00F1508E" w:rsidP="00D075F6">
            <w:pPr>
              <w:pStyle w:val="NoSpacing"/>
              <w:jc w:val="center"/>
            </w:pPr>
            <w:r w:rsidRPr="00E657EA">
              <w:t>7</w:t>
            </w:r>
          </w:p>
        </w:tc>
        <w:tc>
          <w:tcPr>
            <w:tcW w:w="993" w:type="dxa"/>
            <w:vAlign w:val="center"/>
          </w:tcPr>
          <w:p w14:paraId="1195D1BB" w14:textId="77777777" w:rsidR="00F1508E" w:rsidRPr="00E657EA" w:rsidRDefault="00F1508E" w:rsidP="00D075F6">
            <w:pPr>
              <w:pStyle w:val="NoSpacing"/>
              <w:jc w:val="center"/>
            </w:pPr>
            <w:r w:rsidRPr="00E657EA">
              <w:t>0.45</w:t>
            </w:r>
          </w:p>
        </w:tc>
        <w:tc>
          <w:tcPr>
            <w:tcW w:w="1417" w:type="dxa"/>
            <w:vAlign w:val="center"/>
          </w:tcPr>
          <w:p w14:paraId="3B9BACEE" w14:textId="77777777" w:rsidR="00F1508E" w:rsidRPr="00E657EA" w:rsidRDefault="00F1508E" w:rsidP="00D075F6">
            <w:pPr>
              <w:pStyle w:val="NoSpacing"/>
            </w:pPr>
            <w:r w:rsidRPr="00E657EA">
              <w:t>0.01 to 0.89</w:t>
            </w:r>
          </w:p>
        </w:tc>
        <w:tc>
          <w:tcPr>
            <w:tcW w:w="851" w:type="dxa"/>
            <w:vAlign w:val="center"/>
          </w:tcPr>
          <w:p w14:paraId="5E45F090" w14:textId="77777777" w:rsidR="00F1508E" w:rsidRPr="00E657EA" w:rsidRDefault="00F1508E" w:rsidP="00D075F6">
            <w:pPr>
              <w:pStyle w:val="NoSpacing"/>
              <w:jc w:val="center"/>
            </w:pPr>
            <w:r w:rsidRPr="00E657EA">
              <w:t>93.98</w:t>
            </w:r>
          </w:p>
        </w:tc>
        <w:tc>
          <w:tcPr>
            <w:tcW w:w="1417" w:type="dxa"/>
            <w:shd w:val="clear" w:color="auto" w:fill="auto"/>
            <w:vAlign w:val="center"/>
          </w:tcPr>
          <w:p w14:paraId="3C2AB6CE" w14:textId="77777777" w:rsidR="00F1508E" w:rsidRPr="00E657EA" w:rsidRDefault="00F1508E" w:rsidP="00D075F6">
            <w:pPr>
              <w:pStyle w:val="NoSpacing"/>
              <w:jc w:val="center"/>
            </w:pPr>
          </w:p>
        </w:tc>
        <w:tc>
          <w:tcPr>
            <w:tcW w:w="851" w:type="dxa"/>
            <w:shd w:val="clear" w:color="auto" w:fill="auto"/>
            <w:vAlign w:val="center"/>
          </w:tcPr>
          <w:p w14:paraId="4DB3C54B" w14:textId="77777777" w:rsidR="00F1508E" w:rsidRPr="00E657EA" w:rsidRDefault="00F1508E" w:rsidP="00D075F6">
            <w:pPr>
              <w:pStyle w:val="NoSpacing"/>
              <w:jc w:val="center"/>
            </w:pPr>
            <w:r w:rsidRPr="00E657EA">
              <w:t>4.005</w:t>
            </w:r>
          </w:p>
        </w:tc>
      </w:tr>
      <w:tr w:rsidR="00F1508E" w:rsidRPr="00945104" w14:paraId="13E3A21C" w14:textId="77777777" w:rsidTr="00D075F6">
        <w:trPr>
          <w:trHeight w:val="243"/>
        </w:trPr>
        <w:tc>
          <w:tcPr>
            <w:tcW w:w="1843" w:type="dxa"/>
            <w:vAlign w:val="center"/>
          </w:tcPr>
          <w:p w14:paraId="39C8DD13" w14:textId="77777777" w:rsidR="00F1508E" w:rsidRPr="00945104" w:rsidRDefault="00F1508E" w:rsidP="00D075F6">
            <w:pPr>
              <w:pStyle w:val="NoSpacing"/>
            </w:pPr>
          </w:p>
        </w:tc>
        <w:tc>
          <w:tcPr>
            <w:tcW w:w="992" w:type="dxa"/>
            <w:vAlign w:val="center"/>
          </w:tcPr>
          <w:p w14:paraId="69D5E5EF" w14:textId="77777777" w:rsidR="00F1508E" w:rsidRPr="00945104" w:rsidRDefault="00F1508E" w:rsidP="00D075F6">
            <w:pPr>
              <w:pStyle w:val="NoSpacing"/>
            </w:pPr>
          </w:p>
        </w:tc>
        <w:tc>
          <w:tcPr>
            <w:tcW w:w="2127" w:type="dxa"/>
            <w:vAlign w:val="center"/>
          </w:tcPr>
          <w:p w14:paraId="4DE2FF54" w14:textId="77777777" w:rsidR="00F1508E" w:rsidRPr="00945104" w:rsidRDefault="00F1508E" w:rsidP="00D075F6">
            <w:pPr>
              <w:pStyle w:val="NoSpacing"/>
            </w:pPr>
          </w:p>
        </w:tc>
        <w:tc>
          <w:tcPr>
            <w:tcW w:w="3118" w:type="dxa"/>
            <w:vAlign w:val="center"/>
          </w:tcPr>
          <w:p w14:paraId="186A1CE0" w14:textId="77777777" w:rsidR="00F1508E" w:rsidRPr="00E657EA" w:rsidRDefault="00F1508E" w:rsidP="00D075F6">
            <w:pPr>
              <w:pStyle w:val="NoSpacing"/>
            </w:pPr>
            <w:r w:rsidRPr="00E657EA">
              <w:t>Other</w:t>
            </w:r>
          </w:p>
        </w:tc>
        <w:tc>
          <w:tcPr>
            <w:tcW w:w="425" w:type="dxa"/>
            <w:vAlign w:val="center"/>
          </w:tcPr>
          <w:p w14:paraId="39E26B4F" w14:textId="77777777" w:rsidR="00F1508E" w:rsidRPr="00E657EA" w:rsidRDefault="00F1508E" w:rsidP="00D075F6">
            <w:pPr>
              <w:pStyle w:val="NoSpacing"/>
              <w:jc w:val="center"/>
            </w:pPr>
            <w:r w:rsidRPr="00E657EA">
              <w:t>4</w:t>
            </w:r>
          </w:p>
        </w:tc>
        <w:tc>
          <w:tcPr>
            <w:tcW w:w="993" w:type="dxa"/>
            <w:vAlign w:val="center"/>
          </w:tcPr>
          <w:p w14:paraId="3E3B7670" w14:textId="77777777" w:rsidR="00F1508E" w:rsidRPr="00E657EA" w:rsidRDefault="00F1508E" w:rsidP="00D075F6">
            <w:pPr>
              <w:pStyle w:val="NoSpacing"/>
              <w:jc w:val="center"/>
            </w:pPr>
            <w:r w:rsidRPr="00E657EA">
              <w:t>0.39</w:t>
            </w:r>
          </w:p>
        </w:tc>
        <w:tc>
          <w:tcPr>
            <w:tcW w:w="1417" w:type="dxa"/>
            <w:vAlign w:val="center"/>
          </w:tcPr>
          <w:p w14:paraId="0A3B7E22" w14:textId="77777777" w:rsidR="00F1508E" w:rsidRPr="00E657EA" w:rsidRDefault="00F1508E" w:rsidP="00D075F6">
            <w:pPr>
              <w:pStyle w:val="NoSpacing"/>
            </w:pPr>
            <w:r w:rsidRPr="00E657EA">
              <w:t>0.02 to 0.76</w:t>
            </w:r>
          </w:p>
        </w:tc>
        <w:tc>
          <w:tcPr>
            <w:tcW w:w="851" w:type="dxa"/>
            <w:vAlign w:val="center"/>
          </w:tcPr>
          <w:p w14:paraId="276290DB" w14:textId="77777777" w:rsidR="00F1508E" w:rsidRPr="00E657EA" w:rsidRDefault="00F1508E" w:rsidP="00D075F6">
            <w:pPr>
              <w:pStyle w:val="NoSpacing"/>
              <w:jc w:val="center"/>
            </w:pPr>
            <w:r w:rsidRPr="00E657EA">
              <w:t>77.84</w:t>
            </w:r>
          </w:p>
        </w:tc>
        <w:tc>
          <w:tcPr>
            <w:tcW w:w="1417" w:type="dxa"/>
            <w:shd w:val="clear" w:color="auto" w:fill="auto"/>
            <w:vAlign w:val="center"/>
          </w:tcPr>
          <w:p w14:paraId="0B5BE55F" w14:textId="77777777" w:rsidR="00F1508E" w:rsidRPr="00E657EA" w:rsidRDefault="00F1508E" w:rsidP="00D075F6">
            <w:pPr>
              <w:pStyle w:val="NoSpacing"/>
              <w:jc w:val="center"/>
            </w:pPr>
          </w:p>
        </w:tc>
        <w:tc>
          <w:tcPr>
            <w:tcW w:w="851" w:type="dxa"/>
            <w:shd w:val="clear" w:color="auto" w:fill="auto"/>
            <w:vAlign w:val="center"/>
          </w:tcPr>
          <w:p w14:paraId="5F7B2FBF" w14:textId="77777777" w:rsidR="00F1508E" w:rsidRPr="00E657EA" w:rsidRDefault="00F1508E" w:rsidP="00D075F6">
            <w:pPr>
              <w:pStyle w:val="NoSpacing"/>
              <w:jc w:val="center"/>
            </w:pPr>
            <w:r w:rsidRPr="00E657EA">
              <w:t>4.602</w:t>
            </w:r>
          </w:p>
        </w:tc>
      </w:tr>
      <w:tr w:rsidR="00F1508E" w:rsidRPr="00945104" w14:paraId="71EFEB6C" w14:textId="77777777" w:rsidTr="00D075F6">
        <w:trPr>
          <w:trHeight w:val="243"/>
        </w:trPr>
        <w:tc>
          <w:tcPr>
            <w:tcW w:w="1843" w:type="dxa"/>
            <w:vAlign w:val="center"/>
          </w:tcPr>
          <w:p w14:paraId="1ECEB8FB" w14:textId="77777777" w:rsidR="00F1508E" w:rsidRPr="00945104" w:rsidRDefault="00F1508E" w:rsidP="00D075F6">
            <w:pPr>
              <w:pStyle w:val="NoSpacing"/>
            </w:pPr>
          </w:p>
        </w:tc>
        <w:tc>
          <w:tcPr>
            <w:tcW w:w="992" w:type="dxa"/>
            <w:vAlign w:val="center"/>
          </w:tcPr>
          <w:p w14:paraId="7B9B407C" w14:textId="77777777" w:rsidR="00F1508E" w:rsidRPr="00945104" w:rsidRDefault="00F1508E" w:rsidP="00D075F6">
            <w:pPr>
              <w:pStyle w:val="NoSpacing"/>
            </w:pPr>
          </w:p>
        </w:tc>
        <w:tc>
          <w:tcPr>
            <w:tcW w:w="2127" w:type="dxa"/>
            <w:vAlign w:val="center"/>
          </w:tcPr>
          <w:p w14:paraId="0E05C3F2" w14:textId="77777777" w:rsidR="00F1508E" w:rsidRPr="00945104" w:rsidRDefault="00F1508E" w:rsidP="00D075F6">
            <w:pPr>
              <w:pStyle w:val="NoSpacing"/>
            </w:pPr>
            <w:r w:rsidRPr="00945104">
              <w:t>Typology</w:t>
            </w:r>
          </w:p>
        </w:tc>
        <w:tc>
          <w:tcPr>
            <w:tcW w:w="3118" w:type="dxa"/>
            <w:vAlign w:val="center"/>
          </w:tcPr>
          <w:p w14:paraId="0E3AC7CD" w14:textId="77777777" w:rsidR="00F1508E" w:rsidRPr="00E657EA" w:rsidRDefault="00F1508E" w:rsidP="00D075F6">
            <w:pPr>
              <w:pStyle w:val="NoSpacing"/>
            </w:pPr>
            <w:r w:rsidRPr="00E657EA">
              <w:t>Predominantly therapist administered treatment (1)</w:t>
            </w:r>
          </w:p>
        </w:tc>
        <w:tc>
          <w:tcPr>
            <w:tcW w:w="425" w:type="dxa"/>
            <w:vAlign w:val="center"/>
          </w:tcPr>
          <w:p w14:paraId="000FAF63" w14:textId="77777777" w:rsidR="00F1508E" w:rsidRPr="00E657EA" w:rsidRDefault="00F1508E" w:rsidP="00D075F6">
            <w:pPr>
              <w:pStyle w:val="NoSpacing"/>
              <w:jc w:val="center"/>
            </w:pPr>
            <w:r w:rsidRPr="00E657EA">
              <w:t>1</w:t>
            </w:r>
          </w:p>
        </w:tc>
        <w:tc>
          <w:tcPr>
            <w:tcW w:w="993" w:type="dxa"/>
            <w:vAlign w:val="center"/>
          </w:tcPr>
          <w:p w14:paraId="74C80702" w14:textId="77777777" w:rsidR="00F1508E" w:rsidRPr="00E657EA" w:rsidRDefault="00F1508E" w:rsidP="00D075F6">
            <w:pPr>
              <w:pStyle w:val="NoSpacing"/>
              <w:jc w:val="center"/>
            </w:pPr>
            <w:r w:rsidRPr="00E657EA">
              <w:t>0.60</w:t>
            </w:r>
          </w:p>
        </w:tc>
        <w:tc>
          <w:tcPr>
            <w:tcW w:w="1417" w:type="dxa"/>
            <w:vAlign w:val="center"/>
          </w:tcPr>
          <w:p w14:paraId="38C1D1B6" w14:textId="77777777" w:rsidR="00F1508E" w:rsidRPr="00E657EA" w:rsidRDefault="00F1508E" w:rsidP="00D075F6">
            <w:pPr>
              <w:pStyle w:val="NoSpacing"/>
            </w:pPr>
            <w:r w:rsidRPr="00E657EA">
              <w:t>-</w:t>
            </w:r>
          </w:p>
        </w:tc>
        <w:tc>
          <w:tcPr>
            <w:tcW w:w="851" w:type="dxa"/>
            <w:vAlign w:val="center"/>
          </w:tcPr>
          <w:p w14:paraId="7E970FA6" w14:textId="77777777" w:rsidR="00F1508E" w:rsidRPr="00E657EA" w:rsidRDefault="00F1508E" w:rsidP="00D075F6">
            <w:pPr>
              <w:pStyle w:val="NoSpacing"/>
              <w:jc w:val="center"/>
            </w:pPr>
            <w:r w:rsidRPr="00E657EA">
              <w:t>-</w:t>
            </w:r>
          </w:p>
        </w:tc>
        <w:tc>
          <w:tcPr>
            <w:tcW w:w="1417" w:type="dxa"/>
            <w:shd w:val="clear" w:color="auto" w:fill="auto"/>
            <w:vAlign w:val="center"/>
          </w:tcPr>
          <w:p w14:paraId="04406006" w14:textId="77777777" w:rsidR="00F1508E" w:rsidRPr="00E657EA" w:rsidRDefault="00F1508E" w:rsidP="00D075F6">
            <w:pPr>
              <w:pStyle w:val="NoSpacing"/>
              <w:jc w:val="center"/>
            </w:pPr>
            <w:r w:rsidRPr="00E657EA">
              <w:t>-</w:t>
            </w:r>
          </w:p>
        </w:tc>
        <w:tc>
          <w:tcPr>
            <w:tcW w:w="851" w:type="dxa"/>
            <w:shd w:val="clear" w:color="auto" w:fill="auto"/>
            <w:vAlign w:val="center"/>
          </w:tcPr>
          <w:p w14:paraId="34B07E74" w14:textId="77777777" w:rsidR="00F1508E" w:rsidRPr="00E657EA" w:rsidRDefault="00F1508E" w:rsidP="00D075F6">
            <w:pPr>
              <w:pStyle w:val="NoSpacing"/>
              <w:jc w:val="center"/>
            </w:pPr>
            <w:r w:rsidRPr="00E657EA">
              <w:t>3.043</w:t>
            </w:r>
          </w:p>
        </w:tc>
      </w:tr>
      <w:tr w:rsidR="00F1508E" w:rsidRPr="00945104" w14:paraId="0B557E81" w14:textId="77777777" w:rsidTr="00D075F6">
        <w:trPr>
          <w:trHeight w:val="243"/>
        </w:trPr>
        <w:tc>
          <w:tcPr>
            <w:tcW w:w="1843" w:type="dxa"/>
            <w:vAlign w:val="center"/>
          </w:tcPr>
          <w:p w14:paraId="1C2792C9" w14:textId="77777777" w:rsidR="00F1508E" w:rsidRPr="00945104" w:rsidRDefault="00F1508E" w:rsidP="00D075F6">
            <w:pPr>
              <w:pStyle w:val="NoSpacing"/>
            </w:pPr>
          </w:p>
        </w:tc>
        <w:tc>
          <w:tcPr>
            <w:tcW w:w="992" w:type="dxa"/>
            <w:vAlign w:val="center"/>
          </w:tcPr>
          <w:p w14:paraId="3536E8EF" w14:textId="77777777" w:rsidR="00F1508E" w:rsidRPr="00945104" w:rsidRDefault="00F1508E" w:rsidP="00D075F6">
            <w:pPr>
              <w:pStyle w:val="NoSpacing"/>
            </w:pPr>
          </w:p>
        </w:tc>
        <w:tc>
          <w:tcPr>
            <w:tcW w:w="2127" w:type="dxa"/>
            <w:vAlign w:val="center"/>
          </w:tcPr>
          <w:p w14:paraId="1692F058" w14:textId="77777777" w:rsidR="00F1508E" w:rsidRPr="00945104" w:rsidRDefault="00F1508E" w:rsidP="00D075F6">
            <w:pPr>
              <w:pStyle w:val="NoSpacing"/>
            </w:pPr>
          </w:p>
        </w:tc>
        <w:tc>
          <w:tcPr>
            <w:tcW w:w="3118" w:type="dxa"/>
            <w:vAlign w:val="center"/>
          </w:tcPr>
          <w:p w14:paraId="1E1B1971" w14:textId="77777777" w:rsidR="00F1508E" w:rsidRPr="00E657EA" w:rsidRDefault="00F1508E" w:rsidP="00D075F6">
            <w:pPr>
              <w:pStyle w:val="NoSpacing"/>
            </w:pPr>
            <w:r w:rsidRPr="00E657EA">
              <w:t>Minimal-contact therapy (2)</w:t>
            </w:r>
          </w:p>
        </w:tc>
        <w:tc>
          <w:tcPr>
            <w:tcW w:w="425" w:type="dxa"/>
            <w:vAlign w:val="center"/>
          </w:tcPr>
          <w:p w14:paraId="10ABC3BE" w14:textId="77777777" w:rsidR="00F1508E" w:rsidRPr="00E657EA" w:rsidRDefault="00F1508E" w:rsidP="00D075F6">
            <w:pPr>
              <w:pStyle w:val="NoSpacing"/>
              <w:jc w:val="center"/>
            </w:pPr>
            <w:r w:rsidRPr="00E657EA">
              <w:t>3</w:t>
            </w:r>
          </w:p>
        </w:tc>
        <w:tc>
          <w:tcPr>
            <w:tcW w:w="993" w:type="dxa"/>
            <w:vAlign w:val="center"/>
          </w:tcPr>
          <w:p w14:paraId="288112A3" w14:textId="77777777" w:rsidR="00F1508E" w:rsidRPr="00E657EA" w:rsidRDefault="00F1508E" w:rsidP="00D075F6">
            <w:pPr>
              <w:pStyle w:val="NoSpacing"/>
              <w:jc w:val="center"/>
            </w:pPr>
            <w:r w:rsidRPr="00E657EA">
              <w:t>0.34</w:t>
            </w:r>
          </w:p>
        </w:tc>
        <w:tc>
          <w:tcPr>
            <w:tcW w:w="1417" w:type="dxa"/>
            <w:vAlign w:val="center"/>
          </w:tcPr>
          <w:p w14:paraId="7AB4BD0B" w14:textId="77777777" w:rsidR="00F1508E" w:rsidRPr="00E657EA" w:rsidRDefault="00F1508E" w:rsidP="00D075F6">
            <w:pPr>
              <w:pStyle w:val="NoSpacing"/>
            </w:pPr>
            <w:r w:rsidRPr="00E657EA">
              <w:t>-0.20 to 0.87</w:t>
            </w:r>
          </w:p>
        </w:tc>
        <w:tc>
          <w:tcPr>
            <w:tcW w:w="851" w:type="dxa"/>
            <w:vAlign w:val="center"/>
          </w:tcPr>
          <w:p w14:paraId="02C55A4B" w14:textId="77777777" w:rsidR="00F1508E" w:rsidRPr="00E657EA" w:rsidRDefault="00F1508E" w:rsidP="00D075F6">
            <w:pPr>
              <w:pStyle w:val="NoSpacing"/>
              <w:jc w:val="center"/>
            </w:pPr>
            <w:r w:rsidRPr="00E657EA">
              <w:t>82.91</w:t>
            </w:r>
          </w:p>
        </w:tc>
        <w:tc>
          <w:tcPr>
            <w:tcW w:w="1417" w:type="dxa"/>
            <w:shd w:val="clear" w:color="auto" w:fill="auto"/>
            <w:vAlign w:val="center"/>
          </w:tcPr>
          <w:p w14:paraId="68259622" w14:textId="77777777" w:rsidR="00F1508E" w:rsidRPr="00E657EA" w:rsidRDefault="00F1508E" w:rsidP="00D075F6">
            <w:pPr>
              <w:pStyle w:val="NoSpacing"/>
              <w:jc w:val="center"/>
            </w:pPr>
          </w:p>
        </w:tc>
        <w:tc>
          <w:tcPr>
            <w:tcW w:w="851" w:type="dxa"/>
            <w:shd w:val="clear" w:color="auto" w:fill="auto"/>
            <w:vAlign w:val="center"/>
          </w:tcPr>
          <w:p w14:paraId="04FD7A9D" w14:textId="77777777" w:rsidR="00F1508E" w:rsidRPr="00E657EA" w:rsidRDefault="00F1508E" w:rsidP="00D075F6">
            <w:pPr>
              <w:pStyle w:val="NoSpacing"/>
              <w:jc w:val="center"/>
            </w:pPr>
            <w:r w:rsidRPr="00E657EA">
              <w:t>5.263</w:t>
            </w:r>
          </w:p>
        </w:tc>
      </w:tr>
      <w:tr w:rsidR="00F1508E" w:rsidRPr="00945104" w14:paraId="32BA84F5" w14:textId="77777777" w:rsidTr="00D075F6">
        <w:trPr>
          <w:trHeight w:val="243"/>
        </w:trPr>
        <w:tc>
          <w:tcPr>
            <w:tcW w:w="1843" w:type="dxa"/>
            <w:vAlign w:val="center"/>
          </w:tcPr>
          <w:p w14:paraId="69E2C772" w14:textId="77777777" w:rsidR="00F1508E" w:rsidRPr="00945104" w:rsidRDefault="00F1508E" w:rsidP="00D075F6">
            <w:pPr>
              <w:pStyle w:val="NoSpacing"/>
            </w:pPr>
          </w:p>
        </w:tc>
        <w:tc>
          <w:tcPr>
            <w:tcW w:w="992" w:type="dxa"/>
            <w:vAlign w:val="center"/>
          </w:tcPr>
          <w:p w14:paraId="3C0A3D2D" w14:textId="77777777" w:rsidR="00F1508E" w:rsidRPr="00945104" w:rsidRDefault="00F1508E" w:rsidP="00D075F6">
            <w:pPr>
              <w:pStyle w:val="NoSpacing"/>
            </w:pPr>
          </w:p>
        </w:tc>
        <w:tc>
          <w:tcPr>
            <w:tcW w:w="2127" w:type="dxa"/>
            <w:vAlign w:val="center"/>
          </w:tcPr>
          <w:p w14:paraId="6FD9BC3D" w14:textId="77777777" w:rsidR="00F1508E" w:rsidRPr="00945104" w:rsidRDefault="00F1508E" w:rsidP="00D075F6">
            <w:pPr>
              <w:pStyle w:val="NoSpacing"/>
            </w:pPr>
          </w:p>
        </w:tc>
        <w:tc>
          <w:tcPr>
            <w:tcW w:w="3118" w:type="dxa"/>
            <w:vAlign w:val="center"/>
          </w:tcPr>
          <w:p w14:paraId="0F1768A6" w14:textId="77777777" w:rsidR="00F1508E" w:rsidRPr="00E657EA" w:rsidRDefault="00F1508E" w:rsidP="00D075F6">
            <w:pPr>
              <w:pStyle w:val="NoSpacing"/>
            </w:pPr>
            <w:r w:rsidRPr="00E657EA">
              <w:t>Predominantly self-help (3)</w:t>
            </w:r>
          </w:p>
        </w:tc>
        <w:tc>
          <w:tcPr>
            <w:tcW w:w="425" w:type="dxa"/>
            <w:vAlign w:val="center"/>
          </w:tcPr>
          <w:p w14:paraId="10165EC8" w14:textId="77777777" w:rsidR="00F1508E" w:rsidRPr="00E657EA" w:rsidRDefault="00F1508E" w:rsidP="00D075F6">
            <w:pPr>
              <w:pStyle w:val="NoSpacing"/>
              <w:jc w:val="center"/>
            </w:pPr>
            <w:r w:rsidRPr="00E657EA">
              <w:t>6</w:t>
            </w:r>
          </w:p>
        </w:tc>
        <w:tc>
          <w:tcPr>
            <w:tcW w:w="993" w:type="dxa"/>
            <w:vAlign w:val="center"/>
          </w:tcPr>
          <w:p w14:paraId="453ED428" w14:textId="77777777" w:rsidR="00F1508E" w:rsidRPr="00E657EA" w:rsidRDefault="00F1508E" w:rsidP="00D075F6">
            <w:pPr>
              <w:pStyle w:val="NoSpacing"/>
              <w:jc w:val="center"/>
            </w:pPr>
            <w:r w:rsidRPr="00E657EA">
              <w:t>0.57</w:t>
            </w:r>
          </w:p>
        </w:tc>
        <w:tc>
          <w:tcPr>
            <w:tcW w:w="1417" w:type="dxa"/>
            <w:vAlign w:val="center"/>
          </w:tcPr>
          <w:p w14:paraId="165DD089" w14:textId="77777777" w:rsidR="00F1508E" w:rsidRPr="00E657EA" w:rsidRDefault="00F1508E" w:rsidP="00D075F6">
            <w:pPr>
              <w:pStyle w:val="NoSpacing"/>
            </w:pPr>
            <w:r w:rsidRPr="00E657EA">
              <w:t>-0.02 to 1.17</w:t>
            </w:r>
          </w:p>
        </w:tc>
        <w:tc>
          <w:tcPr>
            <w:tcW w:w="851" w:type="dxa"/>
            <w:vAlign w:val="center"/>
          </w:tcPr>
          <w:p w14:paraId="2815CE9E" w14:textId="77777777" w:rsidR="00F1508E" w:rsidRPr="00E657EA" w:rsidRDefault="00F1508E" w:rsidP="00D075F6">
            <w:pPr>
              <w:pStyle w:val="NoSpacing"/>
              <w:jc w:val="center"/>
            </w:pPr>
            <w:r w:rsidRPr="00E657EA">
              <w:t>91.93</w:t>
            </w:r>
          </w:p>
        </w:tc>
        <w:tc>
          <w:tcPr>
            <w:tcW w:w="1417" w:type="dxa"/>
            <w:shd w:val="clear" w:color="auto" w:fill="auto"/>
            <w:vAlign w:val="center"/>
          </w:tcPr>
          <w:p w14:paraId="67A45BBD" w14:textId="77777777" w:rsidR="00F1508E" w:rsidRPr="00E657EA" w:rsidRDefault="00F1508E" w:rsidP="00D075F6">
            <w:pPr>
              <w:pStyle w:val="NoSpacing"/>
              <w:jc w:val="center"/>
            </w:pPr>
          </w:p>
        </w:tc>
        <w:tc>
          <w:tcPr>
            <w:tcW w:w="851" w:type="dxa"/>
            <w:shd w:val="clear" w:color="auto" w:fill="auto"/>
            <w:vAlign w:val="center"/>
          </w:tcPr>
          <w:p w14:paraId="2760416C" w14:textId="77777777" w:rsidR="00F1508E" w:rsidRPr="00E657EA" w:rsidRDefault="00F1508E" w:rsidP="00D075F6">
            <w:pPr>
              <w:pStyle w:val="NoSpacing"/>
              <w:jc w:val="center"/>
            </w:pPr>
            <w:r w:rsidRPr="00E657EA">
              <w:t>3.194</w:t>
            </w:r>
          </w:p>
        </w:tc>
      </w:tr>
      <w:tr w:rsidR="00F1508E" w:rsidRPr="00945104" w14:paraId="391026DD" w14:textId="77777777" w:rsidTr="00D075F6">
        <w:trPr>
          <w:trHeight w:val="243"/>
        </w:trPr>
        <w:tc>
          <w:tcPr>
            <w:tcW w:w="1843" w:type="dxa"/>
            <w:vAlign w:val="center"/>
          </w:tcPr>
          <w:p w14:paraId="388B71BD" w14:textId="77777777" w:rsidR="00F1508E" w:rsidRPr="00945104" w:rsidRDefault="00F1508E" w:rsidP="00D075F6">
            <w:pPr>
              <w:pStyle w:val="NoSpacing"/>
            </w:pPr>
          </w:p>
        </w:tc>
        <w:tc>
          <w:tcPr>
            <w:tcW w:w="992" w:type="dxa"/>
            <w:vAlign w:val="center"/>
          </w:tcPr>
          <w:p w14:paraId="5897251E" w14:textId="77777777" w:rsidR="00F1508E" w:rsidRPr="00945104" w:rsidRDefault="00F1508E" w:rsidP="00D075F6">
            <w:pPr>
              <w:pStyle w:val="NoSpacing"/>
            </w:pPr>
          </w:p>
        </w:tc>
        <w:tc>
          <w:tcPr>
            <w:tcW w:w="2127" w:type="dxa"/>
            <w:vAlign w:val="center"/>
          </w:tcPr>
          <w:p w14:paraId="3977D859" w14:textId="77777777" w:rsidR="00F1508E" w:rsidRPr="00945104" w:rsidRDefault="00F1508E" w:rsidP="00D075F6">
            <w:pPr>
              <w:pStyle w:val="NoSpacing"/>
            </w:pPr>
          </w:p>
        </w:tc>
        <w:tc>
          <w:tcPr>
            <w:tcW w:w="3118" w:type="dxa"/>
            <w:vAlign w:val="center"/>
          </w:tcPr>
          <w:p w14:paraId="45B3B01D" w14:textId="77777777" w:rsidR="00F1508E" w:rsidRPr="00E657EA" w:rsidRDefault="00F1508E" w:rsidP="00D075F6">
            <w:pPr>
              <w:pStyle w:val="NoSpacing"/>
            </w:pPr>
            <w:r w:rsidRPr="00E657EA">
              <w:t>Self-administered therapy (4)</w:t>
            </w:r>
          </w:p>
        </w:tc>
        <w:tc>
          <w:tcPr>
            <w:tcW w:w="425" w:type="dxa"/>
            <w:vAlign w:val="center"/>
          </w:tcPr>
          <w:p w14:paraId="197823F3" w14:textId="77777777" w:rsidR="00F1508E" w:rsidRPr="00E657EA" w:rsidRDefault="00F1508E" w:rsidP="00D075F6">
            <w:pPr>
              <w:pStyle w:val="NoSpacing"/>
              <w:jc w:val="center"/>
            </w:pPr>
            <w:r w:rsidRPr="00E657EA">
              <w:t>5</w:t>
            </w:r>
          </w:p>
        </w:tc>
        <w:tc>
          <w:tcPr>
            <w:tcW w:w="993" w:type="dxa"/>
            <w:vAlign w:val="center"/>
          </w:tcPr>
          <w:p w14:paraId="3107EBD5" w14:textId="77777777" w:rsidR="00F1508E" w:rsidRPr="00E657EA" w:rsidRDefault="00F1508E" w:rsidP="00D075F6">
            <w:pPr>
              <w:pStyle w:val="NoSpacing"/>
              <w:jc w:val="center"/>
            </w:pPr>
            <w:r w:rsidRPr="00E657EA">
              <w:t>0.06</w:t>
            </w:r>
          </w:p>
        </w:tc>
        <w:tc>
          <w:tcPr>
            <w:tcW w:w="1417" w:type="dxa"/>
            <w:vAlign w:val="center"/>
          </w:tcPr>
          <w:p w14:paraId="17EF19F5" w14:textId="77777777" w:rsidR="00F1508E" w:rsidRPr="00E657EA" w:rsidRDefault="00F1508E" w:rsidP="00D075F6">
            <w:pPr>
              <w:pStyle w:val="NoSpacing"/>
            </w:pPr>
            <w:r w:rsidRPr="00E657EA">
              <w:t>-0.18 to 0.30</w:t>
            </w:r>
          </w:p>
        </w:tc>
        <w:tc>
          <w:tcPr>
            <w:tcW w:w="851" w:type="dxa"/>
            <w:vAlign w:val="center"/>
          </w:tcPr>
          <w:p w14:paraId="4AC37BBC" w14:textId="77777777" w:rsidR="00F1508E" w:rsidRPr="00E657EA" w:rsidRDefault="00F1508E" w:rsidP="00D075F6">
            <w:pPr>
              <w:pStyle w:val="NoSpacing"/>
              <w:jc w:val="center"/>
            </w:pPr>
            <w:r w:rsidRPr="00E657EA">
              <w:t>85.74</w:t>
            </w:r>
          </w:p>
        </w:tc>
        <w:tc>
          <w:tcPr>
            <w:tcW w:w="1417" w:type="dxa"/>
            <w:shd w:val="clear" w:color="auto" w:fill="auto"/>
            <w:vAlign w:val="center"/>
          </w:tcPr>
          <w:p w14:paraId="486EA9D2" w14:textId="77777777" w:rsidR="00F1508E" w:rsidRPr="00E657EA" w:rsidRDefault="00F1508E" w:rsidP="00D075F6">
            <w:pPr>
              <w:pStyle w:val="NoSpacing"/>
              <w:jc w:val="center"/>
            </w:pPr>
          </w:p>
        </w:tc>
        <w:tc>
          <w:tcPr>
            <w:tcW w:w="851" w:type="dxa"/>
            <w:shd w:val="clear" w:color="auto" w:fill="auto"/>
            <w:vAlign w:val="center"/>
          </w:tcPr>
          <w:p w14:paraId="5875C4EA" w14:textId="77777777" w:rsidR="00F1508E" w:rsidRPr="00E657EA" w:rsidRDefault="00F1508E" w:rsidP="00D075F6">
            <w:pPr>
              <w:pStyle w:val="NoSpacing"/>
              <w:jc w:val="center"/>
            </w:pPr>
            <w:r w:rsidRPr="00E657EA">
              <w:t>29.549</w:t>
            </w:r>
          </w:p>
        </w:tc>
      </w:tr>
      <w:tr w:rsidR="00F1508E" w:rsidRPr="00945104" w14:paraId="28A990AA" w14:textId="77777777" w:rsidTr="00D075F6">
        <w:trPr>
          <w:trHeight w:val="243"/>
        </w:trPr>
        <w:tc>
          <w:tcPr>
            <w:tcW w:w="1843" w:type="dxa"/>
            <w:vAlign w:val="center"/>
          </w:tcPr>
          <w:p w14:paraId="3BAFCEAB" w14:textId="77777777" w:rsidR="00F1508E" w:rsidRPr="00945104" w:rsidRDefault="00F1508E" w:rsidP="00D075F6">
            <w:pPr>
              <w:pStyle w:val="NoSpacing"/>
            </w:pPr>
          </w:p>
        </w:tc>
        <w:tc>
          <w:tcPr>
            <w:tcW w:w="992" w:type="dxa"/>
            <w:vAlign w:val="center"/>
          </w:tcPr>
          <w:p w14:paraId="62983C8D" w14:textId="77777777" w:rsidR="00F1508E" w:rsidRPr="00945104" w:rsidRDefault="00F1508E" w:rsidP="00D075F6">
            <w:pPr>
              <w:pStyle w:val="NoSpacing"/>
            </w:pPr>
            <w:r w:rsidRPr="00945104">
              <w:t>Active</w:t>
            </w:r>
          </w:p>
        </w:tc>
        <w:tc>
          <w:tcPr>
            <w:tcW w:w="2127" w:type="dxa"/>
            <w:vAlign w:val="center"/>
          </w:tcPr>
          <w:p w14:paraId="0557E38A" w14:textId="77777777" w:rsidR="00F1508E" w:rsidRPr="00945104" w:rsidRDefault="00F1508E" w:rsidP="00D075F6">
            <w:pPr>
              <w:pStyle w:val="NoSpacing"/>
            </w:pPr>
            <w:r w:rsidRPr="00945104">
              <w:t>Recruitment setting</w:t>
            </w:r>
          </w:p>
        </w:tc>
        <w:tc>
          <w:tcPr>
            <w:tcW w:w="3118" w:type="dxa"/>
            <w:vAlign w:val="center"/>
          </w:tcPr>
          <w:p w14:paraId="17C0D158" w14:textId="77777777" w:rsidR="00F1508E" w:rsidRPr="00E657EA" w:rsidRDefault="00F1508E" w:rsidP="00D075F6">
            <w:pPr>
              <w:pStyle w:val="NoSpacing"/>
            </w:pPr>
            <w:r w:rsidRPr="00E657EA">
              <w:t>Clinical</w:t>
            </w:r>
          </w:p>
        </w:tc>
        <w:tc>
          <w:tcPr>
            <w:tcW w:w="425" w:type="dxa"/>
            <w:vAlign w:val="center"/>
          </w:tcPr>
          <w:p w14:paraId="5B2BD6E3" w14:textId="77777777" w:rsidR="00F1508E" w:rsidRPr="00E657EA" w:rsidRDefault="00F1508E" w:rsidP="00D075F6">
            <w:pPr>
              <w:pStyle w:val="NoSpacing"/>
              <w:jc w:val="center"/>
            </w:pPr>
            <w:r w:rsidRPr="00E657EA">
              <w:t>4</w:t>
            </w:r>
          </w:p>
        </w:tc>
        <w:tc>
          <w:tcPr>
            <w:tcW w:w="993" w:type="dxa"/>
            <w:vAlign w:val="center"/>
          </w:tcPr>
          <w:p w14:paraId="3BDFABF7" w14:textId="77777777" w:rsidR="00F1508E" w:rsidRPr="00E657EA" w:rsidRDefault="00F1508E" w:rsidP="00D075F6">
            <w:pPr>
              <w:pStyle w:val="NoSpacing"/>
              <w:jc w:val="center"/>
            </w:pPr>
            <w:r w:rsidRPr="00E657EA">
              <w:t>0.21</w:t>
            </w:r>
          </w:p>
        </w:tc>
        <w:tc>
          <w:tcPr>
            <w:tcW w:w="1417" w:type="dxa"/>
            <w:vAlign w:val="center"/>
          </w:tcPr>
          <w:p w14:paraId="0ED4F2FB" w14:textId="77777777" w:rsidR="00F1508E" w:rsidRPr="00E657EA" w:rsidRDefault="00F1508E" w:rsidP="00D075F6">
            <w:pPr>
              <w:pStyle w:val="NoSpacing"/>
            </w:pPr>
            <w:r w:rsidRPr="00E657EA">
              <w:t>-0.18 to 0.60</w:t>
            </w:r>
          </w:p>
        </w:tc>
        <w:tc>
          <w:tcPr>
            <w:tcW w:w="851" w:type="dxa"/>
            <w:vAlign w:val="center"/>
          </w:tcPr>
          <w:p w14:paraId="1A7A4F44" w14:textId="77777777" w:rsidR="00F1508E" w:rsidRPr="00E657EA" w:rsidRDefault="00F1508E" w:rsidP="00D075F6">
            <w:pPr>
              <w:pStyle w:val="NoSpacing"/>
              <w:jc w:val="center"/>
            </w:pPr>
            <w:r w:rsidRPr="00E657EA">
              <w:t>72.58</w:t>
            </w:r>
          </w:p>
        </w:tc>
        <w:tc>
          <w:tcPr>
            <w:tcW w:w="1417" w:type="dxa"/>
            <w:vAlign w:val="center"/>
          </w:tcPr>
          <w:p w14:paraId="613FB380" w14:textId="77777777" w:rsidR="00F1508E" w:rsidRPr="00E657EA" w:rsidRDefault="00F1508E" w:rsidP="00D075F6">
            <w:pPr>
              <w:pStyle w:val="NoSpacing"/>
              <w:jc w:val="center"/>
            </w:pPr>
            <w:r w:rsidRPr="00E657EA">
              <w:t>0.35</w:t>
            </w:r>
          </w:p>
        </w:tc>
        <w:tc>
          <w:tcPr>
            <w:tcW w:w="851" w:type="dxa"/>
            <w:vAlign w:val="center"/>
          </w:tcPr>
          <w:p w14:paraId="63D6207F" w14:textId="77777777" w:rsidR="00F1508E" w:rsidRPr="00E657EA" w:rsidRDefault="00F1508E" w:rsidP="00D075F6">
            <w:pPr>
              <w:pStyle w:val="NoSpacing"/>
              <w:jc w:val="center"/>
            </w:pPr>
            <w:r w:rsidRPr="00E657EA">
              <w:t>5.116</w:t>
            </w:r>
          </w:p>
        </w:tc>
      </w:tr>
      <w:tr w:rsidR="00F1508E" w:rsidRPr="00945104" w14:paraId="6D0C8CD2" w14:textId="77777777" w:rsidTr="00D075F6">
        <w:trPr>
          <w:trHeight w:val="243"/>
        </w:trPr>
        <w:tc>
          <w:tcPr>
            <w:tcW w:w="1843" w:type="dxa"/>
            <w:vAlign w:val="center"/>
          </w:tcPr>
          <w:p w14:paraId="0C1F8C26" w14:textId="77777777" w:rsidR="00F1508E" w:rsidRPr="00945104" w:rsidRDefault="00F1508E" w:rsidP="00D075F6">
            <w:pPr>
              <w:pStyle w:val="NoSpacing"/>
            </w:pPr>
          </w:p>
        </w:tc>
        <w:tc>
          <w:tcPr>
            <w:tcW w:w="992" w:type="dxa"/>
            <w:vAlign w:val="center"/>
          </w:tcPr>
          <w:p w14:paraId="31503EBC" w14:textId="77777777" w:rsidR="00F1508E" w:rsidRPr="00945104" w:rsidRDefault="00F1508E" w:rsidP="00D075F6">
            <w:pPr>
              <w:pStyle w:val="NoSpacing"/>
            </w:pPr>
          </w:p>
        </w:tc>
        <w:tc>
          <w:tcPr>
            <w:tcW w:w="2127" w:type="dxa"/>
            <w:vAlign w:val="center"/>
          </w:tcPr>
          <w:p w14:paraId="6E837D39" w14:textId="77777777" w:rsidR="00F1508E" w:rsidRPr="00945104" w:rsidRDefault="00F1508E" w:rsidP="00D075F6">
            <w:pPr>
              <w:pStyle w:val="NoSpacing"/>
            </w:pPr>
          </w:p>
        </w:tc>
        <w:tc>
          <w:tcPr>
            <w:tcW w:w="3118" w:type="dxa"/>
            <w:vAlign w:val="center"/>
          </w:tcPr>
          <w:p w14:paraId="4567E61F" w14:textId="77777777" w:rsidR="00F1508E" w:rsidRPr="00E657EA" w:rsidRDefault="00F1508E" w:rsidP="00D075F6">
            <w:pPr>
              <w:pStyle w:val="NoSpacing"/>
            </w:pPr>
            <w:r w:rsidRPr="00E657EA">
              <w:t>Community</w:t>
            </w:r>
          </w:p>
        </w:tc>
        <w:tc>
          <w:tcPr>
            <w:tcW w:w="425" w:type="dxa"/>
            <w:vAlign w:val="center"/>
          </w:tcPr>
          <w:p w14:paraId="3DF41B30" w14:textId="77777777" w:rsidR="00F1508E" w:rsidRPr="00E657EA" w:rsidRDefault="00F1508E" w:rsidP="00D075F6">
            <w:pPr>
              <w:pStyle w:val="NoSpacing"/>
              <w:jc w:val="center"/>
            </w:pPr>
            <w:r w:rsidRPr="00E657EA">
              <w:t>3</w:t>
            </w:r>
          </w:p>
        </w:tc>
        <w:tc>
          <w:tcPr>
            <w:tcW w:w="993" w:type="dxa"/>
            <w:vAlign w:val="center"/>
          </w:tcPr>
          <w:p w14:paraId="58C3D7CD" w14:textId="77777777" w:rsidR="00F1508E" w:rsidRPr="00E657EA" w:rsidRDefault="00F1508E" w:rsidP="00D075F6">
            <w:pPr>
              <w:pStyle w:val="NoSpacing"/>
              <w:jc w:val="center"/>
            </w:pPr>
            <w:r w:rsidRPr="00E657EA">
              <w:t>-0.20</w:t>
            </w:r>
          </w:p>
        </w:tc>
        <w:tc>
          <w:tcPr>
            <w:tcW w:w="1417" w:type="dxa"/>
            <w:vAlign w:val="center"/>
          </w:tcPr>
          <w:p w14:paraId="6C3ACBBB" w14:textId="77777777" w:rsidR="00F1508E" w:rsidRPr="00E657EA" w:rsidRDefault="00F1508E" w:rsidP="00D075F6">
            <w:pPr>
              <w:pStyle w:val="NoSpacing"/>
            </w:pPr>
            <w:r w:rsidRPr="00E657EA">
              <w:t>-0.96 to 0.56</w:t>
            </w:r>
          </w:p>
        </w:tc>
        <w:tc>
          <w:tcPr>
            <w:tcW w:w="851" w:type="dxa"/>
            <w:vAlign w:val="center"/>
          </w:tcPr>
          <w:p w14:paraId="26A6B33B" w14:textId="77777777" w:rsidR="00F1508E" w:rsidRPr="00E657EA" w:rsidRDefault="00F1508E" w:rsidP="00D075F6">
            <w:pPr>
              <w:pStyle w:val="NoSpacing"/>
              <w:jc w:val="center"/>
            </w:pPr>
            <w:r w:rsidRPr="00E657EA">
              <w:t>89.37</w:t>
            </w:r>
          </w:p>
        </w:tc>
        <w:tc>
          <w:tcPr>
            <w:tcW w:w="1417" w:type="dxa"/>
            <w:shd w:val="clear" w:color="auto" w:fill="auto"/>
            <w:vAlign w:val="center"/>
          </w:tcPr>
          <w:p w14:paraId="6436A04B" w14:textId="77777777" w:rsidR="00F1508E" w:rsidRPr="00E657EA" w:rsidRDefault="00F1508E" w:rsidP="00D075F6">
            <w:pPr>
              <w:pStyle w:val="NoSpacing"/>
              <w:jc w:val="center"/>
            </w:pPr>
          </w:p>
        </w:tc>
        <w:tc>
          <w:tcPr>
            <w:tcW w:w="851" w:type="dxa"/>
            <w:shd w:val="clear" w:color="auto" w:fill="auto"/>
            <w:vAlign w:val="center"/>
          </w:tcPr>
          <w:p w14:paraId="1EB0507D" w14:textId="77777777" w:rsidR="00F1508E" w:rsidRPr="00E657EA" w:rsidRDefault="00F1508E" w:rsidP="00D075F6">
            <w:pPr>
              <w:pStyle w:val="NoSpacing"/>
              <w:jc w:val="center"/>
            </w:pPr>
            <w:r w:rsidRPr="00E657EA">
              <w:t>8.471</w:t>
            </w:r>
          </w:p>
        </w:tc>
      </w:tr>
      <w:tr w:rsidR="00F1508E" w:rsidRPr="00945104" w14:paraId="6FC51378" w14:textId="77777777" w:rsidTr="00D075F6">
        <w:trPr>
          <w:trHeight w:val="243"/>
        </w:trPr>
        <w:tc>
          <w:tcPr>
            <w:tcW w:w="1843" w:type="dxa"/>
            <w:vAlign w:val="center"/>
          </w:tcPr>
          <w:p w14:paraId="15834416" w14:textId="77777777" w:rsidR="00F1508E" w:rsidRPr="00945104" w:rsidRDefault="00F1508E" w:rsidP="00D075F6">
            <w:pPr>
              <w:pStyle w:val="NoSpacing"/>
            </w:pPr>
          </w:p>
        </w:tc>
        <w:tc>
          <w:tcPr>
            <w:tcW w:w="992" w:type="dxa"/>
            <w:vAlign w:val="center"/>
          </w:tcPr>
          <w:p w14:paraId="67D7B3C4" w14:textId="77777777" w:rsidR="00F1508E" w:rsidRPr="00945104" w:rsidRDefault="00F1508E" w:rsidP="00D075F6">
            <w:pPr>
              <w:pStyle w:val="NoSpacing"/>
            </w:pPr>
          </w:p>
        </w:tc>
        <w:tc>
          <w:tcPr>
            <w:tcW w:w="2127" w:type="dxa"/>
            <w:vAlign w:val="center"/>
          </w:tcPr>
          <w:p w14:paraId="591853BF" w14:textId="77777777" w:rsidR="00F1508E" w:rsidRPr="00945104" w:rsidRDefault="00F1508E" w:rsidP="00D075F6">
            <w:pPr>
              <w:pStyle w:val="NoSpacing"/>
            </w:pPr>
            <w:r w:rsidRPr="00945104">
              <w:t>E</w:t>
            </w:r>
            <w:r w:rsidRPr="00945104">
              <w:noBreakHyphen/>
              <w:t>therapy</w:t>
            </w:r>
          </w:p>
        </w:tc>
        <w:tc>
          <w:tcPr>
            <w:tcW w:w="3118" w:type="dxa"/>
            <w:vAlign w:val="center"/>
          </w:tcPr>
          <w:p w14:paraId="1551B5A8" w14:textId="77777777" w:rsidR="00F1508E" w:rsidRPr="00E657EA" w:rsidRDefault="00F1508E" w:rsidP="00D075F6">
            <w:pPr>
              <w:pStyle w:val="NoSpacing"/>
            </w:pPr>
            <w:r w:rsidRPr="00E657EA">
              <w:t>Beating the Blues</w:t>
            </w:r>
          </w:p>
        </w:tc>
        <w:tc>
          <w:tcPr>
            <w:tcW w:w="425" w:type="dxa"/>
            <w:vAlign w:val="center"/>
          </w:tcPr>
          <w:p w14:paraId="7AB2BDC0" w14:textId="77777777" w:rsidR="00F1508E" w:rsidRPr="00E657EA" w:rsidRDefault="00F1508E" w:rsidP="00D075F6">
            <w:pPr>
              <w:pStyle w:val="NoSpacing"/>
              <w:jc w:val="center"/>
            </w:pPr>
            <w:r w:rsidRPr="00E657EA">
              <w:t>1</w:t>
            </w:r>
          </w:p>
        </w:tc>
        <w:tc>
          <w:tcPr>
            <w:tcW w:w="993" w:type="dxa"/>
            <w:vAlign w:val="center"/>
          </w:tcPr>
          <w:p w14:paraId="36267925" w14:textId="77777777" w:rsidR="00F1508E" w:rsidRPr="00E657EA" w:rsidRDefault="00F1508E" w:rsidP="00D075F6">
            <w:pPr>
              <w:pStyle w:val="NoSpacing"/>
              <w:jc w:val="center"/>
            </w:pPr>
            <w:r w:rsidRPr="00E657EA">
              <w:t>-0.08</w:t>
            </w:r>
          </w:p>
        </w:tc>
        <w:tc>
          <w:tcPr>
            <w:tcW w:w="1417" w:type="dxa"/>
            <w:vAlign w:val="center"/>
          </w:tcPr>
          <w:p w14:paraId="7D0246CC" w14:textId="77777777" w:rsidR="00F1508E" w:rsidRPr="00E657EA" w:rsidRDefault="00F1508E" w:rsidP="00D075F6">
            <w:pPr>
              <w:pStyle w:val="NoSpacing"/>
            </w:pPr>
            <w:r w:rsidRPr="00E657EA">
              <w:t>-</w:t>
            </w:r>
          </w:p>
        </w:tc>
        <w:tc>
          <w:tcPr>
            <w:tcW w:w="851" w:type="dxa"/>
            <w:vAlign w:val="center"/>
          </w:tcPr>
          <w:p w14:paraId="5B62EF74" w14:textId="77777777" w:rsidR="00F1508E" w:rsidRPr="00E657EA" w:rsidRDefault="00F1508E" w:rsidP="00D075F6">
            <w:pPr>
              <w:pStyle w:val="NoSpacing"/>
              <w:jc w:val="center"/>
            </w:pPr>
            <w:r w:rsidRPr="00E657EA">
              <w:t>-</w:t>
            </w:r>
          </w:p>
        </w:tc>
        <w:tc>
          <w:tcPr>
            <w:tcW w:w="1417" w:type="dxa"/>
            <w:vAlign w:val="center"/>
          </w:tcPr>
          <w:p w14:paraId="7D890BFB" w14:textId="77777777" w:rsidR="00F1508E" w:rsidRPr="00E657EA" w:rsidRDefault="00F1508E" w:rsidP="00D075F6">
            <w:pPr>
              <w:pStyle w:val="NoSpacing"/>
              <w:jc w:val="center"/>
            </w:pPr>
            <w:r w:rsidRPr="00E657EA">
              <w:t>-</w:t>
            </w:r>
          </w:p>
        </w:tc>
        <w:tc>
          <w:tcPr>
            <w:tcW w:w="851" w:type="dxa"/>
            <w:vAlign w:val="center"/>
          </w:tcPr>
          <w:p w14:paraId="0D9D8A08" w14:textId="77777777" w:rsidR="00F1508E" w:rsidRPr="00E657EA" w:rsidRDefault="00F1508E" w:rsidP="00D075F6">
            <w:pPr>
              <w:pStyle w:val="NoSpacing"/>
              <w:jc w:val="center"/>
            </w:pPr>
            <w:r w:rsidRPr="00E657EA">
              <w:t>22.167</w:t>
            </w:r>
          </w:p>
        </w:tc>
      </w:tr>
      <w:tr w:rsidR="00F1508E" w:rsidRPr="00945104" w14:paraId="380F3583" w14:textId="77777777" w:rsidTr="00D075F6">
        <w:trPr>
          <w:trHeight w:val="243"/>
        </w:trPr>
        <w:tc>
          <w:tcPr>
            <w:tcW w:w="1843" w:type="dxa"/>
            <w:vAlign w:val="center"/>
          </w:tcPr>
          <w:p w14:paraId="7688D621" w14:textId="77777777" w:rsidR="00F1508E" w:rsidRPr="00945104" w:rsidRDefault="00F1508E" w:rsidP="00D075F6">
            <w:pPr>
              <w:pStyle w:val="NoSpacing"/>
            </w:pPr>
          </w:p>
        </w:tc>
        <w:tc>
          <w:tcPr>
            <w:tcW w:w="992" w:type="dxa"/>
            <w:vAlign w:val="center"/>
          </w:tcPr>
          <w:p w14:paraId="7A8BB3C9" w14:textId="77777777" w:rsidR="00F1508E" w:rsidRPr="00945104" w:rsidRDefault="00F1508E" w:rsidP="00D075F6">
            <w:pPr>
              <w:pStyle w:val="NoSpacing"/>
            </w:pPr>
          </w:p>
        </w:tc>
        <w:tc>
          <w:tcPr>
            <w:tcW w:w="2127" w:type="dxa"/>
            <w:vAlign w:val="center"/>
          </w:tcPr>
          <w:p w14:paraId="5C7D1357" w14:textId="77777777" w:rsidR="00F1508E" w:rsidRPr="00945104" w:rsidRDefault="00F1508E" w:rsidP="00D075F6">
            <w:pPr>
              <w:pStyle w:val="NoSpacing"/>
            </w:pPr>
          </w:p>
        </w:tc>
        <w:tc>
          <w:tcPr>
            <w:tcW w:w="3118" w:type="dxa"/>
            <w:vAlign w:val="center"/>
          </w:tcPr>
          <w:p w14:paraId="455BCB0B" w14:textId="77777777" w:rsidR="00F1508E" w:rsidRPr="00E657EA" w:rsidRDefault="00F1508E" w:rsidP="00D075F6">
            <w:pPr>
              <w:pStyle w:val="NoSpacing"/>
            </w:pPr>
            <w:proofErr w:type="spellStart"/>
            <w:r w:rsidRPr="00E657EA">
              <w:t>MoodGYM</w:t>
            </w:r>
            <w:proofErr w:type="spellEnd"/>
          </w:p>
        </w:tc>
        <w:tc>
          <w:tcPr>
            <w:tcW w:w="425" w:type="dxa"/>
            <w:vAlign w:val="center"/>
          </w:tcPr>
          <w:p w14:paraId="6D89480D" w14:textId="77777777" w:rsidR="00F1508E" w:rsidRPr="00E657EA" w:rsidRDefault="00F1508E" w:rsidP="00D075F6">
            <w:pPr>
              <w:pStyle w:val="NoSpacing"/>
              <w:jc w:val="center"/>
            </w:pPr>
            <w:r w:rsidRPr="00E657EA">
              <w:t>4</w:t>
            </w:r>
          </w:p>
        </w:tc>
        <w:tc>
          <w:tcPr>
            <w:tcW w:w="993" w:type="dxa"/>
            <w:vAlign w:val="center"/>
          </w:tcPr>
          <w:p w14:paraId="469DF982" w14:textId="77777777" w:rsidR="00F1508E" w:rsidRPr="00E657EA" w:rsidRDefault="00F1508E" w:rsidP="00D075F6">
            <w:pPr>
              <w:pStyle w:val="NoSpacing"/>
              <w:jc w:val="center"/>
            </w:pPr>
            <w:r w:rsidRPr="00E657EA">
              <w:t>-0.10</w:t>
            </w:r>
          </w:p>
        </w:tc>
        <w:tc>
          <w:tcPr>
            <w:tcW w:w="1417" w:type="dxa"/>
            <w:vAlign w:val="center"/>
          </w:tcPr>
          <w:p w14:paraId="3579C186" w14:textId="77777777" w:rsidR="00F1508E" w:rsidRPr="00E657EA" w:rsidRDefault="00F1508E" w:rsidP="00D075F6">
            <w:pPr>
              <w:pStyle w:val="NoSpacing"/>
            </w:pPr>
            <w:r w:rsidRPr="00E657EA">
              <w:t>-0.60 to 0.39</w:t>
            </w:r>
          </w:p>
        </w:tc>
        <w:tc>
          <w:tcPr>
            <w:tcW w:w="851" w:type="dxa"/>
            <w:vAlign w:val="center"/>
          </w:tcPr>
          <w:p w14:paraId="1B020E98" w14:textId="77777777" w:rsidR="00F1508E" w:rsidRPr="00E657EA" w:rsidRDefault="00F1508E" w:rsidP="00D075F6">
            <w:pPr>
              <w:pStyle w:val="NoSpacing"/>
              <w:jc w:val="center"/>
            </w:pPr>
            <w:r w:rsidRPr="00E657EA">
              <w:t>84.05</w:t>
            </w:r>
          </w:p>
        </w:tc>
        <w:tc>
          <w:tcPr>
            <w:tcW w:w="1417" w:type="dxa"/>
            <w:shd w:val="clear" w:color="auto" w:fill="auto"/>
            <w:vAlign w:val="center"/>
          </w:tcPr>
          <w:p w14:paraId="38F699B0" w14:textId="77777777" w:rsidR="00F1508E" w:rsidRPr="00E657EA" w:rsidRDefault="00F1508E" w:rsidP="00D075F6">
            <w:pPr>
              <w:pStyle w:val="NoSpacing"/>
              <w:jc w:val="center"/>
            </w:pPr>
          </w:p>
        </w:tc>
        <w:tc>
          <w:tcPr>
            <w:tcW w:w="851" w:type="dxa"/>
            <w:shd w:val="clear" w:color="auto" w:fill="auto"/>
            <w:vAlign w:val="center"/>
          </w:tcPr>
          <w:p w14:paraId="6772BED1" w14:textId="77777777" w:rsidR="00F1508E" w:rsidRPr="00E657EA" w:rsidRDefault="00F1508E" w:rsidP="00D075F6">
            <w:pPr>
              <w:pStyle w:val="NoSpacing"/>
              <w:jc w:val="center"/>
            </w:pPr>
            <w:r w:rsidRPr="00E657EA">
              <w:t>17.739</w:t>
            </w:r>
          </w:p>
        </w:tc>
      </w:tr>
      <w:tr w:rsidR="00F1508E" w:rsidRPr="00945104" w14:paraId="1CD0B28B" w14:textId="77777777" w:rsidTr="00D075F6">
        <w:trPr>
          <w:trHeight w:val="243"/>
        </w:trPr>
        <w:tc>
          <w:tcPr>
            <w:tcW w:w="1843" w:type="dxa"/>
            <w:vAlign w:val="center"/>
          </w:tcPr>
          <w:p w14:paraId="3A84B769" w14:textId="77777777" w:rsidR="00F1508E" w:rsidRPr="00945104" w:rsidRDefault="00F1508E" w:rsidP="00D075F6">
            <w:pPr>
              <w:pStyle w:val="NoSpacing"/>
            </w:pPr>
          </w:p>
        </w:tc>
        <w:tc>
          <w:tcPr>
            <w:tcW w:w="992" w:type="dxa"/>
            <w:vAlign w:val="center"/>
          </w:tcPr>
          <w:p w14:paraId="107D024D" w14:textId="77777777" w:rsidR="00F1508E" w:rsidRPr="00945104" w:rsidRDefault="00F1508E" w:rsidP="00D075F6">
            <w:pPr>
              <w:pStyle w:val="NoSpacing"/>
            </w:pPr>
          </w:p>
        </w:tc>
        <w:tc>
          <w:tcPr>
            <w:tcW w:w="2127" w:type="dxa"/>
            <w:vAlign w:val="center"/>
          </w:tcPr>
          <w:p w14:paraId="26CDFE92" w14:textId="77777777" w:rsidR="00F1508E" w:rsidRPr="00945104" w:rsidRDefault="00F1508E" w:rsidP="00D075F6">
            <w:pPr>
              <w:pStyle w:val="NoSpacing"/>
            </w:pPr>
          </w:p>
        </w:tc>
        <w:tc>
          <w:tcPr>
            <w:tcW w:w="3118" w:type="dxa"/>
            <w:vAlign w:val="center"/>
          </w:tcPr>
          <w:p w14:paraId="47ABDC2A" w14:textId="77777777" w:rsidR="00F1508E" w:rsidRPr="00E657EA" w:rsidRDefault="00F1508E" w:rsidP="00D075F6">
            <w:pPr>
              <w:pStyle w:val="NoSpacing"/>
            </w:pPr>
            <w:r w:rsidRPr="00E657EA">
              <w:t>Other</w:t>
            </w:r>
          </w:p>
        </w:tc>
        <w:tc>
          <w:tcPr>
            <w:tcW w:w="425" w:type="dxa"/>
            <w:vAlign w:val="center"/>
          </w:tcPr>
          <w:p w14:paraId="272A08C8" w14:textId="77777777" w:rsidR="00F1508E" w:rsidRPr="00E657EA" w:rsidRDefault="00F1508E" w:rsidP="00D075F6">
            <w:pPr>
              <w:pStyle w:val="NoSpacing"/>
              <w:jc w:val="center"/>
            </w:pPr>
            <w:r w:rsidRPr="00E657EA">
              <w:t>2</w:t>
            </w:r>
          </w:p>
        </w:tc>
        <w:tc>
          <w:tcPr>
            <w:tcW w:w="993" w:type="dxa"/>
            <w:vAlign w:val="center"/>
          </w:tcPr>
          <w:p w14:paraId="129FAC1D" w14:textId="77777777" w:rsidR="00F1508E" w:rsidRPr="00E657EA" w:rsidRDefault="00F1508E" w:rsidP="00D075F6">
            <w:pPr>
              <w:pStyle w:val="NoSpacing"/>
              <w:jc w:val="center"/>
            </w:pPr>
            <w:r w:rsidRPr="00E657EA">
              <w:t>0.62</w:t>
            </w:r>
          </w:p>
        </w:tc>
        <w:tc>
          <w:tcPr>
            <w:tcW w:w="1417" w:type="dxa"/>
            <w:vAlign w:val="center"/>
          </w:tcPr>
          <w:p w14:paraId="129A84A4" w14:textId="77777777" w:rsidR="00F1508E" w:rsidRPr="00E657EA" w:rsidRDefault="00F1508E" w:rsidP="00D075F6">
            <w:pPr>
              <w:pStyle w:val="NoSpacing"/>
            </w:pPr>
            <w:r w:rsidRPr="00E657EA">
              <w:t>0.21 to 1.04</w:t>
            </w:r>
          </w:p>
        </w:tc>
        <w:tc>
          <w:tcPr>
            <w:tcW w:w="851" w:type="dxa"/>
            <w:vAlign w:val="center"/>
          </w:tcPr>
          <w:p w14:paraId="4CDF5295" w14:textId="77777777" w:rsidR="00F1508E" w:rsidRPr="00E657EA" w:rsidRDefault="00F1508E" w:rsidP="00D075F6">
            <w:pPr>
              <w:pStyle w:val="NoSpacing"/>
              <w:jc w:val="center"/>
            </w:pPr>
            <w:r w:rsidRPr="00E657EA">
              <w:t>10.66</w:t>
            </w:r>
          </w:p>
        </w:tc>
        <w:tc>
          <w:tcPr>
            <w:tcW w:w="1417" w:type="dxa"/>
            <w:shd w:val="clear" w:color="auto" w:fill="auto"/>
            <w:vAlign w:val="center"/>
          </w:tcPr>
          <w:p w14:paraId="2E6FF127" w14:textId="77777777" w:rsidR="00F1508E" w:rsidRPr="00E657EA" w:rsidRDefault="00F1508E" w:rsidP="00D075F6">
            <w:pPr>
              <w:pStyle w:val="NoSpacing"/>
              <w:jc w:val="center"/>
            </w:pPr>
          </w:p>
        </w:tc>
        <w:tc>
          <w:tcPr>
            <w:tcW w:w="851" w:type="dxa"/>
            <w:shd w:val="clear" w:color="auto" w:fill="auto"/>
            <w:vAlign w:val="center"/>
          </w:tcPr>
          <w:p w14:paraId="17832289" w14:textId="77777777" w:rsidR="00F1508E" w:rsidRPr="00E657EA" w:rsidRDefault="00F1508E" w:rsidP="00D075F6">
            <w:pPr>
              <w:pStyle w:val="NoSpacing"/>
              <w:jc w:val="center"/>
            </w:pPr>
            <w:r w:rsidRPr="00E657EA">
              <w:t>2.951</w:t>
            </w:r>
          </w:p>
        </w:tc>
      </w:tr>
      <w:tr w:rsidR="00F1508E" w:rsidRPr="00945104" w14:paraId="0AED2C53" w14:textId="77777777" w:rsidTr="00D075F6">
        <w:trPr>
          <w:trHeight w:val="243"/>
        </w:trPr>
        <w:tc>
          <w:tcPr>
            <w:tcW w:w="1843" w:type="dxa"/>
            <w:vAlign w:val="center"/>
          </w:tcPr>
          <w:p w14:paraId="0D5E50FF" w14:textId="77777777" w:rsidR="00F1508E" w:rsidRPr="00945104" w:rsidRDefault="00F1508E" w:rsidP="00D075F6">
            <w:pPr>
              <w:pStyle w:val="NoSpacing"/>
            </w:pPr>
          </w:p>
        </w:tc>
        <w:tc>
          <w:tcPr>
            <w:tcW w:w="992" w:type="dxa"/>
            <w:vAlign w:val="center"/>
          </w:tcPr>
          <w:p w14:paraId="7655F996" w14:textId="77777777" w:rsidR="00F1508E" w:rsidRPr="00945104" w:rsidRDefault="00F1508E" w:rsidP="00D075F6">
            <w:pPr>
              <w:pStyle w:val="NoSpacing"/>
            </w:pPr>
          </w:p>
        </w:tc>
        <w:tc>
          <w:tcPr>
            <w:tcW w:w="2127" w:type="dxa"/>
            <w:vAlign w:val="center"/>
          </w:tcPr>
          <w:p w14:paraId="5B54DD1C" w14:textId="77777777" w:rsidR="00F1508E" w:rsidRPr="00945104" w:rsidRDefault="00F1508E" w:rsidP="00D075F6">
            <w:pPr>
              <w:pStyle w:val="NoSpacing"/>
            </w:pPr>
            <w:r w:rsidRPr="00945104">
              <w:t>Typology</w:t>
            </w:r>
          </w:p>
        </w:tc>
        <w:tc>
          <w:tcPr>
            <w:tcW w:w="3118" w:type="dxa"/>
            <w:vAlign w:val="center"/>
          </w:tcPr>
          <w:p w14:paraId="61B3717B" w14:textId="77777777" w:rsidR="00F1508E" w:rsidRPr="00E657EA" w:rsidRDefault="00F1508E" w:rsidP="00D075F6">
            <w:pPr>
              <w:pStyle w:val="NoSpacing"/>
            </w:pPr>
            <w:r w:rsidRPr="00E657EA">
              <w:t>Minimal-contact therapy (2)</w:t>
            </w:r>
          </w:p>
        </w:tc>
        <w:tc>
          <w:tcPr>
            <w:tcW w:w="425" w:type="dxa"/>
            <w:vAlign w:val="center"/>
          </w:tcPr>
          <w:p w14:paraId="3C15749E" w14:textId="77777777" w:rsidR="00F1508E" w:rsidRPr="00E657EA" w:rsidRDefault="00F1508E" w:rsidP="00D075F6">
            <w:pPr>
              <w:pStyle w:val="NoSpacing"/>
              <w:jc w:val="center"/>
            </w:pPr>
            <w:r w:rsidRPr="00E657EA">
              <w:t>2</w:t>
            </w:r>
          </w:p>
        </w:tc>
        <w:tc>
          <w:tcPr>
            <w:tcW w:w="993" w:type="dxa"/>
            <w:vAlign w:val="center"/>
          </w:tcPr>
          <w:p w14:paraId="1E27B1AF" w14:textId="77777777" w:rsidR="00F1508E" w:rsidRPr="00E657EA" w:rsidRDefault="00F1508E" w:rsidP="00D075F6">
            <w:pPr>
              <w:pStyle w:val="NoSpacing"/>
              <w:jc w:val="center"/>
            </w:pPr>
            <w:r w:rsidRPr="00E657EA">
              <w:t>0.62</w:t>
            </w:r>
          </w:p>
        </w:tc>
        <w:tc>
          <w:tcPr>
            <w:tcW w:w="1417" w:type="dxa"/>
            <w:vAlign w:val="center"/>
          </w:tcPr>
          <w:p w14:paraId="73D849B5" w14:textId="77777777" w:rsidR="00F1508E" w:rsidRPr="00E657EA" w:rsidRDefault="00F1508E" w:rsidP="00D075F6">
            <w:pPr>
              <w:pStyle w:val="NoSpacing"/>
            </w:pPr>
            <w:r w:rsidRPr="00E657EA">
              <w:t>0.21 to 1.04</w:t>
            </w:r>
          </w:p>
        </w:tc>
        <w:tc>
          <w:tcPr>
            <w:tcW w:w="851" w:type="dxa"/>
            <w:vAlign w:val="center"/>
          </w:tcPr>
          <w:p w14:paraId="4B909B5D" w14:textId="77777777" w:rsidR="00F1508E" w:rsidRPr="00E657EA" w:rsidRDefault="00F1508E" w:rsidP="00D075F6">
            <w:pPr>
              <w:pStyle w:val="NoSpacing"/>
              <w:jc w:val="center"/>
            </w:pPr>
            <w:r w:rsidRPr="00E657EA">
              <w:t>10.66</w:t>
            </w:r>
          </w:p>
        </w:tc>
        <w:tc>
          <w:tcPr>
            <w:tcW w:w="1417" w:type="dxa"/>
            <w:shd w:val="clear" w:color="auto" w:fill="auto"/>
            <w:vAlign w:val="center"/>
          </w:tcPr>
          <w:p w14:paraId="05A52D4F" w14:textId="77777777" w:rsidR="00F1508E" w:rsidRPr="00E657EA" w:rsidRDefault="00F1508E" w:rsidP="00D075F6">
            <w:pPr>
              <w:pStyle w:val="NoSpacing"/>
              <w:jc w:val="center"/>
            </w:pPr>
            <w:r w:rsidRPr="00E657EA">
              <w:t>0.01**</w:t>
            </w:r>
          </w:p>
        </w:tc>
        <w:tc>
          <w:tcPr>
            <w:tcW w:w="851" w:type="dxa"/>
            <w:shd w:val="clear" w:color="auto" w:fill="auto"/>
            <w:vAlign w:val="center"/>
          </w:tcPr>
          <w:p w14:paraId="2CC7E01B" w14:textId="77777777" w:rsidR="00F1508E" w:rsidRPr="00E657EA" w:rsidRDefault="00F1508E" w:rsidP="00D075F6">
            <w:pPr>
              <w:pStyle w:val="NoSpacing"/>
              <w:jc w:val="center"/>
            </w:pPr>
            <w:r w:rsidRPr="00E657EA">
              <w:t>2.951</w:t>
            </w:r>
          </w:p>
        </w:tc>
      </w:tr>
      <w:tr w:rsidR="00F1508E" w:rsidRPr="00945104" w14:paraId="57119983" w14:textId="77777777" w:rsidTr="00D075F6">
        <w:trPr>
          <w:trHeight w:val="243"/>
        </w:trPr>
        <w:tc>
          <w:tcPr>
            <w:tcW w:w="1843" w:type="dxa"/>
            <w:vAlign w:val="center"/>
          </w:tcPr>
          <w:p w14:paraId="47CA2EB0" w14:textId="77777777" w:rsidR="00F1508E" w:rsidRPr="00945104" w:rsidRDefault="00F1508E" w:rsidP="00D075F6">
            <w:pPr>
              <w:pStyle w:val="NoSpacing"/>
            </w:pPr>
          </w:p>
        </w:tc>
        <w:tc>
          <w:tcPr>
            <w:tcW w:w="992" w:type="dxa"/>
            <w:vAlign w:val="center"/>
          </w:tcPr>
          <w:p w14:paraId="326DFB2B" w14:textId="77777777" w:rsidR="00F1508E" w:rsidRPr="00945104" w:rsidRDefault="00F1508E" w:rsidP="00D075F6">
            <w:pPr>
              <w:pStyle w:val="NoSpacing"/>
            </w:pPr>
          </w:p>
        </w:tc>
        <w:tc>
          <w:tcPr>
            <w:tcW w:w="2127" w:type="dxa"/>
            <w:vAlign w:val="center"/>
          </w:tcPr>
          <w:p w14:paraId="4049634F" w14:textId="77777777" w:rsidR="00F1508E" w:rsidRPr="00945104" w:rsidRDefault="00F1508E" w:rsidP="00D075F6">
            <w:pPr>
              <w:pStyle w:val="NoSpacing"/>
            </w:pPr>
          </w:p>
        </w:tc>
        <w:tc>
          <w:tcPr>
            <w:tcW w:w="3118" w:type="dxa"/>
            <w:vAlign w:val="center"/>
          </w:tcPr>
          <w:p w14:paraId="5A739A80" w14:textId="77777777" w:rsidR="00F1508E" w:rsidRPr="00E657EA" w:rsidRDefault="00F1508E" w:rsidP="00D075F6">
            <w:pPr>
              <w:pStyle w:val="NoSpacing"/>
            </w:pPr>
            <w:r w:rsidRPr="00E657EA">
              <w:t>Predominantly self-help (3)</w:t>
            </w:r>
          </w:p>
        </w:tc>
        <w:tc>
          <w:tcPr>
            <w:tcW w:w="425" w:type="dxa"/>
            <w:vAlign w:val="center"/>
          </w:tcPr>
          <w:p w14:paraId="1FFB014F" w14:textId="77777777" w:rsidR="00F1508E" w:rsidRPr="00E657EA" w:rsidRDefault="00F1508E" w:rsidP="00D075F6">
            <w:pPr>
              <w:pStyle w:val="NoSpacing"/>
              <w:jc w:val="center"/>
            </w:pPr>
            <w:r w:rsidRPr="00E657EA">
              <w:t>2</w:t>
            </w:r>
          </w:p>
        </w:tc>
        <w:tc>
          <w:tcPr>
            <w:tcW w:w="993" w:type="dxa"/>
            <w:vAlign w:val="center"/>
          </w:tcPr>
          <w:p w14:paraId="7B6E013F" w14:textId="77777777" w:rsidR="00F1508E" w:rsidRPr="00E657EA" w:rsidRDefault="00F1508E" w:rsidP="00D075F6">
            <w:pPr>
              <w:pStyle w:val="NoSpacing"/>
              <w:jc w:val="center"/>
            </w:pPr>
            <w:r w:rsidRPr="00E657EA">
              <w:t>-0.63</w:t>
            </w:r>
          </w:p>
        </w:tc>
        <w:tc>
          <w:tcPr>
            <w:tcW w:w="1417" w:type="dxa"/>
            <w:vAlign w:val="center"/>
          </w:tcPr>
          <w:p w14:paraId="4632CE04" w14:textId="77777777" w:rsidR="00F1508E" w:rsidRPr="00E657EA" w:rsidRDefault="00F1508E" w:rsidP="00D075F6">
            <w:pPr>
              <w:pStyle w:val="NoSpacing"/>
            </w:pPr>
            <w:r w:rsidRPr="00E657EA">
              <w:t>-2.00 to 0.74</w:t>
            </w:r>
          </w:p>
        </w:tc>
        <w:tc>
          <w:tcPr>
            <w:tcW w:w="851" w:type="dxa"/>
            <w:vAlign w:val="center"/>
          </w:tcPr>
          <w:p w14:paraId="26163A4F" w14:textId="77777777" w:rsidR="00F1508E" w:rsidRPr="00E657EA" w:rsidRDefault="00F1508E" w:rsidP="00D075F6">
            <w:pPr>
              <w:pStyle w:val="NoSpacing"/>
              <w:jc w:val="center"/>
            </w:pPr>
            <w:r w:rsidRPr="00E657EA">
              <w:t>93.74</w:t>
            </w:r>
          </w:p>
        </w:tc>
        <w:tc>
          <w:tcPr>
            <w:tcW w:w="1417" w:type="dxa"/>
            <w:shd w:val="clear" w:color="auto" w:fill="auto"/>
            <w:vAlign w:val="center"/>
          </w:tcPr>
          <w:p w14:paraId="3DC7ADC9" w14:textId="77777777" w:rsidR="00F1508E" w:rsidRPr="00E657EA" w:rsidRDefault="00F1508E" w:rsidP="00D075F6">
            <w:pPr>
              <w:pStyle w:val="NoSpacing"/>
              <w:jc w:val="center"/>
            </w:pPr>
          </w:p>
        </w:tc>
        <w:tc>
          <w:tcPr>
            <w:tcW w:w="851" w:type="dxa"/>
            <w:shd w:val="clear" w:color="auto" w:fill="auto"/>
            <w:vAlign w:val="center"/>
          </w:tcPr>
          <w:p w14:paraId="3062BDA1" w14:textId="77777777" w:rsidR="00F1508E" w:rsidRPr="00E657EA" w:rsidRDefault="00F1508E" w:rsidP="00D075F6">
            <w:pPr>
              <w:pStyle w:val="NoSpacing"/>
              <w:jc w:val="center"/>
            </w:pPr>
            <w:r w:rsidRPr="00E657EA">
              <w:t>-2.907</w:t>
            </w:r>
          </w:p>
        </w:tc>
      </w:tr>
      <w:tr w:rsidR="00F1508E" w:rsidRPr="00945104" w14:paraId="4CF80DEE" w14:textId="77777777" w:rsidTr="00D075F6">
        <w:trPr>
          <w:trHeight w:val="243"/>
        </w:trPr>
        <w:tc>
          <w:tcPr>
            <w:tcW w:w="1843" w:type="dxa"/>
            <w:vAlign w:val="center"/>
          </w:tcPr>
          <w:p w14:paraId="593B1021" w14:textId="77777777" w:rsidR="00F1508E" w:rsidRPr="00945104" w:rsidRDefault="00F1508E" w:rsidP="00D075F6">
            <w:pPr>
              <w:pStyle w:val="NoSpacing"/>
            </w:pPr>
          </w:p>
        </w:tc>
        <w:tc>
          <w:tcPr>
            <w:tcW w:w="992" w:type="dxa"/>
            <w:vAlign w:val="center"/>
          </w:tcPr>
          <w:p w14:paraId="49E69E26" w14:textId="77777777" w:rsidR="00F1508E" w:rsidRPr="00945104" w:rsidRDefault="00F1508E" w:rsidP="00D075F6">
            <w:pPr>
              <w:pStyle w:val="NoSpacing"/>
            </w:pPr>
          </w:p>
        </w:tc>
        <w:tc>
          <w:tcPr>
            <w:tcW w:w="2127" w:type="dxa"/>
            <w:vAlign w:val="center"/>
          </w:tcPr>
          <w:p w14:paraId="2F4E01AE" w14:textId="77777777" w:rsidR="00F1508E" w:rsidRPr="00945104" w:rsidRDefault="00F1508E" w:rsidP="00D075F6">
            <w:pPr>
              <w:pStyle w:val="NoSpacing"/>
            </w:pPr>
          </w:p>
        </w:tc>
        <w:tc>
          <w:tcPr>
            <w:tcW w:w="3118" w:type="dxa"/>
            <w:vAlign w:val="center"/>
          </w:tcPr>
          <w:p w14:paraId="5EA33CF0" w14:textId="77777777" w:rsidR="00F1508E" w:rsidRPr="00E657EA" w:rsidRDefault="00F1508E" w:rsidP="00D075F6">
            <w:pPr>
              <w:pStyle w:val="NoSpacing"/>
            </w:pPr>
            <w:r w:rsidRPr="00E657EA">
              <w:t>Self-administered therapy (4)</w:t>
            </w:r>
          </w:p>
        </w:tc>
        <w:tc>
          <w:tcPr>
            <w:tcW w:w="425" w:type="dxa"/>
            <w:vAlign w:val="center"/>
          </w:tcPr>
          <w:p w14:paraId="37659D07" w14:textId="77777777" w:rsidR="00F1508E" w:rsidRPr="00E657EA" w:rsidRDefault="00F1508E" w:rsidP="00D075F6">
            <w:pPr>
              <w:pStyle w:val="NoSpacing"/>
              <w:jc w:val="center"/>
            </w:pPr>
            <w:r w:rsidRPr="00E657EA">
              <w:t>3</w:t>
            </w:r>
          </w:p>
        </w:tc>
        <w:tc>
          <w:tcPr>
            <w:tcW w:w="993" w:type="dxa"/>
            <w:vAlign w:val="center"/>
          </w:tcPr>
          <w:p w14:paraId="5045E737" w14:textId="77777777" w:rsidR="00F1508E" w:rsidRPr="00E657EA" w:rsidRDefault="00F1508E" w:rsidP="00D075F6">
            <w:pPr>
              <w:pStyle w:val="NoSpacing"/>
              <w:jc w:val="center"/>
            </w:pPr>
            <w:r w:rsidRPr="00E657EA">
              <w:t>0.03</w:t>
            </w:r>
          </w:p>
        </w:tc>
        <w:tc>
          <w:tcPr>
            <w:tcW w:w="1417" w:type="dxa"/>
            <w:vAlign w:val="center"/>
          </w:tcPr>
          <w:p w14:paraId="24C4025F" w14:textId="77777777" w:rsidR="00F1508E" w:rsidRPr="00E657EA" w:rsidRDefault="00F1508E" w:rsidP="00D075F6">
            <w:pPr>
              <w:pStyle w:val="NoSpacing"/>
            </w:pPr>
            <w:r w:rsidRPr="00E657EA">
              <w:t>-0.06 to 0.12</w:t>
            </w:r>
          </w:p>
        </w:tc>
        <w:tc>
          <w:tcPr>
            <w:tcW w:w="851" w:type="dxa"/>
            <w:vAlign w:val="center"/>
          </w:tcPr>
          <w:p w14:paraId="0E9BC4BD" w14:textId="77777777" w:rsidR="00F1508E" w:rsidRPr="00E657EA" w:rsidRDefault="00F1508E" w:rsidP="00D075F6">
            <w:pPr>
              <w:pStyle w:val="NoSpacing"/>
              <w:jc w:val="center"/>
            </w:pPr>
            <w:r w:rsidRPr="00E657EA">
              <w:t>3.80</w:t>
            </w:r>
          </w:p>
        </w:tc>
        <w:tc>
          <w:tcPr>
            <w:tcW w:w="1417" w:type="dxa"/>
            <w:shd w:val="clear" w:color="auto" w:fill="auto"/>
            <w:vAlign w:val="center"/>
          </w:tcPr>
          <w:p w14:paraId="08D7526B" w14:textId="77777777" w:rsidR="00F1508E" w:rsidRPr="00E657EA" w:rsidRDefault="00F1508E" w:rsidP="00D075F6">
            <w:pPr>
              <w:pStyle w:val="NoSpacing"/>
              <w:jc w:val="center"/>
            </w:pPr>
          </w:p>
        </w:tc>
        <w:tc>
          <w:tcPr>
            <w:tcW w:w="851" w:type="dxa"/>
            <w:shd w:val="clear" w:color="auto" w:fill="auto"/>
            <w:vAlign w:val="center"/>
          </w:tcPr>
          <w:p w14:paraId="4781787C" w14:textId="77777777" w:rsidR="00F1508E" w:rsidRPr="00E657EA" w:rsidRDefault="00F1508E" w:rsidP="00D075F6">
            <w:pPr>
              <w:pStyle w:val="NoSpacing"/>
              <w:jc w:val="center"/>
            </w:pPr>
            <w:r w:rsidRPr="00E657EA">
              <w:t>59.085</w:t>
            </w:r>
          </w:p>
        </w:tc>
      </w:tr>
      <w:tr w:rsidR="00F1508E" w:rsidRPr="00945104" w14:paraId="72BEF091" w14:textId="77777777" w:rsidTr="00D075F6">
        <w:trPr>
          <w:trHeight w:val="243"/>
        </w:trPr>
        <w:tc>
          <w:tcPr>
            <w:tcW w:w="1843" w:type="dxa"/>
            <w:vAlign w:val="center"/>
          </w:tcPr>
          <w:p w14:paraId="633B37FA" w14:textId="77777777" w:rsidR="00F1508E" w:rsidRPr="00945104" w:rsidRDefault="00F1508E" w:rsidP="00D075F6">
            <w:pPr>
              <w:pStyle w:val="NoSpacing"/>
            </w:pPr>
            <w:r w:rsidRPr="00945104">
              <w:lastRenderedPageBreak/>
              <w:t>Follow-Up</w:t>
            </w:r>
          </w:p>
        </w:tc>
        <w:tc>
          <w:tcPr>
            <w:tcW w:w="992" w:type="dxa"/>
            <w:vAlign w:val="center"/>
          </w:tcPr>
          <w:p w14:paraId="71DF6DD3" w14:textId="77777777" w:rsidR="00F1508E" w:rsidRPr="00945104" w:rsidRDefault="00F1508E" w:rsidP="00D075F6">
            <w:pPr>
              <w:pStyle w:val="NoSpacing"/>
            </w:pPr>
            <w:r w:rsidRPr="00945104">
              <w:t>Passive</w:t>
            </w:r>
          </w:p>
        </w:tc>
        <w:tc>
          <w:tcPr>
            <w:tcW w:w="2127" w:type="dxa"/>
            <w:vAlign w:val="center"/>
          </w:tcPr>
          <w:p w14:paraId="23852919" w14:textId="77777777" w:rsidR="00F1508E" w:rsidRPr="00945104" w:rsidRDefault="00F1508E" w:rsidP="00D075F6">
            <w:pPr>
              <w:pStyle w:val="NoSpacing"/>
            </w:pPr>
            <w:r w:rsidRPr="00945104">
              <w:t>Recruitment setting</w:t>
            </w:r>
          </w:p>
        </w:tc>
        <w:tc>
          <w:tcPr>
            <w:tcW w:w="3118" w:type="dxa"/>
            <w:vAlign w:val="center"/>
          </w:tcPr>
          <w:p w14:paraId="468657DB" w14:textId="77777777" w:rsidR="00F1508E" w:rsidRPr="00E657EA" w:rsidRDefault="00F1508E" w:rsidP="00D075F6">
            <w:pPr>
              <w:pStyle w:val="NoSpacing"/>
            </w:pPr>
            <w:r w:rsidRPr="00E657EA">
              <w:t>Clinical</w:t>
            </w:r>
          </w:p>
        </w:tc>
        <w:tc>
          <w:tcPr>
            <w:tcW w:w="425" w:type="dxa"/>
            <w:vAlign w:val="center"/>
          </w:tcPr>
          <w:p w14:paraId="2AE55A1B" w14:textId="77777777" w:rsidR="00F1508E" w:rsidRPr="00E657EA" w:rsidRDefault="00F1508E" w:rsidP="00D075F6">
            <w:pPr>
              <w:pStyle w:val="NoSpacing"/>
              <w:jc w:val="center"/>
            </w:pPr>
            <w:r w:rsidRPr="00E657EA">
              <w:t>7</w:t>
            </w:r>
          </w:p>
        </w:tc>
        <w:tc>
          <w:tcPr>
            <w:tcW w:w="993" w:type="dxa"/>
            <w:vAlign w:val="center"/>
          </w:tcPr>
          <w:p w14:paraId="3BBE86B7" w14:textId="77777777" w:rsidR="00F1508E" w:rsidRPr="00E657EA" w:rsidRDefault="00F1508E" w:rsidP="00D075F6">
            <w:pPr>
              <w:pStyle w:val="NoSpacing"/>
              <w:jc w:val="center"/>
            </w:pPr>
            <w:r w:rsidRPr="00E657EA">
              <w:t>0.40</w:t>
            </w:r>
          </w:p>
        </w:tc>
        <w:tc>
          <w:tcPr>
            <w:tcW w:w="1417" w:type="dxa"/>
            <w:vAlign w:val="center"/>
          </w:tcPr>
          <w:p w14:paraId="1742EA35" w14:textId="77777777" w:rsidR="00F1508E" w:rsidRPr="00E657EA" w:rsidRDefault="00F1508E" w:rsidP="00D075F6">
            <w:pPr>
              <w:pStyle w:val="NoSpacing"/>
            </w:pPr>
            <w:r w:rsidRPr="00E657EA">
              <w:t>0.17 to 0.63</w:t>
            </w:r>
          </w:p>
        </w:tc>
        <w:tc>
          <w:tcPr>
            <w:tcW w:w="851" w:type="dxa"/>
            <w:vAlign w:val="center"/>
          </w:tcPr>
          <w:p w14:paraId="7D1FB0EB" w14:textId="77777777" w:rsidR="00F1508E" w:rsidRPr="00E657EA" w:rsidRDefault="00F1508E" w:rsidP="00D075F6">
            <w:pPr>
              <w:pStyle w:val="NoSpacing"/>
              <w:jc w:val="center"/>
            </w:pPr>
            <w:r w:rsidRPr="00E657EA">
              <w:t>76.44</w:t>
            </w:r>
          </w:p>
        </w:tc>
        <w:tc>
          <w:tcPr>
            <w:tcW w:w="1417" w:type="dxa"/>
            <w:vAlign w:val="center"/>
          </w:tcPr>
          <w:p w14:paraId="43D31404" w14:textId="77777777" w:rsidR="00F1508E" w:rsidRPr="00E657EA" w:rsidRDefault="00F1508E" w:rsidP="00D075F6">
            <w:pPr>
              <w:pStyle w:val="NoSpacing"/>
              <w:jc w:val="center"/>
            </w:pPr>
            <w:r w:rsidRPr="00E657EA">
              <w:t>0.08</w:t>
            </w:r>
          </w:p>
        </w:tc>
        <w:tc>
          <w:tcPr>
            <w:tcW w:w="851" w:type="dxa"/>
            <w:vAlign w:val="center"/>
          </w:tcPr>
          <w:p w14:paraId="13B3C5FB" w14:textId="77777777" w:rsidR="00F1508E" w:rsidRPr="00E657EA" w:rsidRDefault="00F1508E" w:rsidP="00D075F6">
            <w:pPr>
              <w:pStyle w:val="NoSpacing"/>
              <w:jc w:val="center"/>
            </w:pPr>
            <w:r w:rsidRPr="00E657EA">
              <w:t>4.49</w:t>
            </w:r>
          </w:p>
        </w:tc>
      </w:tr>
      <w:tr w:rsidR="00F1508E" w:rsidRPr="00945104" w14:paraId="6355EE21" w14:textId="77777777" w:rsidTr="00D075F6">
        <w:trPr>
          <w:trHeight w:val="243"/>
        </w:trPr>
        <w:tc>
          <w:tcPr>
            <w:tcW w:w="1843" w:type="dxa"/>
            <w:vAlign w:val="center"/>
          </w:tcPr>
          <w:p w14:paraId="221FE855" w14:textId="77777777" w:rsidR="00F1508E" w:rsidRPr="00945104" w:rsidRDefault="00F1508E" w:rsidP="00D075F6">
            <w:pPr>
              <w:pStyle w:val="NoSpacing"/>
            </w:pPr>
          </w:p>
        </w:tc>
        <w:tc>
          <w:tcPr>
            <w:tcW w:w="992" w:type="dxa"/>
            <w:vAlign w:val="center"/>
          </w:tcPr>
          <w:p w14:paraId="3D20CFE2" w14:textId="77777777" w:rsidR="00F1508E" w:rsidRPr="00945104" w:rsidRDefault="00F1508E" w:rsidP="00D075F6">
            <w:pPr>
              <w:pStyle w:val="NoSpacing"/>
            </w:pPr>
          </w:p>
        </w:tc>
        <w:tc>
          <w:tcPr>
            <w:tcW w:w="2127" w:type="dxa"/>
            <w:vAlign w:val="center"/>
          </w:tcPr>
          <w:p w14:paraId="2ED3E420" w14:textId="77777777" w:rsidR="00F1508E" w:rsidRPr="00945104" w:rsidRDefault="00F1508E" w:rsidP="00D075F6">
            <w:pPr>
              <w:pStyle w:val="NoSpacing"/>
            </w:pPr>
          </w:p>
        </w:tc>
        <w:tc>
          <w:tcPr>
            <w:tcW w:w="3118" w:type="dxa"/>
            <w:vAlign w:val="center"/>
          </w:tcPr>
          <w:p w14:paraId="11E35CFF" w14:textId="77777777" w:rsidR="00F1508E" w:rsidRPr="00E657EA" w:rsidRDefault="00F1508E" w:rsidP="00D075F6">
            <w:pPr>
              <w:pStyle w:val="NoSpacing"/>
            </w:pPr>
            <w:r w:rsidRPr="00E657EA">
              <w:t>Community</w:t>
            </w:r>
          </w:p>
        </w:tc>
        <w:tc>
          <w:tcPr>
            <w:tcW w:w="425" w:type="dxa"/>
            <w:vAlign w:val="center"/>
          </w:tcPr>
          <w:p w14:paraId="5A734D0B" w14:textId="77777777" w:rsidR="00F1508E" w:rsidRPr="00E657EA" w:rsidRDefault="00F1508E" w:rsidP="00D075F6">
            <w:pPr>
              <w:pStyle w:val="NoSpacing"/>
              <w:jc w:val="center"/>
            </w:pPr>
            <w:r w:rsidRPr="00E657EA">
              <w:t>2</w:t>
            </w:r>
          </w:p>
        </w:tc>
        <w:tc>
          <w:tcPr>
            <w:tcW w:w="993" w:type="dxa"/>
            <w:vAlign w:val="center"/>
          </w:tcPr>
          <w:p w14:paraId="145F97DC" w14:textId="77777777" w:rsidR="00F1508E" w:rsidRPr="00E657EA" w:rsidRDefault="00F1508E" w:rsidP="00D075F6">
            <w:pPr>
              <w:pStyle w:val="NoSpacing"/>
              <w:jc w:val="center"/>
            </w:pPr>
            <w:r w:rsidRPr="00E657EA">
              <w:t>-0.02</w:t>
            </w:r>
          </w:p>
        </w:tc>
        <w:tc>
          <w:tcPr>
            <w:tcW w:w="1417" w:type="dxa"/>
            <w:vAlign w:val="center"/>
          </w:tcPr>
          <w:p w14:paraId="325185E0" w14:textId="77777777" w:rsidR="00F1508E" w:rsidRPr="00E657EA" w:rsidRDefault="00F1508E" w:rsidP="00D075F6">
            <w:pPr>
              <w:pStyle w:val="NoSpacing"/>
            </w:pPr>
            <w:r w:rsidRPr="00E657EA">
              <w:t>-0.43 to 0.39</w:t>
            </w:r>
          </w:p>
        </w:tc>
        <w:tc>
          <w:tcPr>
            <w:tcW w:w="851" w:type="dxa"/>
            <w:vAlign w:val="center"/>
          </w:tcPr>
          <w:p w14:paraId="7C89A9A1" w14:textId="77777777" w:rsidR="00F1508E" w:rsidRPr="00E657EA" w:rsidRDefault="00F1508E" w:rsidP="00D075F6">
            <w:pPr>
              <w:pStyle w:val="NoSpacing"/>
              <w:jc w:val="center"/>
            </w:pPr>
            <w:r w:rsidRPr="00E657EA">
              <w:t>92.23</w:t>
            </w:r>
          </w:p>
        </w:tc>
        <w:tc>
          <w:tcPr>
            <w:tcW w:w="1417" w:type="dxa"/>
            <w:shd w:val="clear" w:color="auto" w:fill="auto"/>
            <w:vAlign w:val="center"/>
          </w:tcPr>
          <w:p w14:paraId="483D7BBA" w14:textId="77777777" w:rsidR="00F1508E" w:rsidRPr="00E657EA" w:rsidRDefault="00F1508E" w:rsidP="00D075F6">
            <w:pPr>
              <w:pStyle w:val="NoSpacing"/>
              <w:jc w:val="center"/>
            </w:pPr>
          </w:p>
        </w:tc>
        <w:tc>
          <w:tcPr>
            <w:tcW w:w="851" w:type="dxa"/>
            <w:shd w:val="clear" w:color="auto" w:fill="auto"/>
            <w:vAlign w:val="center"/>
          </w:tcPr>
          <w:p w14:paraId="79C05A52" w14:textId="77777777" w:rsidR="00F1508E" w:rsidRPr="00E657EA" w:rsidRDefault="00F1508E" w:rsidP="00D075F6">
            <w:pPr>
              <w:pStyle w:val="NoSpacing"/>
              <w:jc w:val="center"/>
            </w:pPr>
            <w:r w:rsidRPr="00E657EA">
              <w:t>88.623</w:t>
            </w:r>
          </w:p>
        </w:tc>
      </w:tr>
      <w:tr w:rsidR="00F1508E" w:rsidRPr="00945104" w14:paraId="070786C3" w14:textId="77777777" w:rsidTr="00D075F6">
        <w:trPr>
          <w:trHeight w:val="243"/>
        </w:trPr>
        <w:tc>
          <w:tcPr>
            <w:tcW w:w="1843" w:type="dxa"/>
            <w:vAlign w:val="center"/>
          </w:tcPr>
          <w:p w14:paraId="729D4905" w14:textId="77777777" w:rsidR="00F1508E" w:rsidRPr="00945104" w:rsidRDefault="00F1508E" w:rsidP="00D075F6">
            <w:pPr>
              <w:pStyle w:val="NoSpacing"/>
            </w:pPr>
          </w:p>
        </w:tc>
        <w:tc>
          <w:tcPr>
            <w:tcW w:w="992" w:type="dxa"/>
            <w:vAlign w:val="center"/>
          </w:tcPr>
          <w:p w14:paraId="17072746" w14:textId="77777777" w:rsidR="00F1508E" w:rsidRPr="00945104" w:rsidRDefault="00F1508E" w:rsidP="00D075F6">
            <w:pPr>
              <w:pStyle w:val="NoSpacing"/>
            </w:pPr>
          </w:p>
        </w:tc>
        <w:tc>
          <w:tcPr>
            <w:tcW w:w="2127" w:type="dxa"/>
            <w:vAlign w:val="center"/>
          </w:tcPr>
          <w:p w14:paraId="087A75FC" w14:textId="77777777" w:rsidR="00F1508E" w:rsidRPr="00945104" w:rsidRDefault="00F1508E" w:rsidP="00D075F6">
            <w:pPr>
              <w:pStyle w:val="NoSpacing"/>
            </w:pPr>
            <w:r w:rsidRPr="00945104">
              <w:t>E</w:t>
            </w:r>
            <w:r w:rsidRPr="00945104">
              <w:noBreakHyphen/>
              <w:t>therapy</w:t>
            </w:r>
          </w:p>
        </w:tc>
        <w:tc>
          <w:tcPr>
            <w:tcW w:w="3118" w:type="dxa"/>
            <w:vAlign w:val="center"/>
          </w:tcPr>
          <w:p w14:paraId="5D0CF7F2" w14:textId="77777777" w:rsidR="00F1508E" w:rsidRPr="00E657EA" w:rsidRDefault="00F1508E" w:rsidP="00D075F6">
            <w:pPr>
              <w:pStyle w:val="NoSpacing"/>
            </w:pPr>
            <w:r w:rsidRPr="00E657EA">
              <w:t>Beating the Blues</w:t>
            </w:r>
          </w:p>
        </w:tc>
        <w:tc>
          <w:tcPr>
            <w:tcW w:w="425" w:type="dxa"/>
            <w:vAlign w:val="center"/>
          </w:tcPr>
          <w:p w14:paraId="5590EFFB" w14:textId="77777777" w:rsidR="00F1508E" w:rsidRPr="00E657EA" w:rsidRDefault="00F1508E" w:rsidP="00D075F6">
            <w:pPr>
              <w:pStyle w:val="NoSpacing"/>
              <w:jc w:val="center"/>
            </w:pPr>
            <w:r w:rsidRPr="00E657EA">
              <w:t>4</w:t>
            </w:r>
          </w:p>
        </w:tc>
        <w:tc>
          <w:tcPr>
            <w:tcW w:w="993" w:type="dxa"/>
            <w:vAlign w:val="center"/>
          </w:tcPr>
          <w:p w14:paraId="34534DB2" w14:textId="77777777" w:rsidR="00F1508E" w:rsidRPr="00E657EA" w:rsidRDefault="00F1508E" w:rsidP="00D075F6">
            <w:pPr>
              <w:pStyle w:val="NoSpacing"/>
              <w:jc w:val="center"/>
            </w:pPr>
            <w:r w:rsidRPr="00E657EA">
              <w:t>0.32</w:t>
            </w:r>
          </w:p>
        </w:tc>
        <w:tc>
          <w:tcPr>
            <w:tcW w:w="1417" w:type="dxa"/>
            <w:vAlign w:val="center"/>
          </w:tcPr>
          <w:p w14:paraId="7AD87383" w14:textId="77777777" w:rsidR="00F1508E" w:rsidRPr="00E657EA" w:rsidRDefault="00F1508E" w:rsidP="00D075F6">
            <w:pPr>
              <w:pStyle w:val="NoSpacing"/>
            </w:pPr>
            <w:r w:rsidRPr="00E657EA">
              <w:t>0.09 to 0.55</w:t>
            </w:r>
          </w:p>
        </w:tc>
        <w:tc>
          <w:tcPr>
            <w:tcW w:w="851" w:type="dxa"/>
            <w:vAlign w:val="center"/>
          </w:tcPr>
          <w:p w14:paraId="5CD45E3A" w14:textId="77777777" w:rsidR="00F1508E" w:rsidRPr="00E657EA" w:rsidRDefault="00F1508E" w:rsidP="00D075F6">
            <w:pPr>
              <w:pStyle w:val="NoSpacing"/>
              <w:jc w:val="center"/>
            </w:pPr>
            <w:r w:rsidRPr="00E657EA">
              <w:t>65.87</w:t>
            </w:r>
          </w:p>
        </w:tc>
        <w:tc>
          <w:tcPr>
            <w:tcW w:w="1417" w:type="dxa"/>
            <w:vAlign w:val="center"/>
          </w:tcPr>
          <w:p w14:paraId="5A2FB7CD" w14:textId="77777777" w:rsidR="00F1508E" w:rsidRPr="00E657EA" w:rsidRDefault="00F1508E" w:rsidP="00D075F6">
            <w:pPr>
              <w:pStyle w:val="NoSpacing"/>
              <w:jc w:val="center"/>
            </w:pPr>
            <w:r w:rsidRPr="00E657EA">
              <w:t>-</w:t>
            </w:r>
          </w:p>
        </w:tc>
        <w:tc>
          <w:tcPr>
            <w:tcW w:w="851" w:type="dxa"/>
            <w:vAlign w:val="center"/>
          </w:tcPr>
          <w:p w14:paraId="73AB206A" w14:textId="77777777" w:rsidR="00F1508E" w:rsidRPr="00E657EA" w:rsidRDefault="00F1508E" w:rsidP="00D075F6">
            <w:pPr>
              <w:pStyle w:val="NoSpacing"/>
              <w:jc w:val="center"/>
            </w:pPr>
            <w:r w:rsidRPr="00E657EA">
              <w:t>5.586</w:t>
            </w:r>
          </w:p>
        </w:tc>
      </w:tr>
      <w:tr w:rsidR="00F1508E" w:rsidRPr="00945104" w14:paraId="3E94D9CB" w14:textId="77777777" w:rsidTr="00D075F6">
        <w:trPr>
          <w:trHeight w:val="243"/>
        </w:trPr>
        <w:tc>
          <w:tcPr>
            <w:tcW w:w="1843" w:type="dxa"/>
            <w:vAlign w:val="center"/>
          </w:tcPr>
          <w:p w14:paraId="46C98AE1" w14:textId="77777777" w:rsidR="00F1508E" w:rsidRPr="00945104" w:rsidRDefault="00F1508E" w:rsidP="00D075F6">
            <w:pPr>
              <w:pStyle w:val="NoSpacing"/>
            </w:pPr>
          </w:p>
        </w:tc>
        <w:tc>
          <w:tcPr>
            <w:tcW w:w="992" w:type="dxa"/>
            <w:vAlign w:val="center"/>
          </w:tcPr>
          <w:p w14:paraId="3CE1C1BD" w14:textId="77777777" w:rsidR="00F1508E" w:rsidRPr="00945104" w:rsidRDefault="00F1508E" w:rsidP="00D075F6">
            <w:pPr>
              <w:pStyle w:val="NoSpacing"/>
            </w:pPr>
          </w:p>
        </w:tc>
        <w:tc>
          <w:tcPr>
            <w:tcW w:w="2127" w:type="dxa"/>
            <w:vAlign w:val="center"/>
          </w:tcPr>
          <w:p w14:paraId="3BD24DFF" w14:textId="77777777" w:rsidR="00F1508E" w:rsidRPr="00945104" w:rsidRDefault="00F1508E" w:rsidP="00D075F6">
            <w:pPr>
              <w:pStyle w:val="NoSpacing"/>
            </w:pPr>
          </w:p>
        </w:tc>
        <w:tc>
          <w:tcPr>
            <w:tcW w:w="3118" w:type="dxa"/>
            <w:vAlign w:val="center"/>
          </w:tcPr>
          <w:p w14:paraId="0E06FD6A" w14:textId="77777777" w:rsidR="00F1508E" w:rsidRPr="00E657EA" w:rsidRDefault="00F1508E" w:rsidP="00D075F6">
            <w:pPr>
              <w:pStyle w:val="NoSpacing"/>
            </w:pPr>
            <w:proofErr w:type="spellStart"/>
            <w:r w:rsidRPr="00E657EA">
              <w:t>MoodGYM</w:t>
            </w:r>
            <w:proofErr w:type="spellEnd"/>
          </w:p>
        </w:tc>
        <w:tc>
          <w:tcPr>
            <w:tcW w:w="425" w:type="dxa"/>
            <w:vAlign w:val="center"/>
          </w:tcPr>
          <w:p w14:paraId="3D3493D0" w14:textId="77777777" w:rsidR="00F1508E" w:rsidRPr="00E657EA" w:rsidRDefault="00F1508E" w:rsidP="00D075F6">
            <w:pPr>
              <w:pStyle w:val="NoSpacing"/>
              <w:jc w:val="center"/>
            </w:pPr>
            <w:r w:rsidRPr="00E657EA">
              <w:t>4</w:t>
            </w:r>
          </w:p>
        </w:tc>
        <w:tc>
          <w:tcPr>
            <w:tcW w:w="993" w:type="dxa"/>
            <w:vAlign w:val="center"/>
          </w:tcPr>
          <w:p w14:paraId="25177745" w14:textId="77777777" w:rsidR="00F1508E" w:rsidRPr="00E657EA" w:rsidRDefault="00F1508E" w:rsidP="00D075F6">
            <w:pPr>
              <w:pStyle w:val="NoSpacing"/>
              <w:jc w:val="center"/>
            </w:pPr>
            <w:r w:rsidRPr="00E657EA">
              <w:t>0.22</w:t>
            </w:r>
          </w:p>
        </w:tc>
        <w:tc>
          <w:tcPr>
            <w:tcW w:w="1417" w:type="dxa"/>
            <w:vAlign w:val="center"/>
          </w:tcPr>
          <w:p w14:paraId="10474A57" w14:textId="77777777" w:rsidR="00F1508E" w:rsidRPr="00E657EA" w:rsidRDefault="00F1508E" w:rsidP="00D075F6">
            <w:pPr>
              <w:pStyle w:val="NoSpacing"/>
            </w:pPr>
            <w:r w:rsidRPr="00E657EA">
              <w:t>-0.25 to 0.69</w:t>
            </w:r>
          </w:p>
        </w:tc>
        <w:tc>
          <w:tcPr>
            <w:tcW w:w="851" w:type="dxa"/>
            <w:vAlign w:val="center"/>
          </w:tcPr>
          <w:p w14:paraId="19FBAEE5" w14:textId="77777777" w:rsidR="00F1508E" w:rsidRPr="00E657EA" w:rsidRDefault="00F1508E" w:rsidP="00D075F6">
            <w:pPr>
              <w:pStyle w:val="NoSpacing"/>
              <w:jc w:val="center"/>
            </w:pPr>
            <w:r w:rsidRPr="00E657EA">
              <w:t>94.24</w:t>
            </w:r>
          </w:p>
        </w:tc>
        <w:tc>
          <w:tcPr>
            <w:tcW w:w="1417" w:type="dxa"/>
            <w:shd w:val="clear" w:color="auto" w:fill="auto"/>
            <w:vAlign w:val="center"/>
          </w:tcPr>
          <w:p w14:paraId="67713F03" w14:textId="77777777" w:rsidR="00F1508E" w:rsidRPr="00E657EA" w:rsidRDefault="00F1508E" w:rsidP="00D075F6">
            <w:pPr>
              <w:pStyle w:val="NoSpacing"/>
              <w:jc w:val="center"/>
            </w:pPr>
          </w:p>
        </w:tc>
        <w:tc>
          <w:tcPr>
            <w:tcW w:w="851" w:type="dxa"/>
            <w:shd w:val="clear" w:color="auto" w:fill="auto"/>
            <w:vAlign w:val="center"/>
          </w:tcPr>
          <w:p w14:paraId="7E8B3C4A" w14:textId="77777777" w:rsidR="00F1508E" w:rsidRPr="00E657EA" w:rsidRDefault="00F1508E" w:rsidP="00D075F6">
            <w:pPr>
              <w:pStyle w:val="NoSpacing"/>
              <w:jc w:val="center"/>
            </w:pPr>
            <w:r w:rsidRPr="00E657EA">
              <w:t>8.089</w:t>
            </w:r>
          </w:p>
        </w:tc>
      </w:tr>
      <w:tr w:rsidR="00F1508E" w:rsidRPr="00945104" w14:paraId="52DBF8FE" w14:textId="77777777" w:rsidTr="00D075F6">
        <w:trPr>
          <w:trHeight w:val="243"/>
        </w:trPr>
        <w:tc>
          <w:tcPr>
            <w:tcW w:w="1843" w:type="dxa"/>
            <w:vAlign w:val="center"/>
          </w:tcPr>
          <w:p w14:paraId="6F7424C6" w14:textId="77777777" w:rsidR="00F1508E" w:rsidRPr="00945104" w:rsidRDefault="00F1508E" w:rsidP="00D075F6">
            <w:pPr>
              <w:pStyle w:val="NoSpacing"/>
            </w:pPr>
          </w:p>
        </w:tc>
        <w:tc>
          <w:tcPr>
            <w:tcW w:w="992" w:type="dxa"/>
            <w:vAlign w:val="center"/>
          </w:tcPr>
          <w:p w14:paraId="55B3AC93" w14:textId="77777777" w:rsidR="00F1508E" w:rsidRPr="00945104" w:rsidRDefault="00F1508E" w:rsidP="00D075F6">
            <w:pPr>
              <w:pStyle w:val="NoSpacing"/>
            </w:pPr>
          </w:p>
        </w:tc>
        <w:tc>
          <w:tcPr>
            <w:tcW w:w="2127" w:type="dxa"/>
            <w:vAlign w:val="center"/>
          </w:tcPr>
          <w:p w14:paraId="68F06BED" w14:textId="77777777" w:rsidR="00F1508E" w:rsidRPr="00945104" w:rsidRDefault="00F1508E" w:rsidP="00D075F6">
            <w:pPr>
              <w:pStyle w:val="NoSpacing"/>
            </w:pPr>
          </w:p>
        </w:tc>
        <w:tc>
          <w:tcPr>
            <w:tcW w:w="3118" w:type="dxa"/>
            <w:vAlign w:val="center"/>
          </w:tcPr>
          <w:p w14:paraId="6A694BD8" w14:textId="77777777" w:rsidR="00F1508E" w:rsidRPr="00E657EA" w:rsidRDefault="00F1508E" w:rsidP="00D075F6">
            <w:pPr>
              <w:pStyle w:val="NoSpacing"/>
            </w:pPr>
            <w:r w:rsidRPr="00E657EA">
              <w:t>Other</w:t>
            </w:r>
          </w:p>
        </w:tc>
        <w:tc>
          <w:tcPr>
            <w:tcW w:w="425" w:type="dxa"/>
            <w:vAlign w:val="center"/>
          </w:tcPr>
          <w:p w14:paraId="648F9B1F" w14:textId="77777777" w:rsidR="00F1508E" w:rsidRPr="00E657EA" w:rsidRDefault="00F1508E" w:rsidP="00D075F6">
            <w:pPr>
              <w:pStyle w:val="NoSpacing"/>
              <w:jc w:val="center"/>
            </w:pPr>
            <w:r w:rsidRPr="00E657EA">
              <w:t>1</w:t>
            </w:r>
          </w:p>
        </w:tc>
        <w:tc>
          <w:tcPr>
            <w:tcW w:w="993" w:type="dxa"/>
            <w:vAlign w:val="center"/>
          </w:tcPr>
          <w:p w14:paraId="743EE58D" w14:textId="77777777" w:rsidR="00F1508E" w:rsidRPr="00E657EA" w:rsidRDefault="00F1508E" w:rsidP="00D075F6">
            <w:pPr>
              <w:pStyle w:val="NoSpacing"/>
              <w:jc w:val="center"/>
            </w:pPr>
            <w:r w:rsidRPr="00E657EA">
              <w:t>0.55</w:t>
            </w:r>
          </w:p>
        </w:tc>
        <w:tc>
          <w:tcPr>
            <w:tcW w:w="1417" w:type="dxa"/>
            <w:vAlign w:val="center"/>
          </w:tcPr>
          <w:p w14:paraId="2BF944A4" w14:textId="77777777" w:rsidR="00F1508E" w:rsidRPr="00E657EA" w:rsidRDefault="00F1508E" w:rsidP="00D075F6">
            <w:pPr>
              <w:pStyle w:val="NoSpacing"/>
            </w:pPr>
            <w:r w:rsidRPr="00E657EA">
              <w:t>-</w:t>
            </w:r>
          </w:p>
        </w:tc>
        <w:tc>
          <w:tcPr>
            <w:tcW w:w="851" w:type="dxa"/>
            <w:vAlign w:val="center"/>
          </w:tcPr>
          <w:p w14:paraId="14CB0925" w14:textId="77777777" w:rsidR="00F1508E" w:rsidRPr="00E657EA" w:rsidRDefault="00F1508E" w:rsidP="00D075F6">
            <w:pPr>
              <w:pStyle w:val="NoSpacing"/>
              <w:jc w:val="center"/>
            </w:pPr>
            <w:r w:rsidRPr="00E657EA">
              <w:t>-</w:t>
            </w:r>
          </w:p>
        </w:tc>
        <w:tc>
          <w:tcPr>
            <w:tcW w:w="1417" w:type="dxa"/>
            <w:shd w:val="clear" w:color="auto" w:fill="auto"/>
            <w:vAlign w:val="center"/>
          </w:tcPr>
          <w:p w14:paraId="4C2A8172" w14:textId="77777777" w:rsidR="00F1508E" w:rsidRPr="00E657EA" w:rsidRDefault="00F1508E" w:rsidP="00D075F6">
            <w:pPr>
              <w:pStyle w:val="NoSpacing"/>
              <w:jc w:val="center"/>
            </w:pPr>
          </w:p>
        </w:tc>
        <w:tc>
          <w:tcPr>
            <w:tcW w:w="851" w:type="dxa"/>
            <w:shd w:val="clear" w:color="auto" w:fill="auto"/>
            <w:vAlign w:val="center"/>
          </w:tcPr>
          <w:p w14:paraId="15B4C450" w14:textId="77777777" w:rsidR="00F1508E" w:rsidRPr="00E657EA" w:rsidRDefault="00F1508E" w:rsidP="00D075F6">
            <w:pPr>
              <w:pStyle w:val="NoSpacing"/>
              <w:jc w:val="center"/>
            </w:pPr>
            <w:r w:rsidRPr="00E657EA">
              <w:t>3.304</w:t>
            </w:r>
          </w:p>
        </w:tc>
      </w:tr>
      <w:tr w:rsidR="00F1508E" w:rsidRPr="00945104" w14:paraId="792C70E8" w14:textId="77777777" w:rsidTr="00D075F6">
        <w:trPr>
          <w:trHeight w:val="243"/>
        </w:trPr>
        <w:tc>
          <w:tcPr>
            <w:tcW w:w="1843" w:type="dxa"/>
            <w:vAlign w:val="center"/>
          </w:tcPr>
          <w:p w14:paraId="5BEC107F" w14:textId="77777777" w:rsidR="00F1508E" w:rsidRPr="00945104" w:rsidRDefault="00F1508E" w:rsidP="00D075F6">
            <w:pPr>
              <w:pStyle w:val="NoSpacing"/>
            </w:pPr>
          </w:p>
        </w:tc>
        <w:tc>
          <w:tcPr>
            <w:tcW w:w="992" w:type="dxa"/>
            <w:vAlign w:val="center"/>
          </w:tcPr>
          <w:p w14:paraId="0A41CB61" w14:textId="77777777" w:rsidR="00F1508E" w:rsidRPr="00945104" w:rsidRDefault="00F1508E" w:rsidP="00D075F6">
            <w:pPr>
              <w:pStyle w:val="NoSpacing"/>
            </w:pPr>
          </w:p>
        </w:tc>
        <w:tc>
          <w:tcPr>
            <w:tcW w:w="2127" w:type="dxa"/>
            <w:vAlign w:val="center"/>
          </w:tcPr>
          <w:p w14:paraId="192409A7" w14:textId="77777777" w:rsidR="00F1508E" w:rsidRPr="00945104" w:rsidRDefault="00F1508E" w:rsidP="00D075F6">
            <w:pPr>
              <w:pStyle w:val="NoSpacing"/>
            </w:pPr>
            <w:r w:rsidRPr="00945104">
              <w:t>Typology</w:t>
            </w:r>
          </w:p>
        </w:tc>
        <w:tc>
          <w:tcPr>
            <w:tcW w:w="3118" w:type="dxa"/>
            <w:vAlign w:val="center"/>
          </w:tcPr>
          <w:p w14:paraId="1693151A" w14:textId="77777777" w:rsidR="00F1508E" w:rsidRPr="00E657EA" w:rsidRDefault="00F1508E" w:rsidP="00D075F6">
            <w:pPr>
              <w:pStyle w:val="NoSpacing"/>
            </w:pPr>
            <w:r w:rsidRPr="00E657EA">
              <w:t>Predominantly therapist administered treatment (1)</w:t>
            </w:r>
          </w:p>
        </w:tc>
        <w:tc>
          <w:tcPr>
            <w:tcW w:w="425" w:type="dxa"/>
            <w:vAlign w:val="center"/>
          </w:tcPr>
          <w:p w14:paraId="239D3A39" w14:textId="77777777" w:rsidR="00F1508E" w:rsidRPr="00E657EA" w:rsidRDefault="00F1508E" w:rsidP="00D075F6">
            <w:pPr>
              <w:pStyle w:val="NoSpacing"/>
              <w:jc w:val="center"/>
            </w:pPr>
            <w:r w:rsidRPr="00E657EA">
              <w:t>1</w:t>
            </w:r>
          </w:p>
        </w:tc>
        <w:tc>
          <w:tcPr>
            <w:tcW w:w="993" w:type="dxa"/>
            <w:vAlign w:val="center"/>
          </w:tcPr>
          <w:p w14:paraId="61CF63E3" w14:textId="77777777" w:rsidR="00F1508E" w:rsidRPr="00E657EA" w:rsidRDefault="00F1508E" w:rsidP="00D075F6">
            <w:pPr>
              <w:pStyle w:val="NoSpacing"/>
              <w:jc w:val="center"/>
            </w:pPr>
            <w:r w:rsidRPr="00E657EA">
              <w:t>0.55</w:t>
            </w:r>
          </w:p>
        </w:tc>
        <w:tc>
          <w:tcPr>
            <w:tcW w:w="1417" w:type="dxa"/>
            <w:vAlign w:val="center"/>
          </w:tcPr>
          <w:p w14:paraId="6C37EABB" w14:textId="77777777" w:rsidR="00F1508E" w:rsidRPr="00E657EA" w:rsidRDefault="00F1508E" w:rsidP="00D075F6">
            <w:pPr>
              <w:pStyle w:val="NoSpacing"/>
            </w:pPr>
            <w:r w:rsidRPr="00E657EA">
              <w:t>-</w:t>
            </w:r>
          </w:p>
        </w:tc>
        <w:tc>
          <w:tcPr>
            <w:tcW w:w="851" w:type="dxa"/>
            <w:vAlign w:val="center"/>
          </w:tcPr>
          <w:p w14:paraId="3834FE05" w14:textId="77777777" w:rsidR="00F1508E" w:rsidRPr="00E657EA" w:rsidRDefault="00F1508E" w:rsidP="00D075F6">
            <w:pPr>
              <w:pStyle w:val="NoSpacing"/>
              <w:jc w:val="center"/>
            </w:pPr>
            <w:r w:rsidRPr="00E657EA">
              <w:t>-</w:t>
            </w:r>
          </w:p>
        </w:tc>
        <w:tc>
          <w:tcPr>
            <w:tcW w:w="1417" w:type="dxa"/>
            <w:shd w:val="clear" w:color="auto" w:fill="auto"/>
            <w:vAlign w:val="center"/>
          </w:tcPr>
          <w:p w14:paraId="6401E9D8" w14:textId="77777777" w:rsidR="00F1508E" w:rsidRPr="00E657EA" w:rsidRDefault="00F1508E" w:rsidP="00D075F6">
            <w:pPr>
              <w:pStyle w:val="NoSpacing"/>
              <w:jc w:val="center"/>
            </w:pPr>
            <w:r w:rsidRPr="00E657EA">
              <w:t>-</w:t>
            </w:r>
          </w:p>
        </w:tc>
        <w:tc>
          <w:tcPr>
            <w:tcW w:w="851" w:type="dxa"/>
            <w:shd w:val="clear" w:color="auto" w:fill="auto"/>
            <w:vAlign w:val="center"/>
          </w:tcPr>
          <w:p w14:paraId="3874F01E" w14:textId="77777777" w:rsidR="00F1508E" w:rsidRPr="00E657EA" w:rsidRDefault="00F1508E" w:rsidP="00D075F6">
            <w:pPr>
              <w:pStyle w:val="NoSpacing"/>
              <w:jc w:val="center"/>
            </w:pPr>
            <w:r w:rsidRPr="00E657EA">
              <w:t>3.304</w:t>
            </w:r>
          </w:p>
        </w:tc>
      </w:tr>
      <w:tr w:rsidR="00F1508E" w:rsidRPr="00945104" w14:paraId="522F4DD6" w14:textId="77777777" w:rsidTr="00D075F6">
        <w:trPr>
          <w:trHeight w:val="243"/>
        </w:trPr>
        <w:tc>
          <w:tcPr>
            <w:tcW w:w="1843" w:type="dxa"/>
            <w:vAlign w:val="center"/>
          </w:tcPr>
          <w:p w14:paraId="38F47575" w14:textId="77777777" w:rsidR="00F1508E" w:rsidRPr="00945104" w:rsidRDefault="00F1508E" w:rsidP="00D075F6">
            <w:pPr>
              <w:pStyle w:val="NoSpacing"/>
            </w:pPr>
          </w:p>
        </w:tc>
        <w:tc>
          <w:tcPr>
            <w:tcW w:w="992" w:type="dxa"/>
            <w:vAlign w:val="center"/>
          </w:tcPr>
          <w:p w14:paraId="154AE90A" w14:textId="77777777" w:rsidR="00F1508E" w:rsidRPr="00945104" w:rsidRDefault="00F1508E" w:rsidP="00D075F6">
            <w:pPr>
              <w:pStyle w:val="NoSpacing"/>
            </w:pPr>
          </w:p>
        </w:tc>
        <w:tc>
          <w:tcPr>
            <w:tcW w:w="2127" w:type="dxa"/>
            <w:vAlign w:val="center"/>
          </w:tcPr>
          <w:p w14:paraId="75DAEECF" w14:textId="77777777" w:rsidR="00F1508E" w:rsidRPr="00945104" w:rsidRDefault="00F1508E" w:rsidP="00D075F6">
            <w:pPr>
              <w:pStyle w:val="NoSpacing"/>
            </w:pPr>
          </w:p>
        </w:tc>
        <w:tc>
          <w:tcPr>
            <w:tcW w:w="3118" w:type="dxa"/>
            <w:vAlign w:val="center"/>
          </w:tcPr>
          <w:p w14:paraId="6B0874A8" w14:textId="77777777" w:rsidR="00F1508E" w:rsidRPr="00E657EA" w:rsidRDefault="00F1508E" w:rsidP="00D075F6">
            <w:pPr>
              <w:pStyle w:val="NoSpacing"/>
            </w:pPr>
            <w:r w:rsidRPr="00E657EA">
              <w:t>Minimal-contact therapy (2)</w:t>
            </w:r>
          </w:p>
        </w:tc>
        <w:tc>
          <w:tcPr>
            <w:tcW w:w="425" w:type="dxa"/>
            <w:vAlign w:val="center"/>
          </w:tcPr>
          <w:p w14:paraId="3E703BCE" w14:textId="77777777" w:rsidR="00F1508E" w:rsidRPr="00E657EA" w:rsidRDefault="00F1508E" w:rsidP="00D075F6">
            <w:pPr>
              <w:pStyle w:val="NoSpacing"/>
              <w:jc w:val="center"/>
            </w:pPr>
            <w:r w:rsidRPr="00E657EA">
              <w:t>1</w:t>
            </w:r>
          </w:p>
        </w:tc>
        <w:tc>
          <w:tcPr>
            <w:tcW w:w="993" w:type="dxa"/>
            <w:vAlign w:val="center"/>
          </w:tcPr>
          <w:p w14:paraId="72B32187" w14:textId="77777777" w:rsidR="00F1508E" w:rsidRPr="00E657EA" w:rsidRDefault="00F1508E" w:rsidP="00D075F6">
            <w:pPr>
              <w:pStyle w:val="NoSpacing"/>
              <w:jc w:val="center"/>
            </w:pPr>
            <w:r w:rsidRPr="00E657EA">
              <w:t>0.04</w:t>
            </w:r>
          </w:p>
        </w:tc>
        <w:tc>
          <w:tcPr>
            <w:tcW w:w="1417" w:type="dxa"/>
            <w:vAlign w:val="center"/>
          </w:tcPr>
          <w:p w14:paraId="5D1A341F" w14:textId="77777777" w:rsidR="00F1508E" w:rsidRPr="00E657EA" w:rsidRDefault="00F1508E" w:rsidP="00D075F6">
            <w:pPr>
              <w:pStyle w:val="NoSpacing"/>
            </w:pPr>
            <w:r w:rsidRPr="00E657EA">
              <w:t>-</w:t>
            </w:r>
          </w:p>
        </w:tc>
        <w:tc>
          <w:tcPr>
            <w:tcW w:w="851" w:type="dxa"/>
            <w:vAlign w:val="center"/>
          </w:tcPr>
          <w:p w14:paraId="514E81AC" w14:textId="77777777" w:rsidR="00F1508E" w:rsidRPr="00E657EA" w:rsidRDefault="00F1508E" w:rsidP="00D075F6">
            <w:pPr>
              <w:pStyle w:val="NoSpacing"/>
              <w:jc w:val="center"/>
            </w:pPr>
            <w:r w:rsidRPr="00E657EA">
              <w:t>-</w:t>
            </w:r>
          </w:p>
        </w:tc>
        <w:tc>
          <w:tcPr>
            <w:tcW w:w="1417" w:type="dxa"/>
            <w:shd w:val="clear" w:color="auto" w:fill="auto"/>
            <w:vAlign w:val="center"/>
          </w:tcPr>
          <w:p w14:paraId="4BD1795A" w14:textId="77777777" w:rsidR="00F1508E" w:rsidRPr="00E657EA" w:rsidRDefault="00F1508E" w:rsidP="00D075F6">
            <w:pPr>
              <w:pStyle w:val="NoSpacing"/>
              <w:jc w:val="center"/>
            </w:pPr>
          </w:p>
        </w:tc>
        <w:tc>
          <w:tcPr>
            <w:tcW w:w="851" w:type="dxa"/>
            <w:shd w:val="clear" w:color="auto" w:fill="auto"/>
            <w:vAlign w:val="center"/>
          </w:tcPr>
          <w:p w14:paraId="3E2951AE" w14:textId="77777777" w:rsidR="00F1508E" w:rsidRPr="00E657EA" w:rsidRDefault="00F1508E" w:rsidP="00D075F6">
            <w:pPr>
              <w:pStyle w:val="NoSpacing"/>
              <w:jc w:val="center"/>
            </w:pPr>
            <w:r w:rsidRPr="00E657EA">
              <w:t>44.316</w:t>
            </w:r>
          </w:p>
        </w:tc>
      </w:tr>
      <w:tr w:rsidR="00F1508E" w:rsidRPr="00945104" w14:paraId="4C5D9EC7" w14:textId="77777777" w:rsidTr="00D075F6">
        <w:trPr>
          <w:trHeight w:val="243"/>
        </w:trPr>
        <w:tc>
          <w:tcPr>
            <w:tcW w:w="1843" w:type="dxa"/>
            <w:vAlign w:val="center"/>
          </w:tcPr>
          <w:p w14:paraId="7BC9EB79" w14:textId="77777777" w:rsidR="00F1508E" w:rsidRPr="00945104" w:rsidRDefault="00F1508E" w:rsidP="00D075F6">
            <w:pPr>
              <w:pStyle w:val="NoSpacing"/>
            </w:pPr>
          </w:p>
        </w:tc>
        <w:tc>
          <w:tcPr>
            <w:tcW w:w="992" w:type="dxa"/>
            <w:vAlign w:val="center"/>
          </w:tcPr>
          <w:p w14:paraId="0C5B6DE8" w14:textId="77777777" w:rsidR="00F1508E" w:rsidRPr="00945104" w:rsidRDefault="00F1508E" w:rsidP="00D075F6">
            <w:pPr>
              <w:pStyle w:val="NoSpacing"/>
            </w:pPr>
          </w:p>
        </w:tc>
        <w:tc>
          <w:tcPr>
            <w:tcW w:w="2127" w:type="dxa"/>
            <w:vAlign w:val="center"/>
          </w:tcPr>
          <w:p w14:paraId="2A9414F4" w14:textId="77777777" w:rsidR="00F1508E" w:rsidRPr="00945104" w:rsidRDefault="00F1508E" w:rsidP="00D075F6">
            <w:pPr>
              <w:pStyle w:val="NoSpacing"/>
            </w:pPr>
          </w:p>
        </w:tc>
        <w:tc>
          <w:tcPr>
            <w:tcW w:w="3118" w:type="dxa"/>
            <w:vAlign w:val="center"/>
          </w:tcPr>
          <w:p w14:paraId="0DF4ACE9" w14:textId="77777777" w:rsidR="00F1508E" w:rsidRPr="00E657EA" w:rsidRDefault="00F1508E" w:rsidP="00D075F6">
            <w:pPr>
              <w:pStyle w:val="NoSpacing"/>
            </w:pPr>
            <w:r w:rsidRPr="00E657EA">
              <w:t>Predominantly self-help (3)</w:t>
            </w:r>
          </w:p>
        </w:tc>
        <w:tc>
          <w:tcPr>
            <w:tcW w:w="425" w:type="dxa"/>
            <w:vAlign w:val="center"/>
          </w:tcPr>
          <w:p w14:paraId="7E9A1911" w14:textId="77777777" w:rsidR="00F1508E" w:rsidRPr="00E657EA" w:rsidRDefault="00F1508E" w:rsidP="00D075F6">
            <w:pPr>
              <w:pStyle w:val="NoSpacing"/>
              <w:jc w:val="center"/>
            </w:pPr>
            <w:r w:rsidRPr="00E657EA">
              <w:t>5</w:t>
            </w:r>
          </w:p>
        </w:tc>
        <w:tc>
          <w:tcPr>
            <w:tcW w:w="993" w:type="dxa"/>
            <w:vAlign w:val="center"/>
          </w:tcPr>
          <w:p w14:paraId="78C0AABE" w14:textId="77777777" w:rsidR="00F1508E" w:rsidRPr="00E657EA" w:rsidRDefault="00F1508E" w:rsidP="00D075F6">
            <w:pPr>
              <w:pStyle w:val="NoSpacing"/>
              <w:jc w:val="center"/>
            </w:pPr>
            <w:r w:rsidRPr="00E657EA">
              <w:t>0.47</w:t>
            </w:r>
          </w:p>
        </w:tc>
        <w:tc>
          <w:tcPr>
            <w:tcW w:w="1417" w:type="dxa"/>
            <w:vAlign w:val="center"/>
          </w:tcPr>
          <w:p w14:paraId="126327BF" w14:textId="77777777" w:rsidR="00F1508E" w:rsidRPr="00E657EA" w:rsidRDefault="00F1508E" w:rsidP="00D075F6">
            <w:pPr>
              <w:pStyle w:val="NoSpacing"/>
            </w:pPr>
            <w:r w:rsidRPr="00E657EA">
              <w:t>0.22 to 0.72</w:t>
            </w:r>
          </w:p>
        </w:tc>
        <w:tc>
          <w:tcPr>
            <w:tcW w:w="851" w:type="dxa"/>
            <w:vAlign w:val="center"/>
          </w:tcPr>
          <w:p w14:paraId="00F89372" w14:textId="77777777" w:rsidR="00F1508E" w:rsidRPr="00E657EA" w:rsidRDefault="00F1508E" w:rsidP="00D075F6">
            <w:pPr>
              <w:pStyle w:val="NoSpacing"/>
              <w:jc w:val="center"/>
            </w:pPr>
            <w:r w:rsidRPr="00E657EA">
              <w:t>70.05</w:t>
            </w:r>
          </w:p>
        </w:tc>
        <w:tc>
          <w:tcPr>
            <w:tcW w:w="1417" w:type="dxa"/>
            <w:shd w:val="clear" w:color="auto" w:fill="auto"/>
            <w:vAlign w:val="center"/>
          </w:tcPr>
          <w:p w14:paraId="5B3D33B6" w14:textId="77777777" w:rsidR="00F1508E" w:rsidRPr="00E657EA" w:rsidRDefault="00F1508E" w:rsidP="00D075F6">
            <w:pPr>
              <w:pStyle w:val="NoSpacing"/>
              <w:jc w:val="center"/>
            </w:pPr>
          </w:p>
        </w:tc>
        <w:tc>
          <w:tcPr>
            <w:tcW w:w="851" w:type="dxa"/>
            <w:shd w:val="clear" w:color="auto" w:fill="auto"/>
            <w:vAlign w:val="center"/>
          </w:tcPr>
          <w:p w14:paraId="55F5A8E8" w14:textId="77777777" w:rsidR="00F1508E" w:rsidRPr="00E657EA" w:rsidRDefault="00F1508E" w:rsidP="00D075F6">
            <w:pPr>
              <w:pStyle w:val="NoSpacing"/>
              <w:jc w:val="center"/>
            </w:pPr>
            <w:r w:rsidRPr="00E657EA">
              <w:t>3.841</w:t>
            </w:r>
          </w:p>
        </w:tc>
      </w:tr>
      <w:tr w:rsidR="00F1508E" w:rsidRPr="00945104" w14:paraId="70B291D0" w14:textId="77777777" w:rsidTr="00D075F6">
        <w:trPr>
          <w:trHeight w:val="243"/>
        </w:trPr>
        <w:tc>
          <w:tcPr>
            <w:tcW w:w="1843" w:type="dxa"/>
            <w:vAlign w:val="center"/>
          </w:tcPr>
          <w:p w14:paraId="3EA1119C" w14:textId="77777777" w:rsidR="00F1508E" w:rsidRPr="00945104" w:rsidRDefault="00F1508E" w:rsidP="00D075F6">
            <w:pPr>
              <w:pStyle w:val="NoSpacing"/>
            </w:pPr>
          </w:p>
        </w:tc>
        <w:tc>
          <w:tcPr>
            <w:tcW w:w="992" w:type="dxa"/>
            <w:vAlign w:val="center"/>
          </w:tcPr>
          <w:p w14:paraId="442D54EE" w14:textId="77777777" w:rsidR="00F1508E" w:rsidRPr="00945104" w:rsidRDefault="00F1508E" w:rsidP="00D075F6">
            <w:pPr>
              <w:pStyle w:val="NoSpacing"/>
            </w:pPr>
          </w:p>
        </w:tc>
        <w:tc>
          <w:tcPr>
            <w:tcW w:w="2127" w:type="dxa"/>
            <w:vAlign w:val="center"/>
          </w:tcPr>
          <w:p w14:paraId="1A1FFE56" w14:textId="77777777" w:rsidR="00F1508E" w:rsidRPr="00945104" w:rsidRDefault="00F1508E" w:rsidP="00D075F6">
            <w:pPr>
              <w:pStyle w:val="NoSpacing"/>
            </w:pPr>
          </w:p>
        </w:tc>
        <w:tc>
          <w:tcPr>
            <w:tcW w:w="3118" w:type="dxa"/>
            <w:vAlign w:val="center"/>
          </w:tcPr>
          <w:p w14:paraId="586CF4D8" w14:textId="77777777" w:rsidR="00F1508E" w:rsidRPr="00E657EA" w:rsidRDefault="00F1508E" w:rsidP="00D075F6">
            <w:pPr>
              <w:pStyle w:val="NoSpacing"/>
            </w:pPr>
            <w:r w:rsidRPr="00E657EA">
              <w:t>Self-administered therapy (4)</w:t>
            </w:r>
          </w:p>
        </w:tc>
        <w:tc>
          <w:tcPr>
            <w:tcW w:w="425" w:type="dxa"/>
            <w:vAlign w:val="center"/>
          </w:tcPr>
          <w:p w14:paraId="66F9E6DF" w14:textId="77777777" w:rsidR="00F1508E" w:rsidRPr="00E657EA" w:rsidRDefault="00F1508E" w:rsidP="00D075F6">
            <w:pPr>
              <w:pStyle w:val="NoSpacing"/>
              <w:jc w:val="center"/>
            </w:pPr>
            <w:r w:rsidRPr="00E657EA">
              <w:t>2</w:t>
            </w:r>
          </w:p>
        </w:tc>
        <w:tc>
          <w:tcPr>
            <w:tcW w:w="993" w:type="dxa"/>
            <w:vAlign w:val="center"/>
          </w:tcPr>
          <w:p w14:paraId="1C1AE223" w14:textId="77777777" w:rsidR="00F1508E" w:rsidRPr="00E657EA" w:rsidRDefault="00F1508E" w:rsidP="00D075F6">
            <w:pPr>
              <w:pStyle w:val="NoSpacing"/>
              <w:jc w:val="center"/>
            </w:pPr>
            <w:r w:rsidRPr="00E657EA">
              <w:t>-0.10</w:t>
            </w:r>
          </w:p>
        </w:tc>
        <w:tc>
          <w:tcPr>
            <w:tcW w:w="1417" w:type="dxa"/>
            <w:vAlign w:val="center"/>
          </w:tcPr>
          <w:p w14:paraId="4E622C7C" w14:textId="77777777" w:rsidR="00F1508E" w:rsidRPr="00E657EA" w:rsidRDefault="00F1508E" w:rsidP="00D075F6">
            <w:pPr>
              <w:pStyle w:val="NoSpacing"/>
            </w:pPr>
            <w:r w:rsidRPr="00E657EA">
              <w:t>-0.37 to 0.16</w:t>
            </w:r>
          </w:p>
        </w:tc>
        <w:tc>
          <w:tcPr>
            <w:tcW w:w="851" w:type="dxa"/>
            <w:vAlign w:val="center"/>
          </w:tcPr>
          <w:p w14:paraId="27516DBC" w14:textId="77777777" w:rsidR="00F1508E" w:rsidRPr="00E657EA" w:rsidRDefault="00F1508E" w:rsidP="00D075F6">
            <w:pPr>
              <w:pStyle w:val="NoSpacing"/>
              <w:jc w:val="center"/>
            </w:pPr>
            <w:r w:rsidRPr="00E657EA">
              <w:t>81.21</w:t>
            </w:r>
          </w:p>
        </w:tc>
        <w:tc>
          <w:tcPr>
            <w:tcW w:w="1417" w:type="dxa"/>
            <w:shd w:val="clear" w:color="auto" w:fill="auto"/>
            <w:vAlign w:val="center"/>
          </w:tcPr>
          <w:p w14:paraId="79EB9338" w14:textId="77777777" w:rsidR="00F1508E" w:rsidRPr="00E657EA" w:rsidRDefault="00F1508E" w:rsidP="00D075F6">
            <w:pPr>
              <w:pStyle w:val="NoSpacing"/>
              <w:jc w:val="center"/>
            </w:pPr>
          </w:p>
        </w:tc>
        <w:tc>
          <w:tcPr>
            <w:tcW w:w="851" w:type="dxa"/>
            <w:shd w:val="clear" w:color="auto" w:fill="auto"/>
            <w:vAlign w:val="center"/>
          </w:tcPr>
          <w:p w14:paraId="5D7BC7F3" w14:textId="77777777" w:rsidR="00F1508E" w:rsidRPr="00E657EA" w:rsidRDefault="00F1508E" w:rsidP="00D075F6">
            <w:pPr>
              <w:pStyle w:val="NoSpacing"/>
              <w:jc w:val="center"/>
            </w:pPr>
            <w:r w:rsidRPr="00E657EA">
              <w:t>17.739</w:t>
            </w:r>
          </w:p>
        </w:tc>
      </w:tr>
      <w:tr w:rsidR="00F1508E" w:rsidRPr="00945104" w14:paraId="3553BC6E" w14:textId="77777777" w:rsidTr="00D075F6">
        <w:trPr>
          <w:trHeight w:val="243"/>
        </w:trPr>
        <w:tc>
          <w:tcPr>
            <w:tcW w:w="1843" w:type="dxa"/>
            <w:vAlign w:val="center"/>
          </w:tcPr>
          <w:p w14:paraId="0D90BEEB" w14:textId="77777777" w:rsidR="00F1508E" w:rsidRPr="00945104" w:rsidRDefault="00F1508E" w:rsidP="00D075F6">
            <w:pPr>
              <w:pStyle w:val="NoSpacing"/>
            </w:pPr>
          </w:p>
        </w:tc>
        <w:tc>
          <w:tcPr>
            <w:tcW w:w="992" w:type="dxa"/>
            <w:vAlign w:val="center"/>
          </w:tcPr>
          <w:p w14:paraId="04F8F5A5" w14:textId="77777777" w:rsidR="00F1508E" w:rsidRPr="00945104" w:rsidRDefault="00F1508E" w:rsidP="00D075F6">
            <w:pPr>
              <w:pStyle w:val="NoSpacing"/>
            </w:pPr>
            <w:r w:rsidRPr="00945104">
              <w:t>Active</w:t>
            </w:r>
          </w:p>
        </w:tc>
        <w:tc>
          <w:tcPr>
            <w:tcW w:w="2127" w:type="dxa"/>
            <w:vAlign w:val="center"/>
          </w:tcPr>
          <w:p w14:paraId="5DF47E3A" w14:textId="77777777" w:rsidR="00F1508E" w:rsidRPr="00945104" w:rsidRDefault="00F1508E" w:rsidP="00D075F6">
            <w:pPr>
              <w:pStyle w:val="NoSpacing"/>
            </w:pPr>
            <w:r w:rsidRPr="00945104">
              <w:t>Recruitment setting</w:t>
            </w:r>
          </w:p>
        </w:tc>
        <w:tc>
          <w:tcPr>
            <w:tcW w:w="3118" w:type="dxa"/>
            <w:vAlign w:val="center"/>
          </w:tcPr>
          <w:p w14:paraId="079B5542" w14:textId="77777777" w:rsidR="00F1508E" w:rsidRPr="00E657EA" w:rsidRDefault="00F1508E" w:rsidP="00D075F6">
            <w:pPr>
              <w:pStyle w:val="NoSpacing"/>
            </w:pPr>
            <w:r w:rsidRPr="00E657EA">
              <w:t>Clinical</w:t>
            </w:r>
          </w:p>
        </w:tc>
        <w:tc>
          <w:tcPr>
            <w:tcW w:w="425" w:type="dxa"/>
            <w:vAlign w:val="center"/>
          </w:tcPr>
          <w:p w14:paraId="6D2284D0" w14:textId="77777777" w:rsidR="00F1508E" w:rsidRPr="00E657EA" w:rsidRDefault="00F1508E" w:rsidP="00D075F6">
            <w:pPr>
              <w:pStyle w:val="NoSpacing"/>
              <w:jc w:val="center"/>
            </w:pPr>
            <w:r w:rsidRPr="00E657EA">
              <w:t>3</w:t>
            </w:r>
          </w:p>
        </w:tc>
        <w:tc>
          <w:tcPr>
            <w:tcW w:w="993" w:type="dxa"/>
            <w:vAlign w:val="center"/>
          </w:tcPr>
          <w:p w14:paraId="604E1679" w14:textId="77777777" w:rsidR="00F1508E" w:rsidRPr="00E657EA" w:rsidRDefault="00F1508E" w:rsidP="00D075F6">
            <w:pPr>
              <w:pStyle w:val="NoSpacing"/>
              <w:jc w:val="center"/>
            </w:pPr>
            <w:r w:rsidRPr="00E657EA">
              <w:t>0.27</w:t>
            </w:r>
          </w:p>
        </w:tc>
        <w:tc>
          <w:tcPr>
            <w:tcW w:w="1417" w:type="dxa"/>
            <w:vAlign w:val="center"/>
          </w:tcPr>
          <w:p w14:paraId="2EC103FD" w14:textId="77777777" w:rsidR="00F1508E" w:rsidRPr="00E657EA" w:rsidRDefault="00F1508E" w:rsidP="00D075F6">
            <w:pPr>
              <w:pStyle w:val="NoSpacing"/>
            </w:pPr>
            <w:r w:rsidRPr="00E657EA">
              <w:t>-0.26 to 0.80</w:t>
            </w:r>
          </w:p>
        </w:tc>
        <w:tc>
          <w:tcPr>
            <w:tcW w:w="851" w:type="dxa"/>
            <w:vAlign w:val="center"/>
          </w:tcPr>
          <w:p w14:paraId="3DC2C731" w14:textId="77777777" w:rsidR="00F1508E" w:rsidRPr="00E657EA" w:rsidRDefault="00F1508E" w:rsidP="00D075F6">
            <w:pPr>
              <w:pStyle w:val="NoSpacing"/>
              <w:jc w:val="center"/>
            </w:pPr>
            <w:r w:rsidRPr="00E657EA">
              <w:t>82.53</w:t>
            </w:r>
          </w:p>
        </w:tc>
        <w:tc>
          <w:tcPr>
            <w:tcW w:w="1417" w:type="dxa"/>
            <w:vAlign w:val="center"/>
          </w:tcPr>
          <w:p w14:paraId="74608B2C" w14:textId="77777777" w:rsidR="00F1508E" w:rsidRPr="00E657EA" w:rsidRDefault="00F1508E" w:rsidP="00D075F6">
            <w:pPr>
              <w:pStyle w:val="NoSpacing"/>
              <w:jc w:val="center"/>
            </w:pPr>
            <w:r w:rsidRPr="00E657EA">
              <w:t>0.39</w:t>
            </w:r>
          </w:p>
        </w:tc>
        <w:tc>
          <w:tcPr>
            <w:tcW w:w="851" w:type="dxa"/>
            <w:vAlign w:val="center"/>
          </w:tcPr>
          <w:p w14:paraId="36C81829" w14:textId="77777777" w:rsidR="00F1508E" w:rsidRPr="00E657EA" w:rsidRDefault="00F1508E" w:rsidP="00D075F6">
            <w:pPr>
              <w:pStyle w:val="NoSpacing"/>
              <w:jc w:val="center"/>
            </w:pPr>
            <w:r w:rsidRPr="00E657EA">
              <w:t>6.605</w:t>
            </w:r>
          </w:p>
        </w:tc>
      </w:tr>
      <w:tr w:rsidR="00F1508E" w:rsidRPr="00945104" w14:paraId="383794A3" w14:textId="77777777" w:rsidTr="00D075F6">
        <w:trPr>
          <w:trHeight w:val="243"/>
        </w:trPr>
        <w:tc>
          <w:tcPr>
            <w:tcW w:w="1843" w:type="dxa"/>
            <w:vAlign w:val="center"/>
          </w:tcPr>
          <w:p w14:paraId="68709223" w14:textId="77777777" w:rsidR="00F1508E" w:rsidRPr="00945104" w:rsidRDefault="00F1508E" w:rsidP="00D075F6">
            <w:pPr>
              <w:pStyle w:val="NoSpacing"/>
            </w:pPr>
          </w:p>
        </w:tc>
        <w:tc>
          <w:tcPr>
            <w:tcW w:w="992" w:type="dxa"/>
            <w:vAlign w:val="center"/>
          </w:tcPr>
          <w:p w14:paraId="41A3422C" w14:textId="77777777" w:rsidR="00F1508E" w:rsidRPr="00945104" w:rsidRDefault="00F1508E" w:rsidP="00D075F6">
            <w:pPr>
              <w:pStyle w:val="NoSpacing"/>
            </w:pPr>
          </w:p>
        </w:tc>
        <w:tc>
          <w:tcPr>
            <w:tcW w:w="2127" w:type="dxa"/>
            <w:vAlign w:val="center"/>
          </w:tcPr>
          <w:p w14:paraId="2F2E7CAF" w14:textId="77777777" w:rsidR="00F1508E" w:rsidRPr="00945104" w:rsidRDefault="00F1508E" w:rsidP="00D075F6">
            <w:pPr>
              <w:pStyle w:val="NoSpacing"/>
            </w:pPr>
          </w:p>
        </w:tc>
        <w:tc>
          <w:tcPr>
            <w:tcW w:w="3118" w:type="dxa"/>
            <w:vAlign w:val="center"/>
          </w:tcPr>
          <w:p w14:paraId="2572123A" w14:textId="77777777" w:rsidR="00F1508E" w:rsidRPr="00E657EA" w:rsidRDefault="00F1508E" w:rsidP="00D075F6">
            <w:pPr>
              <w:pStyle w:val="NoSpacing"/>
            </w:pPr>
            <w:r w:rsidRPr="00E657EA">
              <w:t>Community</w:t>
            </w:r>
          </w:p>
        </w:tc>
        <w:tc>
          <w:tcPr>
            <w:tcW w:w="425" w:type="dxa"/>
            <w:vAlign w:val="center"/>
          </w:tcPr>
          <w:p w14:paraId="24320DF1" w14:textId="77777777" w:rsidR="00F1508E" w:rsidRPr="00E657EA" w:rsidRDefault="00F1508E" w:rsidP="00D075F6">
            <w:pPr>
              <w:pStyle w:val="NoSpacing"/>
              <w:jc w:val="center"/>
            </w:pPr>
            <w:r w:rsidRPr="00E657EA">
              <w:t>2</w:t>
            </w:r>
          </w:p>
        </w:tc>
        <w:tc>
          <w:tcPr>
            <w:tcW w:w="993" w:type="dxa"/>
            <w:vAlign w:val="center"/>
          </w:tcPr>
          <w:p w14:paraId="2F4DAC58" w14:textId="77777777" w:rsidR="00F1508E" w:rsidRPr="00E657EA" w:rsidRDefault="00F1508E" w:rsidP="00D075F6">
            <w:pPr>
              <w:pStyle w:val="NoSpacing"/>
              <w:jc w:val="center"/>
            </w:pPr>
            <w:r w:rsidRPr="00E657EA">
              <w:t>0.04</w:t>
            </w:r>
          </w:p>
        </w:tc>
        <w:tc>
          <w:tcPr>
            <w:tcW w:w="1417" w:type="dxa"/>
            <w:vAlign w:val="center"/>
          </w:tcPr>
          <w:p w14:paraId="51D984FC" w14:textId="77777777" w:rsidR="00F1508E" w:rsidRPr="00E657EA" w:rsidRDefault="00F1508E" w:rsidP="00D075F6">
            <w:pPr>
              <w:pStyle w:val="NoSpacing"/>
            </w:pPr>
            <w:r w:rsidRPr="00E657EA">
              <w:t>-0.09 to 0.16</w:t>
            </w:r>
          </w:p>
        </w:tc>
        <w:tc>
          <w:tcPr>
            <w:tcW w:w="851" w:type="dxa"/>
            <w:vAlign w:val="center"/>
          </w:tcPr>
          <w:p w14:paraId="20CF894C" w14:textId="77777777" w:rsidR="00F1508E" w:rsidRPr="00E657EA" w:rsidRDefault="00F1508E" w:rsidP="00D075F6">
            <w:pPr>
              <w:pStyle w:val="NoSpacing"/>
              <w:jc w:val="center"/>
            </w:pPr>
            <w:r w:rsidRPr="00E657EA">
              <w:t>42.01</w:t>
            </w:r>
          </w:p>
        </w:tc>
        <w:tc>
          <w:tcPr>
            <w:tcW w:w="1417" w:type="dxa"/>
            <w:shd w:val="clear" w:color="auto" w:fill="auto"/>
            <w:vAlign w:val="center"/>
          </w:tcPr>
          <w:p w14:paraId="54D2E29A" w14:textId="77777777" w:rsidR="00F1508E" w:rsidRPr="00E657EA" w:rsidRDefault="00F1508E" w:rsidP="00D075F6">
            <w:pPr>
              <w:pStyle w:val="NoSpacing"/>
              <w:jc w:val="center"/>
            </w:pPr>
          </w:p>
        </w:tc>
        <w:tc>
          <w:tcPr>
            <w:tcW w:w="851" w:type="dxa"/>
            <w:shd w:val="clear" w:color="auto" w:fill="auto"/>
            <w:vAlign w:val="center"/>
          </w:tcPr>
          <w:p w14:paraId="394C1E6A" w14:textId="77777777" w:rsidR="00F1508E" w:rsidRPr="00E657EA" w:rsidRDefault="00F1508E" w:rsidP="00D075F6">
            <w:pPr>
              <w:pStyle w:val="NoSpacing"/>
              <w:jc w:val="center"/>
            </w:pPr>
            <w:r w:rsidRPr="00E657EA">
              <w:t>44.316</w:t>
            </w:r>
          </w:p>
        </w:tc>
      </w:tr>
      <w:tr w:rsidR="00F1508E" w:rsidRPr="00945104" w14:paraId="0AF56E4E" w14:textId="77777777" w:rsidTr="00D075F6">
        <w:trPr>
          <w:trHeight w:val="243"/>
        </w:trPr>
        <w:tc>
          <w:tcPr>
            <w:tcW w:w="1843" w:type="dxa"/>
            <w:vAlign w:val="center"/>
          </w:tcPr>
          <w:p w14:paraId="474DF9AC" w14:textId="77777777" w:rsidR="00F1508E" w:rsidRPr="00945104" w:rsidRDefault="00F1508E" w:rsidP="00D075F6">
            <w:pPr>
              <w:pStyle w:val="NoSpacing"/>
            </w:pPr>
          </w:p>
        </w:tc>
        <w:tc>
          <w:tcPr>
            <w:tcW w:w="992" w:type="dxa"/>
            <w:vAlign w:val="center"/>
          </w:tcPr>
          <w:p w14:paraId="157007C4" w14:textId="77777777" w:rsidR="00F1508E" w:rsidRPr="00945104" w:rsidRDefault="00F1508E" w:rsidP="00D075F6">
            <w:pPr>
              <w:pStyle w:val="NoSpacing"/>
            </w:pPr>
          </w:p>
        </w:tc>
        <w:tc>
          <w:tcPr>
            <w:tcW w:w="2127" w:type="dxa"/>
            <w:vAlign w:val="center"/>
          </w:tcPr>
          <w:p w14:paraId="05E69A3C" w14:textId="77777777" w:rsidR="00F1508E" w:rsidRPr="00945104" w:rsidRDefault="00F1508E" w:rsidP="00D075F6">
            <w:pPr>
              <w:pStyle w:val="NoSpacing"/>
            </w:pPr>
            <w:r w:rsidRPr="00945104">
              <w:t>E</w:t>
            </w:r>
            <w:r w:rsidRPr="00945104">
              <w:noBreakHyphen/>
              <w:t>therapy</w:t>
            </w:r>
          </w:p>
        </w:tc>
        <w:tc>
          <w:tcPr>
            <w:tcW w:w="3118" w:type="dxa"/>
            <w:vAlign w:val="center"/>
          </w:tcPr>
          <w:p w14:paraId="7AB7B3D4" w14:textId="77777777" w:rsidR="00F1508E" w:rsidRPr="00E657EA" w:rsidRDefault="00F1508E" w:rsidP="00D075F6">
            <w:pPr>
              <w:pStyle w:val="NoSpacing"/>
            </w:pPr>
            <w:r w:rsidRPr="00E657EA">
              <w:t>Beating the Blues</w:t>
            </w:r>
          </w:p>
        </w:tc>
        <w:tc>
          <w:tcPr>
            <w:tcW w:w="425" w:type="dxa"/>
            <w:vAlign w:val="center"/>
          </w:tcPr>
          <w:p w14:paraId="747AC985" w14:textId="77777777" w:rsidR="00F1508E" w:rsidRPr="00E657EA" w:rsidRDefault="00F1508E" w:rsidP="00D075F6">
            <w:pPr>
              <w:pStyle w:val="NoSpacing"/>
              <w:jc w:val="center"/>
            </w:pPr>
            <w:r w:rsidRPr="00E657EA">
              <w:t>1</w:t>
            </w:r>
          </w:p>
        </w:tc>
        <w:tc>
          <w:tcPr>
            <w:tcW w:w="993" w:type="dxa"/>
            <w:vAlign w:val="center"/>
          </w:tcPr>
          <w:p w14:paraId="2591D6C0" w14:textId="77777777" w:rsidR="00F1508E" w:rsidRPr="00E657EA" w:rsidRDefault="00F1508E" w:rsidP="00D075F6">
            <w:pPr>
              <w:pStyle w:val="NoSpacing"/>
              <w:jc w:val="center"/>
            </w:pPr>
            <w:r w:rsidRPr="00E657EA">
              <w:t>0.18</w:t>
            </w:r>
          </w:p>
        </w:tc>
        <w:tc>
          <w:tcPr>
            <w:tcW w:w="1417" w:type="dxa"/>
            <w:vAlign w:val="center"/>
          </w:tcPr>
          <w:p w14:paraId="66E838B9" w14:textId="77777777" w:rsidR="00F1508E" w:rsidRPr="00E657EA" w:rsidRDefault="00F1508E" w:rsidP="00D075F6">
            <w:pPr>
              <w:pStyle w:val="NoSpacing"/>
            </w:pPr>
            <w:r w:rsidRPr="00E657EA">
              <w:t>-</w:t>
            </w:r>
          </w:p>
        </w:tc>
        <w:tc>
          <w:tcPr>
            <w:tcW w:w="851" w:type="dxa"/>
            <w:vAlign w:val="center"/>
          </w:tcPr>
          <w:p w14:paraId="75D4FB27" w14:textId="77777777" w:rsidR="00F1508E" w:rsidRPr="00E657EA" w:rsidRDefault="00F1508E" w:rsidP="00D075F6">
            <w:pPr>
              <w:pStyle w:val="NoSpacing"/>
              <w:jc w:val="center"/>
            </w:pPr>
            <w:r w:rsidRPr="00E657EA">
              <w:t>-</w:t>
            </w:r>
          </w:p>
        </w:tc>
        <w:tc>
          <w:tcPr>
            <w:tcW w:w="1417" w:type="dxa"/>
            <w:vAlign w:val="center"/>
          </w:tcPr>
          <w:p w14:paraId="06B4013B" w14:textId="77777777" w:rsidR="00F1508E" w:rsidRPr="00E657EA" w:rsidRDefault="00F1508E" w:rsidP="00D075F6">
            <w:pPr>
              <w:pStyle w:val="NoSpacing"/>
              <w:jc w:val="center"/>
            </w:pPr>
            <w:r w:rsidRPr="00E657EA">
              <w:t>-</w:t>
            </w:r>
          </w:p>
        </w:tc>
        <w:tc>
          <w:tcPr>
            <w:tcW w:w="851" w:type="dxa"/>
            <w:vAlign w:val="center"/>
          </w:tcPr>
          <w:p w14:paraId="429FE3DD" w14:textId="77777777" w:rsidR="00F1508E" w:rsidRPr="00E657EA" w:rsidRDefault="00F1508E" w:rsidP="00D075F6">
            <w:pPr>
              <w:pStyle w:val="NoSpacing"/>
              <w:jc w:val="center"/>
            </w:pPr>
            <w:r w:rsidRPr="00E657EA">
              <w:t>9.874</w:t>
            </w:r>
          </w:p>
        </w:tc>
      </w:tr>
      <w:tr w:rsidR="00F1508E" w:rsidRPr="00945104" w14:paraId="35521B4D" w14:textId="77777777" w:rsidTr="00D075F6">
        <w:trPr>
          <w:trHeight w:val="243"/>
        </w:trPr>
        <w:tc>
          <w:tcPr>
            <w:tcW w:w="1843" w:type="dxa"/>
            <w:vAlign w:val="center"/>
          </w:tcPr>
          <w:p w14:paraId="049551B9" w14:textId="77777777" w:rsidR="00F1508E" w:rsidRPr="00945104" w:rsidRDefault="00F1508E" w:rsidP="00D075F6">
            <w:pPr>
              <w:pStyle w:val="NoSpacing"/>
            </w:pPr>
          </w:p>
        </w:tc>
        <w:tc>
          <w:tcPr>
            <w:tcW w:w="992" w:type="dxa"/>
            <w:vAlign w:val="center"/>
          </w:tcPr>
          <w:p w14:paraId="6F6CE033" w14:textId="77777777" w:rsidR="00F1508E" w:rsidRPr="00945104" w:rsidRDefault="00F1508E" w:rsidP="00D075F6">
            <w:pPr>
              <w:pStyle w:val="NoSpacing"/>
            </w:pPr>
          </w:p>
        </w:tc>
        <w:tc>
          <w:tcPr>
            <w:tcW w:w="2127" w:type="dxa"/>
            <w:vAlign w:val="center"/>
          </w:tcPr>
          <w:p w14:paraId="3EE1F4FF" w14:textId="77777777" w:rsidR="00F1508E" w:rsidRPr="00945104" w:rsidRDefault="00F1508E" w:rsidP="00D075F6">
            <w:pPr>
              <w:pStyle w:val="NoSpacing"/>
            </w:pPr>
          </w:p>
        </w:tc>
        <w:tc>
          <w:tcPr>
            <w:tcW w:w="3118" w:type="dxa"/>
            <w:vAlign w:val="center"/>
          </w:tcPr>
          <w:p w14:paraId="7D80A6D6" w14:textId="77777777" w:rsidR="00F1508E" w:rsidRPr="00E657EA" w:rsidRDefault="00F1508E" w:rsidP="00D075F6">
            <w:pPr>
              <w:pStyle w:val="NoSpacing"/>
            </w:pPr>
            <w:proofErr w:type="spellStart"/>
            <w:r w:rsidRPr="00E657EA">
              <w:t>MoodGYM</w:t>
            </w:r>
            <w:proofErr w:type="spellEnd"/>
          </w:p>
        </w:tc>
        <w:tc>
          <w:tcPr>
            <w:tcW w:w="425" w:type="dxa"/>
            <w:vAlign w:val="center"/>
          </w:tcPr>
          <w:p w14:paraId="4B8D5587" w14:textId="77777777" w:rsidR="00F1508E" w:rsidRPr="00E657EA" w:rsidRDefault="00F1508E" w:rsidP="00D075F6">
            <w:pPr>
              <w:pStyle w:val="NoSpacing"/>
              <w:jc w:val="center"/>
            </w:pPr>
            <w:r w:rsidRPr="00E657EA">
              <w:t>3</w:t>
            </w:r>
          </w:p>
        </w:tc>
        <w:tc>
          <w:tcPr>
            <w:tcW w:w="993" w:type="dxa"/>
            <w:vAlign w:val="center"/>
          </w:tcPr>
          <w:p w14:paraId="08170A91" w14:textId="77777777" w:rsidR="00F1508E" w:rsidRPr="00E657EA" w:rsidRDefault="00F1508E" w:rsidP="00D075F6">
            <w:pPr>
              <w:pStyle w:val="NoSpacing"/>
              <w:jc w:val="center"/>
            </w:pPr>
            <w:r w:rsidRPr="00E657EA">
              <w:t>0.02</w:t>
            </w:r>
          </w:p>
        </w:tc>
        <w:tc>
          <w:tcPr>
            <w:tcW w:w="1417" w:type="dxa"/>
            <w:vAlign w:val="center"/>
          </w:tcPr>
          <w:p w14:paraId="76FD0D14" w14:textId="77777777" w:rsidR="00F1508E" w:rsidRPr="00E657EA" w:rsidRDefault="00F1508E" w:rsidP="00D075F6">
            <w:pPr>
              <w:pStyle w:val="NoSpacing"/>
            </w:pPr>
            <w:r w:rsidRPr="00E657EA">
              <w:t>-0.07 to 0.11</w:t>
            </w:r>
          </w:p>
        </w:tc>
        <w:tc>
          <w:tcPr>
            <w:tcW w:w="851" w:type="dxa"/>
            <w:vAlign w:val="center"/>
          </w:tcPr>
          <w:p w14:paraId="64EB9F24" w14:textId="77777777" w:rsidR="00F1508E" w:rsidRPr="00E657EA" w:rsidRDefault="00F1508E" w:rsidP="00D075F6">
            <w:pPr>
              <w:pStyle w:val="NoSpacing"/>
              <w:jc w:val="center"/>
            </w:pPr>
            <w:r w:rsidRPr="00E657EA">
              <w:t>9.95</w:t>
            </w:r>
          </w:p>
        </w:tc>
        <w:tc>
          <w:tcPr>
            <w:tcW w:w="1417" w:type="dxa"/>
            <w:shd w:val="clear" w:color="auto" w:fill="auto"/>
            <w:vAlign w:val="center"/>
          </w:tcPr>
          <w:p w14:paraId="3E45110E" w14:textId="77777777" w:rsidR="00F1508E" w:rsidRPr="00E657EA" w:rsidRDefault="00F1508E" w:rsidP="00D075F6">
            <w:pPr>
              <w:pStyle w:val="NoSpacing"/>
              <w:jc w:val="center"/>
            </w:pPr>
          </w:p>
        </w:tc>
        <w:tc>
          <w:tcPr>
            <w:tcW w:w="851" w:type="dxa"/>
            <w:shd w:val="clear" w:color="auto" w:fill="auto"/>
            <w:vAlign w:val="center"/>
          </w:tcPr>
          <w:p w14:paraId="7AAC0BEA" w14:textId="77777777" w:rsidR="00F1508E" w:rsidRPr="00E657EA" w:rsidRDefault="00F1508E" w:rsidP="00D075F6">
            <w:pPr>
              <w:pStyle w:val="NoSpacing"/>
              <w:jc w:val="center"/>
            </w:pPr>
            <w:r w:rsidRPr="00E657EA">
              <w:t>88.623</w:t>
            </w:r>
          </w:p>
        </w:tc>
      </w:tr>
      <w:tr w:rsidR="00F1508E" w:rsidRPr="00945104" w14:paraId="4EAB7952" w14:textId="77777777" w:rsidTr="00D075F6">
        <w:trPr>
          <w:trHeight w:val="243"/>
        </w:trPr>
        <w:tc>
          <w:tcPr>
            <w:tcW w:w="1843" w:type="dxa"/>
            <w:vAlign w:val="center"/>
          </w:tcPr>
          <w:p w14:paraId="29EE263A" w14:textId="77777777" w:rsidR="00F1508E" w:rsidRPr="00945104" w:rsidRDefault="00F1508E" w:rsidP="00D075F6">
            <w:pPr>
              <w:pStyle w:val="NoSpacing"/>
            </w:pPr>
          </w:p>
        </w:tc>
        <w:tc>
          <w:tcPr>
            <w:tcW w:w="992" w:type="dxa"/>
            <w:vAlign w:val="center"/>
          </w:tcPr>
          <w:p w14:paraId="303D3CF6" w14:textId="77777777" w:rsidR="00F1508E" w:rsidRPr="00945104" w:rsidRDefault="00F1508E" w:rsidP="00D075F6">
            <w:pPr>
              <w:pStyle w:val="NoSpacing"/>
            </w:pPr>
          </w:p>
        </w:tc>
        <w:tc>
          <w:tcPr>
            <w:tcW w:w="2127" w:type="dxa"/>
            <w:vAlign w:val="center"/>
          </w:tcPr>
          <w:p w14:paraId="3858848E" w14:textId="77777777" w:rsidR="00F1508E" w:rsidRPr="00945104" w:rsidRDefault="00F1508E" w:rsidP="00D075F6">
            <w:pPr>
              <w:pStyle w:val="NoSpacing"/>
            </w:pPr>
          </w:p>
        </w:tc>
        <w:tc>
          <w:tcPr>
            <w:tcW w:w="3118" w:type="dxa"/>
            <w:vAlign w:val="center"/>
          </w:tcPr>
          <w:p w14:paraId="36E21799" w14:textId="77777777" w:rsidR="00F1508E" w:rsidRPr="00E657EA" w:rsidRDefault="00F1508E" w:rsidP="00D075F6">
            <w:pPr>
              <w:pStyle w:val="NoSpacing"/>
            </w:pPr>
            <w:r w:rsidRPr="00E657EA">
              <w:t>Other</w:t>
            </w:r>
          </w:p>
        </w:tc>
        <w:tc>
          <w:tcPr>
            <w:tcW w:w="425" w:type="dxa"/>
            <w:vAlign w:val="center"/>
          </w:tcPr>
          <w:p w14:paraId="1AB02486" w14:textId="77777777" w:rsidR="00F1508E" w:rsidRPr="00E657EA" w:rsidRDefault="00F1508E" w:rsidP="00D075F6">
            <w:pPr>
              <w:pStyle w:val="NoSpacing"/>
              <w:jc w:val="center"/>
            </w:pPr>
            <w:r w:rsidRPr="00E657EA">
              <w:t>1</w:t>
            </w:r>
          </w:p>
        </w:tc>
        <w:tc>
          <w:tcPr>
            <w:tcW w:w="993" w:type="dxa"/>
            <w:vAlign w:val="center"/>
          </w:tcPr>
          <w:p w14:paraId="7275D748" w14:textId="77777777" w:rsidR="00F1508E" w:rsidRPr="00E657EA" w:rsidRDefault="00F1508E" w:rsidP="00D075F6">
            <w:pPr>
              <w:pStyle w:val="NoSpacing"/>
              <w:jc w:val="center"/>
            </w:pPr>
            <w:r w:rsidRPr="00E657EA">
              <w:t>0.92</w:t>
            </w:r>
          </w:p>
        </w:tc>
        <w:tc>
          <w:tcPr>
            <w:tcW w:w="1417" w:type="dxa"/>
            <w:vAlign w:val="center"/>
          </w:tcPr>
          <w:p w14:paraId="2DD0E49C" w14:textId="77777777" w:rsidR="00F1508E" w:rsidRPr="00E657EA" w:rsidRDefault="00F1508E" w:rsidP="00D075F6">
            <w:pPr>
              <w:pStyle w:val="NoSpacing"/>
            </w:pPr>
            <w:r w:rsidRPr="00E657EA">
              <w:t>-</w:t>
            </w:r>
          </w:p>
        </w:tc>
        <w:tc>
          <w:tcPr>
            <w:tcW w:w="851" w:type="dxa"/>
            <w:vAlign w:val="center"/>
          </w:tcPr>
          <w:p w14:paraId="41DF0D76" w14:textId="77777777" w:rsidR="00F1508E" w:rsidRPr="00E657EA" w:rsidRDefault="00F1508E" w:rsidP="00D075F6">
            <w:pPr>
              <w:pStyle w:val="NoSpacing"/>
              <w:jc w:val="center"/>
            </w:pPr>
            <w:r w:rsidRPr="00E657EA">
              <w:t>-</w:t>
            </w:r>
          </w:p>
        </w:tc>
        <w:tc>
          <w:tcPr>
            <w:tcW w:w="1417" w:type="dxa"/>
            <w:shd w:val="clear" w:color="auto" w:fill="auto"/>
            <w:vAlign w:val="center"/>
          </w:tcPr>
          <w:p w14:paraId="25144B13" w14:textId="77777777" w:rsidR="00F1508E" w:rsidRPr="00E657EA" w:rsidRDefault="00F1508E" w:rsidP="00D075F6">
            <w:pPr>
              <w:pStyle w:val="NoSpacing"/>
              <w:jc w:val="center"/>
            </w:pPr>
          </w:p>
        </w:tc>
        <w:tc>
          <w:tcPr>
            <w:tcW w:w="851" w:type="dxa"/>
            <w:shd w:val="clear" w:color="auto" w:fill="auto"/>
            <w:vAlign w:val="center"/>
          </w:tcPr>
          <w:p w14:paraId="1690DE43" w14:textId="77777777" w:rsidR="00F1508E" w:rsidRPr="00E657EA" w:rsidRDefault="00F1508E" w:rsidP="00D075F6">
            <w:pPr>
              <w:pStyle w:val="NoSpacing"/>
              <w:jc w:val="center"/>
            </w:pPr>
            <w:r w:rsidRPr="00E657EA">
              <w:t>2.063</w:t>
            </w:r>
          </w:p>
        </w:tc>
      </w:tr>
      <w:tr w:rsidR="00F1508E" w:rsidRPr="00945104" w14:paraId="2D6FEDD1" w14:textId="77777777" w:rsidTr="00D075F6">
        <w:trPr>
          <w:trHeight w:val="243"/>
        </w:trPr>
        <w:tc>
          <w:tcPr>
            <w:tcW w:w="1843" w:type="dxa"/>
            <w:vAlign w:val="center"/>
          </w:tcPr>
          <w:p w14:paraId="235A157C" w14:textId="77777777" w:rsidR="00F1508E" w:rsidRPr="00945104" w:rsidRDefault="00F1508E" w:rsidP="00D075F6">
            <w:pPr>
              <w:pStyle w:val="NoSpacing"/>
            </w:pPr>
          </w:p>
        </w:tc>
        <w:tc>
          <w:tcPr>
            <w:tcW w:w="992" w:type="dxa"/>
            <w:vAlign w:val="center"/>
          </w:tcPr>
          <w:p w14:paraId="51F6EF97" w14:textId="77777777" w:rsidR="00F1508E" w:rsidRPr="00945104" w:rsidRDefault="00F1508E" w:rsidP="00D075F6">
            <w:pPr>
              <w:pStyle w:val="NoSpacing"/>
            </w:pPr>
          </w:p>
        </w:tc>
        <w:tc>
          <w:tcPr>
            <w:tcW w:w="2127" w:type="dxa"/>
            <w:vAlign w:val="center"/>
          </w:tcPr>
          <w:p w14:paraId="095260E1" w14:textId="77777777" w:rsidR="00F1508E" w:rsidRPr="00945104" w:rsidRDefault="00F1508E" w:rsidP="00D075F6">
            <w:pPr>
              <w:pStyle w:val="NoSpacing"/>
            </w:pPr>
            <w:r w:rsidRPr="00945104">
              <w:t>Typology</w:t>
            </w:r>
          </w:p>
        </w:tc>
        <w:tc>
          <w:tcPr>
            <w:tcW w:w="3118" w:type="dxa"/>
            <w:vAlign w:val="center"/>
          </w:tcPr>
          <w:p w14:paraId="385B563B" w14:textId="77777777" w:rsidR="00F1508E" w:rsidRPr="00E657EA" w:rsidRDefault="00F1508E" w:rsidP="00D075F6">
            <w:pPr>
              <w:pStyle w:val="NoSpacing"/>
            </w:pPr>
            <w:r w:rsidRPr="00E657EA">
              <w:t>Minimal-contact therapy (2)</w:t>
            </w:r>
          </w:p>
        </w:tc>
        <w:tc>
          <w:tcPr>
            <w:tcW w:w="425" w:type="dxa"/>
            <w:vAlign w:val="center"/>
          </w:tcPr>
          <w:p w14:paraId="2307DBA5" w14:textId="77777777" w:rsidR="00F1508E" w:rsidRPr="00E657EA" w:rsidRDefault="00F1508E" w:rsidP="00D075F6">
            <w:pPr>
              <w:pStyle w:val="NoSpacing"/>
              <w:jc w:val="center"/>
            </w:pPr>
            <w:r w:rsidRPr="00E657EA">
              <w:t>1</w:t>
            </w:r>
          </w:p>
        </w:tc>
        <w:tc>
          <w:tcPr>
            <w:tcW w:w="993" w:type="dxa"/>
            <w:vAlign w:val="center"/>
          </w:tcPr>
          <w:p w14:paraId="7F8203FB" w14:textId="77777777" w:rsidR="00F1508E" w:rsidRPr="00E657EA" w:rsidRDefault="00F1508E" w:rsidP="00D075F6">
            <w:pPr>
              <w:pStyle w:val="NoSpacing"/>
              <w:jc w:val="center"/>
            </w:pPr>
            <w:r w:rsidRPr="00E657EA">
              <w:t>0.92</w:t>
            </w:r>
          </w:p>
        </w:tc>
        <w:tc>
          <w:tcPr>
            <w:tcW w:w="1417" w:type="dxa"/>
            <w:vAlign w:val="center"/>
          </w:tcPr>
          <w:p w14:paraId="39DFB97B" w14:textId="77777777" w:rsidR="00F1508E" w:rsidRPr="00E657EA" w:rsidRDefault="00F1508E" w:rsidP="00D075F6">
            <w:pPr>
              <w:pStyle w:val="NoSpacing"/>
            </w:pPr>
            <w:r w:rsidRPr="00E657EA">
              <w:t>-</w:t>
            </w:r>
          </w:p>
        </w:tc>
        <w:tc>
          <w:tcPr>
            <w:tcW w:w="851" w:type="dxa"/>
            <w:vAlign w:val="center"/>
          </w:tcPr>
          <w:p w14:paraId="56DB82EB" w14:textId="77777777" w:rsidR="00F1508E" w:rsidRPr="00E657EA" w:rsidRDefault="00F1508E" w:rsidP="00D075F6">
            <w:pPr>
              <w:pStyle w:val="NoSpacing"/>
              <w:jc w:val="center"/>
            </w:pPr>
            <w:r w:rsidRPr="00E657EA">
              <w:t>-</w:t>
            </w:r>
          </w:p>
        </w:tc>
        <w:tc>
          <w:tcPr>
            <w:tcW w:w="1417" w:type="dxa"/>
            <w:shd w:val="clear" w:color="auto" w:fill="auto"/>
            <w:vAlign w:val="center"/>
          </w:tcPr>
          <w:p w14:paraId="3E3A460A" w14:textId="77777777" w:rsidR="00F1508E" w:rsidRPr="00E657EA" w:rsidRDefault="00F1508E" w:rsidP="00D075F6">
            <w:pPr>
              <w:pStyle w:val="NoSpacing"/>
              <w:jc w:val="center"/>
            </w:pPr>
            <w:r w:rsidRPr="00E657EA">
              <w:t>-</w:t>
            </w:r>
          </w:p>
        </w:tc>
        <w:tc>
          <w:tcPr>
            <w:tcW w:w="851" w:type="dxa"/>
            <w:shd w:val="clear" w:color="auto" w:fill="auto"/>
            <w:vAlign w:val="center"/>
          </w:tcPr>
          <w:p w14:paraId="5C9DD136" w14:textId="77777777" w:rsidR="00F1508E" w:rsidRPr="00E657EA" w:rsidRDefault="00F1508E" w:rsidP="00D075F6">
            <w:pPr>
              <w:pStyle w:val="NoSpacing"/>
              <w:jc w:val="center"/>
            </w:pPr>
            <w:r w:rsidRPr="00E657EA">
              <w:t>2.063</w:t>
            </w:r>
          </w:p>
        </w:tc>
      </w:tr>
      <w:tr w:rsidR="00F1508E" w:rsidRPr="00945104" w14:paraId="164A660B" w14:textId="77777777" w:rsidTr="00D075F6">
        <w:trPr>
          <w:trHeight w:val="243"/>
        </w:trPr>
        <w:tc>
          <w:tcPr>
            <w:tcW w:w="1843" w:type="dxa"/>
            <w:vAlign w:val="center"/>
          </w:tcPr>
          <w:p w14:paraId="3A0345AA" w14:textId="77777777" w:rsidR="00F1508E" w:rsidRPr="00945104" w:rsidRDefault="00F1508E" w:rsidP="00D075F6">
            <w:pPr>
              <w:pStyle w:val="NoSpacing"/>
            </w:pPr>
          </w:p>
        </w:tc>
        <w:tc>
          <w:tcPr>
            <w:tcW w:w="992" w:type="dxa"/>
            <w:vAlign w:val="center"/>
          </w:tcPr>
          <w:p w14:paraId="2A946353" w14:textId="77777777" w:rsidR="00F1508E" w:rsidRPr="00945104" w:rsidRDefault="00F1508E" w:rsidP="00D075F6">
            <w:pPr>
              <w:pStyle w:val="NoSpacing"/>
            </w:pPr>
          </w:p>
        </w:tc>
        <w:tc>
          <w:tcPr>
            <w:tcW w:w="2127" w:type="dxa"/>
            <w:vAlign w:val="center"/>
          </w:tcPr>
          <w:p w14:paraId="19B33574" w14:textId="77777777" w:rsidR="00F1508E" w:rsidRPr="00945104" w:rsidRDefault="00F1508E" w:rsidP="00D075F6">
            <w:pPr>
              <w:pStyle w:val="NoSpacing"/>
            </w:pPr>
          </w:p>
        </w:tc>
        <w:tc>
          <w:tcPr>
            <w:tcW w:w="3118" w:type="dxa"/>
            <w:vAlign w:val="center"/>
          </w:tcPr>
          <w:p w14:paraId="0B1675DD" w14:textId="77777777" w:rsidR="00F1508E" w:rsidRPr="00E657EA" w:rsidRDefault="00F1508E" w:rsidP="00D075F6">
            <w:pPr>
              <w:pStyle w:val="NoSpacing"/>
            </w:pPr>
            <w:r w:rsidRPr="00E657EA">
              <w:t>Predominantly self-help (3)</w:t>
            </w:r>
          </w:p>
        </w:tc>
        <w:tc>
          <w:tcPr>
            <w:tcW w:w="425" w:type="dxa"/>
            <w:vAlign w:val="center"/>
          </w:tcPr>
          <w:p w14:paraId="77B46723" w14:textId="77777777" w:rsidR="00F1508E" w:rsidRPr="00E657EA" w:rsidRDefault="00F1508E" w:rsidP="00D075F6">
            <w:pPr>
              <w:pStyle w:val="NoSpacing"/>
              <w:jc w:val="center"/>
            </w:pPr>
            <w:r w:rsidRPr="00E657EA">
              <w:t>1</w:t>
            </w:r>
          </w:p>
        </w:tc>
        <w:tc>
          <w:tcPr>
            <w:tcW w:w="993" w:type="dxa"/>
            <w:vAlign w:val="center"/>
          </w:tcPr>
          <w:p w14:paraId="5EE5B155" w14:textId="77777777" w:rsidR="00F1508E" w:rsidRPr="00E657EA" w:rsidRDefault="00F1508E" w:rsidP="00D075F6">
            <w:pPr>
              <w:pStyle w:val="NoSpacing"/>
              <w:jc w:val="center"/>
            </w:pPr>
            <w:r w:rsidRPr="00E657EA">
              <w:t>-0.05</w:t>
            </w:r>
          </w:p>
        </w:tc>
        <w:tc>
          <w:tcPr>
            <w:tcW w:w="1417" w:type="dxa"/>
            <w:vAlign w:val="center"/>
          </w:tcPr>
          <w:p w14:paraId="2CD10164" w14:textId="77777777" w:rsidR="00F1508E" w:rsidRPr="00E657EA" w:rsidRDefault="00F1508E" w:rsidP="00D075F6">
            <w:pPr>
              <w:pStyle w:val="NoSpacing"/>
            </w:pPr>
            <w:r w:rsidRPr="00E657EA">
              <w:t>-</w:t>
            </w:r>
          </w:p>
        </w:tc>
        <w:tc>
          <w:tcPr>
            <w:tcW w:w="851" w:type="dxa"/>
            <w:vAlign w:val="center"/>
          </w:tcPr>
          <w:p w14:paraId="692F284D" w14:textId="77777777" w:rsidR="00F1508E" w:rsidRPr="00E657EA" w:rsidRDefault="00F1508E" w:rsidP="00D075F6">
            <w:pPr>
              <w:pStyle w:val="NoSpacing"/>
              <w:jc w:val="center"/>
            </w:pPr>
            <w:r w:rsidRPr="00E657EA">
              <w:t>-</w:t>
            </w:r>
          </w:p>
        </w:tc>
        <w:tc>
          <w:tcPr>
            <w:tcW w:w="1417" w:type="dxa"/>
            <w:shd w:val="clear" w:color="auto" w:fill="auto"/>
            <w:vAlign w:val="center"/>
          </w:tcPr>
          <w:p w14:paraId="5129FD0B" w14:textId="77777777" w:rsidR="00F1508E" w:rsidRPr="00E657EA" w:rsidRDefault="00F1508E" w:rsidP="00D075F6">
            <w:pPr>
              <w:pStyle w:val="NoSpacing"/>
              <w:jc w:val="center"/>
            </w:pPr>
          </w:p>
        </w:tc>
        <w:tc>
          <w:tcPr>
            <w:tcW w:w="851" w:type="dxa"/>
            <w:shd w:val="clear" w:color="auto" w:fill="auto"/>
            <w:vAlign w:val="center"/>
          </w:tcPr>
          <w:p w14:paraId="52DD7E7D" w14:textId="77777777" w:rsidR="00F1508E" w:rsidRPr="00E657EA" w:rsidRDefault="00F1508E" w:rsidP="00D075F6">
            <w:pPr>
              <w:pStyle w:val="NoSpacing"/>
              <w:jc w:val="center"/>
            </w:pPr>
            <w:r w:rsidRPr="00E657EA">
              <w:t>35.456</w:t>
            </w:r>
          </w:p>
        </w:tc>
      </w:tr>
      <w:tr w:rsidR="00F1508E" w:rsidRPr="00945104" w14:paraId="194EA680" w14:textId="77777777" w:rsidTr="00D075F6">
        <w:trPr>
          <w:trHeight w:val="243"/>
        </w:trPr>
        <w:tc>
          <w:tcPr>
            <w:tcW w:w="1843" w:type="dxa"/>
            <w:vAlign w:val="center"/>
          </w:tcPr>
          <w:p w14:paraId="3F39654D" w14:textId="77777777" w:rsidR="00F1508E" w:rsidRPr="00945104" w:rsidRDefault="00F1508E" w:rsidP="00D075F6">
            <w:pPr>
              <w:pStyle w:val="NoSpacing"/>
            </w:pPr>
          </w:p>
        </w:tc>
        <w:tc>
          <w:tcPr>
            <w:tcW w:w="992" w:type="dxa"/>
            <w:vAlign w:val="center"/>
          </w:tcPr>
          <w:p w14:paraId="17F00262" w14:textId="77777777" w:rsidR="00F1508E" w:rsidRPr="00945104" w:rsidRDefault="00F1508E" w:rsidP="00D075F6">
            <w:pPr>
              <w:pStyle w:val="NoSpacing"/>
            </w:pPr>
          </w:p>
        </w:tc>
        <w:tc>
          <w:tcPr>
            <w:tcW w:w="2127" w:type="dxa"/>
            <w:vAlign w:val="center"/>
          </w:tcPr>
          <w:p w14:paraId="6D98210C" w14:textId="77777777" w:rsidR="00F1508E" w:rsidRPr="00945104" w:rsidRDefault="00F1508E" w:rsidP="00D075F6">
            <w:pPr>
              <w:pStyle w:val="NoSpacing"/>
            </w:pPr>
          </w:p>
        </w:tc>
        <w:tc>
          <w:tcPr>
            <w:tcW w:w="3118" w:type="dxa"/>
            <w:vAlign w:val="center"/>
          </w:tcPr>
          <w:p w14:paraId="0038B316" w14:textId="77777777" w:rsidR="00F1508E" w:rsidRPr="00E657EA" w:rsidRDefault="00F1508E" w:rsidP="00D075F6">
            <w:pPr>
              <w:pStyle w:val="NoSpacing"/>
            </w:pPr>
            <w:r w:rsidRPr="00E657EA">
              <w:t>Self-administered therapy (4)</w:t>
            </w:r>
          </w:p>
        </w:tc>
        <w:tc>
          <w:tcPr>
            <w:tcW w:w="425" w:type="dxa"/>
            <w:vAlign w:val="center"/>
          </w:tcPr>
          <w:p w14:paraId="1A3B11DC" w14:textId="77777777" w:rsidR="00F1508E" w:rsidRPr="00E657EA" w:rsidRDefault="00F1508E" w:rsidP="00D075F6">
            <w:pPr>
              <w:pStyle w:val="NoSpacing"/>
              <w:jc w:val="center"/>
            </w:pPr>
            <w:r w:rsidRPr="00E657EA">
              <w:t>3</w:t>
            </w:r>
          </w:p>
        </w:tc>
        <w:tc>
          <w:tcPr>
            <w:tcW w:w="993" w:type="dxa"/>
            <w:vAlign w:val="center"/>
          </w:tcPr>
          <w:p w14:paraId="6728E79C" w14:textId="77777777" w:rsidR="00F1508E" w:rsidRPr="00E657EA" w:rsidRDefault="00F1508E" w:rsidP="00D075F6">
            <w:pPr>
              <w:pStyle w:val="NoSpacing"/>
              <w:jc w:val="center"/>
            </w:pPr>
            <w:r w:rsidRPr="00E657EA">
              <w:t>0.07</w:t>
            </w:r>
          </w:p>
        </w:tc>
        <w:tc>
          <w:tcPr>
            <w:tcW w:w="1417" w:type="dxa"/>
            <w:vAlign w:val="center"/>
          </w:tcPr>
          <w:p w14:paraId="274A26D8" w14:textId="77777777" w:rsidR="00F1508E" w:rsidRPr="00E657EA" w:rsidRDefault="00F1508E" w:rsidP="00D075F6">
            <w:pPr>
              <w:pStyle w:val="NoSpacing"/>
            </w:pPr>
            <w:r w:rsidRPr="00E657EA">
              <w:t>-0.05 to 0.18</w:t>
            </w:r>
          </w:p>
        </w:tc>
        <w:tc>
          <w:tcPr>
            <w:tcW w:w="851" w:type="dxa"/>
            <w:vAlign w:val="center"/>
          </w:tcPr>
          <w:p w14:paraId="62C0E9FC" w14:textId="77777777" w:rsidR="00F1508E" w:rsidRPr="00E657EA" w:rsidRDefault="00F1508E" w:rsidP="00D075F6">
            <w:pPr>
              <w:pStyle w:val="NoSpacing"/>
              <w:jc w:val="center"/>
            </w:pPr>
            <w:r w:rsidRPr="00E657EA">
              <w:t>36.90</w:t>
            </w:r>
          </w:p>
        </w:tc>
        <w:tc>
          <w:tcPr>
            <w:tcW w:w="1417" w:type="dxa"/>
            <w:shd w:val="clear" w:color="auto" w:fill="auto"/>
            <w:vAlign w:val="center"/>
          </w:tcPr>
          <w:p w14:paraId="1DDD4742" w14:textId="77777777" w:rsidR="00F1508E" w:rsidRPr="00E657EA" w:rsidRDefault="00F1508E" w:rsidP="00D075F6">
            <w:pPr>
              <w:pStyle w:val="NoSpacing"/>
              <w:jc w:val="center"/>
            </w:pPr>
          </w:p>
        </w:tc>
        <w:tc>
          <w:tcPr>
            <w:tcW w:w="851" w:type="dxa"/>
            <w:shd w:val="clear" w:color="auto" w:fill="auto"/>
            <w:vAlign w:val="center"/>
          </w:tcPr>
          <w:p w14:paraId="4D03793B" w14:textId="77777777" w:rsidR="00F1508E" w:rsidRPr="00E657EA" w:rsidRDefault="00F1508E" w:rsidP="00D075F6">
            <w:pPr>
              <w:pStyle w:val="NoSpacing"/>
              <w:jc w:val="center"/>
            </w:pPr>
            <w:r w:rsidRPr="00E657EA">
              <w:t>25.331</w:t>
            </w:r>
          </w:p>
        </w:tc>
      </w:tr>
    </w:tbl>
    <w:p w14:paraId="79563CB6" w14:textId="77777777" w:rsidR="00F1508E" w:rsidRDefault="00F1508E" w:rsidP="00F1508E">
      <w:pPr>
        <w:rPr>
          <w:rFonts w:ascii="Times New Roman" w:hAnsi="Times New Roman" w:cs="Times New Roman"/>
          <w:sz w:val="18"/>
          <w:szCs w:val="18"/>
        </w:rPr>
        <w:sectPr w:rsidR="00F1508E" w:rsidSect="00452C07">
          <w:pgSz w:w="16838" w:h="11906" w:orient="landscape"/>
          <w:pgMar w:top="851" w:right="851" w:bottom="851" w:left="1134" w:header="708" w:footer="708" w:gutter="0"/>
          <w:cols w:space="708"/>
          <w:docGrid w:linePitch="360"/>
        </w:sectPr>
      </w:pPr>
      <w:r w:rsidRPr="008568C9">
        <w:rPr>
          <w:rFonts w:ascii="Times New Roman" w:hAnsi="Times New Roman" w:cs="Times New Roman"/>
          <w:i/>
          <w:sz w:val="18"/>
          <w:szCs w:val="18"/>
        </w:rPr>
        <w:t>Note: *</w:t>
      </w:r>
      <w:r w:rsidRPr="008568C9">
        <w:rPr>
          <w:rFonts w:ascii="Times New Roman" w:hAnsi="Times New Roman" w:cs="Times New Roman"/>
          <w:sz w:val="18"/>
          <w:szCs w:val="18"/>
        </w:rPr>
        <w:t>significant at</w:t>
      </w:r>
      <w:r w:rsidRPr="008568C9">
        <w:rPr>
          <w:rFonts w:ascii="Times New Roman" w:hAnsi="Times New Roman" w:cs="Times New Roman"/>
          <w:i/>
          <w:sz w:val="18"/>
          <w:szCs w:val="18"/>
        </w:rPr>
        <w:t xml:space="preserve"> p </w:t>
      </w:r>
      <w:r w:rsidRPr="008568C9">
        <w:rPr>
          <w:rFonts w:ascii="Times New Roman" w:hAnsi="Times New Roman" w:cs="Times New Roman"/>
          <w:sz w:val="18"/>
          <w:szCs w:val="18"/>
        </w:rPr>
        <w:t>&lt; .05 threshold;</w:t>
      </w:r>
      <w:r w:rsidRPr="008568C9">
        <w:rPr>
          <w:rFonts w:ascii="Times New Roman" w:hAnsi="Times New Roman" w:cs="Times New Roman"/>
          <w:i/>
          <w:sz w:val="18"/>
          <w:szCs w:val="18"/>
        </w:rPr>
        <w:t xml:space="preserve"> **</w:t>
      </w:r>
      <w:r w:rsidRPr="008568C9">
        <w:rPr>
          <w:rFonts w:ascii="Times New Roman" w:hAnsi="Times New Roman" w:cs="Times New Roman"/>
          <w:sz w:val="18"/>
          <w:szCs w:val="18"/>
        </w:rPr>
        <w:t xml:space="preserve">significant at Bonferroni adjusted </w:t>
      </w:r>
      <w:r w:rsidRPr="008568C9">
        <w:rPr>
          <w:rFonts w:ascii="Times New Roman" w:hAnsi="Times New Roman" w:cs="Times New Roman"/>
          <w:i/>
          <w:sz w:val="18"/>
          <w:szCs w:val="18"/>
        </w:rPr>
        <w:t xml:space="preserve">p </w:t>
      </w:r>
      <w:r w:rsidRPr="008568C9">
        <w:rPr>
          <w:rFonts w:ascii="Times New Roman" w:hAnsi="Times New Roman" w:cs="Times New Roman"/>
          <w:sz w:val="18"/>
          <w:szCs w:val="18"/>
        </w:rPr>
        <w:t xml:space="preserve">&lt; .01 threshold; ***significant at p &lt; .0001.  Abbreviations: SMD: Standardized Mean Difference; CI: Confidence Interval; </w:t>
      </w:r>
      <w:r w:rsidRPr="008568C9">
        <w:t>I</w:t>
      </w:r>
      <w:r w:rsidRPr="008568C9">
        <w:rPr>
          <w:vertAlign w:val="superscript"/>
        </w:rPr>
        <w:t>2</w:t>
      </w:r>
      <w:r w:rsidRPr="008568C9">
        <w:rPr>
          <w:rFonts w:ascii="Times New Roman" w:hAnsi="Times New Roman" w:cs="Times New Roman"/>
          <w:sz w:val="18"/>
          <w:szCs w:val="18"/>
        </w:rPr>
        <w:t>: percentage of variation across studies due to heterogeneity; NNT: Number Needed to Treat.</w:t>
      </w:r>
    </w:p>
    <w:p w14:paraId="7C640581" w14:textId="0F7B4F90" w:rsidR="00F1508E" w:rsidRDefault="00F1508E" w:rsidP="00B27113">
      <w:pPr>
        <w:pStyle w:val="Heading2"/>
      </w:pPr>
      <w:bookmarkStart w:id="285" w:name="_Toc530660515"/>
      <w:bookmarkStart w:id="286" w:name="_Toc3538116"/>
      <w:r>
        <w:lastRenderedPageBreak/>
        <w:t xml:space="preserve">Reporting </w:t>
      </w:r>
      <w:r w:rsidR="008468AC">
        <w:t>B</w:t>
      </w:r>
      <w:r>
        <w:t>ias</w:t>
      </w:r>
      <w:bookmarkEnd w:id="285"/>
      <w:bookmarkEnd w:id="286"/>
      <w:r>
        <w:t xml:space="preserve"> </w:t>
      </w:r>
    </w:p>
    <w:p w14:paraId="24341B94" w14:textId="2D3AB8D2" w:rsidR="00F1508E" w:rsidRDefault="00F1508E" w:rsidP="00F1508E">
      <w:r>
        <w:t>The funnel plot for e</w:t>
      </w:r>
      <w:r>
        <w:noBreakHyphen/>
        <w:t xml:space="preserve">therapy compared with passive controls at end of treatment is reported in </w:t>
      </w:r>
      <w:r>
        <w:fldChar w:fldCharType="begin"/>
      </w:r>
      <w:r>
        <w:instrText xml:space="preserve"> REF _Ref528906668 \h </w:instrText>
      </w:r>
      <w:r>
        <w:fldChar w:fldCharType="separate"/>
      </w:r>
      <w:r w:rsidR="00574650">
        <w:t xml:space="preserve">Figure </w:t>
      </w:r>
      <w:r w:rsidR="00574650">
        <w:rPr>
          <w:noProof/>
        </w:rPr>
        <w:t>4</w:t>
      </w:r>
      <w:r w:rsidR="00574650">
        <w:t>.</w:t>
      </w:r>
      <w:r w:rsidR="00574650">
        <w:rPr>
          <w:noProof/>
        </w:rPr>
        <w:t>7</w:t>
      </w:r>
      <w:r>
        <w:fldChar w:fldCharType="end"/>
      </w:r>
      <w:r w:rsidR="00554CB4">
        <w:t xml:space="preserve">.  </w:t>
      </w:r>
      <w:r>
        <w:t xml:space="preserve">Inspection suggests reporting bias, as the study distribution did not have a symmetrical distribution around the pooled mean effect size.  The Egger </w:t>
      </w:r>
      <w:r w:rsidRPr="00261FB2">
        <w:t xml:space="preserve">regression </w:t>
      </w:r>
      <w:r>
        <w:t>test</w:t>
      </w:r>
      <w:r w:rsidRPr="00261FB2">
        <w:t xml:space="preserve"> (</w:t>
      </w:r>
      <w:r>
        <w:t>I</w:t>
      </w:r>
      <w:r w:rsidRPr="00261FB2">
        <w:t>ntercept 10.98, 95% CI 1.97 to 19.98, p=0.021)</w:t>
      </w:r>
      <w:r>
        <w:rPr>
          <w:rFonts w:cs="Arial"/>
          <w:color w:val="222222"/>
          <w:sz w:val="19"/>
          <w:szCs w:val="19"/>
          <w:shd w:val="clear" w:color="auto" w:fill="FFFFFF"/>
        </w:rPr>
        <w:t xml:space="preserve"> </w:t>
      </w:r>
      <w:r>
        <w:t xml:space="preserve">indicated significant reporting bias, but </w:t>
      </w:r>
      <w:proofErr w:type="spellStart"/>
      <w:r>
        <w:t>Begg’s</w:t>
      </w:r>
      <w:proofErr w:type="spellEnd"/>
      <w:r>
        <w:t xml:space="preserve"> rank correlation method based on (Tau = 0.142857, p = 0.229), did not indicate significant reporting bias.  </w:t>
      </w:r>
    </w:p>
    <w:p w14:paraId="7E12BE06" w14:textId="168B2E11" w:rsidR="00F1508E" w:rsidRDefault="00F1508E" w:rsidP="00F1508E">
      <w:pPr>
        <w:pStyle w:val="Caption"/>
        <w:keepNext/>
      </w:pPr>
      <w:bookmarkStart w:id="287" w:name="_Ref528906668"/>
      <w:bookmarkStart w:id="288" w:name="_Toc530684658"/>
      <w:proofErr w:type="gramStart"/>
      <w:r>
        <w:t xml:space="preserve">Figure </w:t>
      </w:r>
      <w:r w:rsidR="00371DCC">
        <w:fldChar w:fldCharType="begin"/>
      </w:r>
      <w:r w:rsidR="00371DCC">
        <w:instrText xml:space="preserve"> STYLEREF 1 \s </w:instrText>
      </w:r>
      <w:r w:rsidR="00371DCC">
        <w:fldChar w:fldCharType="separate"/>
      </w:r>
      <w:r w:rsidR="00574650">
        <w:rPr>
          <w:noProof/>
        </w:rPr>
        <w:t>4</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7</w:t>
      </w:r>
      <w:r w:rsidR="00371DCC">
        <w:fldChar w:fldCharType="end"/>
      </w:r>
      <w:bookmarkEnd w:id="287"/>
      <w:r>
        <w:t xml:space="preserve"> </w:t>
      </w:r>
      <w:r w:rsidRPr="00D24028">
        <w:t xml:space="preserve">Funnel Plot for </w:t>
      </w:r>
      <w:r>
        <w:t>e</w:t>
      </w:r>
      <w:r>
        <w:noBreakHyphen/>
        <w:t>therapy</w:t>
      </w:r>
      <w:r w:rsidRPr="00D24028">
        <w:t xml:space="preserve"> compared with passive </w:t>
      </w:r>
      <w:r>
        <w:t>control</w:t>
      </w:r>
      <w:r w:rsidRPr="00D24028">
        <w:t xml:space="preserve"> at end of treatment</w:t>
      </w:r>
      <w:bookmarkEnd w:id="288"/>
    </w:p>
    <w:p w14:paraId="3010F467" w14:textId="77777777" w:rsidR="00F1508E" w:rsidRDefault="00F1508E" w:rsidP="00F1508E">
      <w:pPr>
        <w:keepNext/>
      </w:pPr>
      <w:r>
        <w:rPr>
          <w:noProof/>
          <w:lang w:eastAsia="en-GB"/>
        </w:rPr>
        <w:drawing>
          <wp:inline distT="0" distB="0" distL="0" distR="0" wp14:anchorId="5493056A" wp14:editId="27439404">
            <wp:extent cx="4981574" cy="4295775"/>
            <wp:effectExtent l="0" t="0" r="10160" b="9525"/>
            <wp:docPr id="25" name="Chart 2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xmlns:mv="urn:schemas-microsoft-com:mac:vml" xmlns:mo="http://schemas.microsoft.com/office/mac/office/2008/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57CCF97" w14:textId="77777777" w:rsidR="00F1508E" w:rsidRDefault="00F1508E" w:rsidP="00F1508E">
      <w:pPr>
        <w:spacing w:line="259" w:lineRule="auto"/>
      </w:pPr>
      <w:r>
        <w:br w:type="page"/>
      </w:r>
    </w:p>
    <w:p w14:paraId="703481DC" w14:textId="5EA82BC2" w:rsidR="00F1508E" w:rsidRDefault="00F1508E" w:rsidP="00F1508E">
      <w:r>
        <w:lastRenderedPageBreak/>
        <w:t>Inspection of the funnel plot for e</w:t>
      </w:r>
      <w:r>
        <w:noBreakHyphen/>
        <w:t>therapy compared with passive controls at follow-up (</w:t>
      </w:r>
      <w:r>
        <w:fldChar w:fldCharType="begin"/>
      </w:r>
      <w:r>
        <w:instrText xml:space="preserve"> REF _Ref528906697 \h </w:instrText>
      </w:r>
      <w:r>
        <w:fldChar w:fldCharType="separate"/>
      </w:r>
      <w:r w:rsidR="00574650">
        <w:t xml:space="preserve">Figure </w:t>
      </w:r>
      <w:r w:rsidR="00574650">
        <w:rPr>
          <w:noProof/>
        </w:rPr>
        <w:t>4</w:t>
      </w:r>
      <w:r w:rsidR="00574650">
        <w:t>.</w:t>
      </w:r>
      <w:r w:rsidR="00574650">
        <w:rPr>
          <w:noProof/>
        </w:rPr>
        <w:t>8</w:t>
      </w:r>
      <w:r>
        <w:fldChar w:fldCharType="end"/>
      </w:r>
      <w:r>
        <w:t xml:space="preserve">) suggested reporting bias, as the study distribution was not consistently symmetrical around the pooled mean effect size.  However, Egger’s regression test </w:t>
      </w:r>
      <w:r w:rsidRPr="00261FB2">
        <w:t>(</w:t>
      </w:r>
      <w:r>
        <w:t>I</w:t>
      </w:r>
      <w:r w:rsidRPr="00261FB2">
        <w:t xml:space="preserve">ntercept </w:t>
      </w:r>
      <w:r>
        <w:t>3.12</w:t>
      </w:r>
      <w:r w:rsidRPr="00261FB2">
        <w:t xml:space="preserve">, 95% CI </w:t>
      </w:r>
      <w:r>
        <w:t>-8.69</w:t>
      </w:r>
      <w:r w:rsidRPr="00261FB2">
        <w:t xml:space="preserve"> to </w:t>
      </w:r>
      <w:r>
        <w:t>14.92</w:t>
      </w:r>
      <w:r w:rsidRPr="00261FB2">
        <w:t>, p=0.</w:t>
      </w:r>
      <w:r>
        <w:t>562</w:t>
      </w:r>
      <w:r w:rsidRPr="00261FB2">
        <w:t>)</w:t>
      </w:r>
      <w:r>
        <w:t xml:space="preserve"> and </w:t>
      </w:r>
      <w:proofErr w:type="spellStart"/>
      <w:r>
        <w:t>Begg’s</w:t>
      </w:r>
      <w:proofErr w:type="spellEnd"/>
      <w:r>
        <w:t xml:space="preserve"> rank correlation method based on (Tau = 0.22, p = 0.83), did not indicate significant reporting bias.  Therefore, the overall population effect size estimate was likely to be relatively robust.</w:t>
      </w:r>
    </w:p>
    <w:p w14:paraId="2966C2FE" w14:textId="55D3942D" w:rsidR="00F1508E" w:rsidRDefault="00F1508E" w:rsidP="00F1508E">
      <w:pPr>
        <w:pStyle w:val="Caption"/>
        <w:keepNext/>
      </w:pPr>
      <w:bookmarkStart w:id="289" w:name="_Ref528906697"/>
      <w:bookmarkStart w:id="290" w:name="_Toc530684659"/>
      <w:proofErr w:type="gramStart"/>
      <w:r>
        <w:t xml:space="preserve">Figure </w:t>
      </w:r>
      <w:r w:rsidR="00371DCC">
        <w:fldChar w:fldCharType="begin"/>
      </w:r>
      <w:r w:rsidR="00371DCC">
        <w:instrText xml:space="preserve"> STYLEREF 1 \s </w:instrText>
      </w:r>
      <w:r w:rsidR="00371DCC">
        <w:fldChar w:fldCharType="separate"/>
      </w:r>
      <w:r w:rsidR="00574650">
        <w:rPr>
          <w:noProof/>
        </w:rPr>
        <w:t>4</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8</w:t>
      </w:r>
      <w:r w:rsidR="00371DCC">
        <w:fldChar w:fldCharType="end"/>
      </w:r>
      <w:bookmarkEnd w:id="289"/>
      <w:r>
        <w:t xml:space="preserve"> </w:t>
      </w:r>
      <w:r w:rsidRPr="00090760">
        <w:t xml:space="preserve">Funnel Plot for </w:t>
      </w:r>
      <w:r>
        <w:t>e</w:t>
      </w:r>
      <w:r>
        <w:noBreakHyphen/>
        <w:t>therapy</w:t>
      </w:r>
      <w:r w:rsidRPr="00090760">
        <w:t xml:space="preserve"> compared with passive </w:t>
      </w:r>
      <w:r>
        <w:t>control</w:t>
      </w:r>
      <w:r w:rsidRPr="00090760">
        <w:t xml:space="preserve"> at follow-up</w:t>
      </w:r>
      <w:bookmarkEnd w:id="290"/>
    </w:p>
    <w:p w14:paraId="66535DAB" w14:textId="77777777" w:rsidR="00F1508E" w:rsidRDefault="00F1508E" w:rsidP="00F1508E">
      <w:pPr>
        <w:keepNext/>
      </w:pPr>
      <w:r>
        <w:rPr>
          <w:noProof/>
          <w:lang w:eastAsia="en-GB"/>
        </w:rPr>
        <w:drawing>
          <wp:inline distT="0" distB="0" distL="0" distR="0" wp14:anchorId="6692357E" wp14:editId="121B0D06">
            <wp:extent cx="4981574" cy="4295775"/>
            <wp:effectExtent l="0" t="0" r="10160" b="9525"/>
            <wp:docPr id="39" name="Chart 3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xmlns:mv="urn:schemas-microsoft-com:mac:vml" xmlns:mo="http://schemas.microsoft.com/office/mac/office/2008/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73D4955" w14:textId="77777777" w:rsidR="00F1508E" w:rsidRDefault="00F1508E" w:rsidP="00F1508E">
      <w:pPr>
        <w:sectPr w:rsidR="00F1508E" w:rsidSect="00452C07">
          <w:pgSz w:w="11906" w:h="16838"/>
          <w:pgMar w:top="851" w:right="851" w:bottom="851" w:left="1134" w:header="708" w:footer="708" w:gutter="0"/>
          <w:cols w:space="708"/>
          <w:docGrid w:linePitch="360"/>
        </w:sectPr>
      </w:pPr>
      <w:bookmarkStart w:id="291" w:name="_Hlk513237941"/>
      <w:r w:rsidRPr="008B65C2">
        <w:t xml:space="preserve">There were insufficient number of studies (k &gt;10) to </w:t>
      </w:r>
      <w:r>
        <w:t xml:space="preserve">enable </w:t>
      </w:r>
      <w:r w:rsidRPr="008B65C2">
        <w:t xml:space="preserve">inspection the funnel plot for </w:t>
      </w:r>
      <w:r>
        <w:t>e</w:t>
      </w:r>
      <w:r>
        <w:noBreakHyphen/>
        <w:t>therapy</w:t>
      </w:r>
      <w:r w:rsidRPr="008B65C2">
        <w:t xml:space="preserve"> compared with active treatment at </w:t>
      </w:r>
      <w:r>
        <w:t xml:space="preserve">end of treatment and at </w:t>
      </w:r>
      <w:r w:rsidRPr="008B65C2">
        <w:t xml:space="preserve">follow-up </w:t>
      </w:r>
    </w:p>
    <w:p w14:paraId="7532FE0B" w14:textId="77777777" w:rsidR="00F1508E" w:rsidRDefault="00F1508E" w:rsidP="00B27113">
      <w:pPr>
        <w:pStyle w:val="Heading2"/>
      </w:pPr>
      <w:bookmarkStart w:id="292" w:name="_Toc530660516"/>
      <w:bookmarkStart w:id="293" w:name="_Toc3538117"/>
      <w:bookmarkEnd w:id="291"/>
      <w:r>
        <w:lastRenderedPageBreak/>
        <w:t>Discussion</w:t>
      </w:r>
      <w:bookmarkEnd w:id="292"/>
      <w:bookmarkEnd w:id="293"/>
    </w:p>
    <w:p w14:paraId="4048E6BB" w14:textId="2DC5FAA5" w:rsidR="00F1508E" w:rsidRDefault="00F1508E" w:rsidP="00B27113">
      <w:pPr>
        <w:pStyle w:val="Heading3"/>
        <w:rPr>
          <w:lang w:eastAsia="en-GB"/>
        </w:rPr>
      </w:pPr>
      <w:bookmarkStart w:id="294" w:name="_Toc530660517"/>
      <w:bookmarkStart w:id="295" w:name="_Toc3538118"/>
      <w:r w:rsidRPr="00501424">
        <w:rPr>
          <w:lang w:eastAsia="en-GB"/>
        </w:rPr>
        <w:t xml:space="preserve">Main </w:t>
      </w:r>
      <w:r w:rsidR="008468AC">
        <w:rPr>
          <w:lang w:eastAsia="en-GB"/>
        </w:rPr>
        <w:t>F</w:t>
      </w:r>
      <w:r w:rsidRPr="00501424">
        <w:rPr>
          <w:lang w:eastAsia="en-GB"/>
        </w:rPr>
        <w:t>indings</w:t>
      </w:r>
      <w:bookmarkEnd w:id="294"/>
      <w:bookmarkEnd w:id="295"/>
    </w:p>
    <w:p w14:paraId="47C85BCA" w14:textId="4B1AF6C4" w:rsidR="00F1508E" w:rsidRDefault="00F1508E" w:rsidP="00F1508E">
      <w:r>
        <w:t>This review has quantified the efficacy of the NHS recommended e</w:t>
      </w:r>
      <w:r>
        <w:noBreakHyphen/>
        <w:t>therapies</w:t>
      </w:r>
      <w:r w:rsidDel="000F7C6B">
        <w:t xml:space="preserve"> </w:t>
      </w:r>
      <w:r>
        <w:t xml:space="preserve">for adults and older adults presenting with stress, anxiety or depression.  This has been the first attempt to review and quantify the efficacy of the apps recommended by, and in common usage, in the NHS through </w:t>
      </w:r>
      <w:proofErr w:type="gramStart"/>
      <w:r>
        <w:t>meta</w:t>
      </w:r>
      <w:proofErr w:type="gramEnd"/>
      <w:r>
        <w:t xml:space="preserve"> analysing the clinical trials evidence base.  Overall, e</w:t>
      </w:r>
      <w:r>
        <w:noBreakHyphen/>
        <w:t>therapy has emerged as an LI intervention that is clinical effective when compared to passive controls (both at end of treatment and at follow-up), but when compared to another active intervention, e</w:t>
      </w:r>
      <w:r>
        <w:noBreakHyphen/>
        <w:t xml:space="preserve">therapies tend </w:t>
      </w:r>
      <w:r w:rsidR="007242F7">
        <w:t>do not differ</w:t>
      </w:r>
      <w:r>
        <w:t xml:space="preserve"> in terms of their clinical effectiveness.  The acceptability analysis also illustrated an average dropout rate of 37% and also a broad range of dropout rates, with a worrying maximum dropout rate of 83% for the </w:t>
      </w:r>
      <w:proofErr w:type="spellStart"/>
      <w:r>
        <w:t>MoodGYM</w:t>
      </w:r>
      <w:proofErr w:type="spellEnd"/>
      <w:r>
        <w:t xml:space="preserve"> e</w:t>
      </w:r>
      <w:r>
        <w:noBreakHyphen/>
        <w:t xml:space="preserve">therapy.  </w:t>
      </w:r>
      <w:r w:rsidRPr="00733BCF">
        <w:rPr>
          <w:noProof/>
        </w:rPr>
        <w:t>Melville, Casey and Kavanagh</w:t>
      </w:r>
      <w:r>
        <w:rPr>
          <w:noProof/>
        </w:rPr>
        <w:t xml:space="preserve"> </w:t>
      </w:r>
      <w:r>
        <w:fldChar w:fldCharType="begin" w:fldLock="1"/>
      </w:r>
      <w:r>
        <w:instrText>ADDIN CSL_CITATION {"citationItems":[{"id":"ITEM-1","itemData":{"DOI":"10.1348/014466509X472138","ISSN":"01446657","PMID":"19799804","abstract":"PURPOSE The purpose of this review was to present an in-depth analysis of literature identifying the extent of dropout from Internet-based treatment programmes for psychological disorders, and literature exploring the variables associated with dropout from such programmes. METHODS A comprehensive literature search was conducted on PSYCHINFO and PUBMED with the keywords: dropouts, drop out, dropout, dropping out, attrition, premature termination, termination, non-compliance, treatment, intervention, and program, each in combination with the key words Internet and web. A total of 19 studies published between 1990 and April 2009 and focusing on dropout from Internet-based treatment programmes involving minimal therapist contact were identified and included in the review. RESULTS Dropout ranged from 2 to 83% and a weighted average of 31% of the participants dropped out of treatment. A range of variables have been examined for their association with dropout from Internet-based treatment programmes for psychological disorders. Despite the numerous variables explored, evidence on any specific variables that may make an individual more likely to drop out of Internet-based treatment is currently limited. CONCLUSIONS This review highlights the need for more rigorous and theoretically guided research exploring the variables associated with dropping out of Internet-based treatment for psychological disorders.","author":[{"dropping-particle":"","family":"Melville","given":"Katherine M.","non-dropping-particle":"","parse-names":false,"suffix":""},{"dropping-particle":"","family":"Casey","given":"Leanne M.","non-dropping-particle":"","parse-names":false,"suffix":""},{"dropping-particle":"","family":"Kavanagh","given":"David J.","non-dropping-particle":"","parse-names":false,"suffix":""}],"container-title":"British Journal of Clinical Psychology","id":"ITEM-1","issue":"4","issued":{"date-parts":[["2010","11"]]},"page":"455-471","title":"Dropout from Internet-based treatment for psychological disorders","type":"article-journal","volume":"49"},"uris":["http://www.mendeley.com/documents/?uuid=2178f52b-9c4b-3048-871c-86c93346f4f8"]}],"mendeley":{"formattedCitation":"(Melville, Casey and Kavanagh, 2010)","manualFormatting":"(2010)","plainTextFormattedCitation":"(Melville, Casey and Kavanagh, 2010)","previouslyFormattedCitation":"(Melville, Casey and Kavanagh, 2010)"},"properties":{"noteIndex":0},"schema":"https://github.com/citation-style-language/schema/raw/master/csl-citation.json"}</w:instrText>
      </w:r>
      <w:r>
        <w:fldChar w:fldCharType="separate"/>
      </w:r>
      <w:r w:rsidRPr="00733BCF">
        <w:rPr>
          <w:noProof/>
        </w:rPr>
        <w:t>(2010)</w:t>
      </w:r>
      <w:r>
        <w:fldChar w:fldCharType="end"/>
      </w:r>
      <w:r>
        <w:t xml:space="preserve"> reported an average 31% (range, 2-83%) dropout rate from e-therapies.  The clinical utility of any health intervention needs to consider the overall matrix of cost, acceptability, feasibility and efficacy evidence </w:t>
      </w:r>
      <w:r>
        <w:fldChar w:fldCharType="begin" w:fldLock="1"/>
      </w:r>
      <w:r>
        <w:instrText>ADDIN CSL_CITATION {"citationItems":[{"id":"ITEM-1","itemData":{"DOI":"10.1093/intqhc/mzl034","ISSN":"1464-3677","author":[{"dropping-particle":"","family":"Smart","given":"Andrew","non-dropping-particle":"","parse-names":false,"suffix":""}],"container-title":"International Journal for Quality in Health Care","id":"ITEM-1","issue":"5","issued":{"date-parts":[["2006","10","1"]]},"page":"377-382","publisher":"Oxford University Press","title":"A multi-dimensional model of clinical utility","type":"article-journal","volume":"18"},"uris":["http://www.mendeley.com/documents/?uuid=ade9a9ee-cc66-35b9-92bc-9ed9f90aff24"]}],"mendeley":{"formattedCitation":"(Smart, 2006)","plainTextFormattedCitation":"(Smart, 2006)","previouslyFormattedCitation":"(Smart, 2006)"},"properties":{"noteIndex":0},"schema":"https://github.com/citation-style-language/schema/raw/master/csl-citation.json"}</w:instrText>
      </w:r>
      <w:r>
        <w:fldChar w:fldCharType="separate"/>
      </w:r>
      <w:r w:rsidRPr="001D3079">
        <w:rPr>
          <w:noProof/>
        </w:rPr>
        <w:t>(Smart, 2006)</w:t>
      </w:r>
      <w:r>
        <w:fldChar w:fldCharType="end"/>
      </w:r>
      <w:r>
        <w:t>. The reasons why a patient refuses treatment with an app and drops out from an NHS recommended e</w:t>
      </w:r>
      <w:r>
        <w:noBreakHyphen/>
        <w:t>therapy (and what then happens to them) have yet to be investigated.  Due to the limited number of studies testing specific e</w:t>
      </w:r>
      <w:r>
        <w:noBreakHyphen/>
        <w:t>therapies, it would be unfair to clinically champion any single e</w:t>
      </w:r>
      <w:r>
        <w:noBreakHyphen/>
        <w:t>therapy as being the most effective at this point in time.  This meta-analysis does indicate that those e</w:t>
      </w:r>
      <w:r>
        <w:noBreakHyphen/>
        <w:t xml:space="preserve">therapies that have a greater amount of therapist input, tend to generate better outcomes, and this matches the results of previous meta-analysis </w:t>
      </w:r>
      <w:r>
        <w:fldChar w:fldCharType="begin" w:fldLock="1"/>
      </w:r>
      <w:r>
        <w:instrText>ADDIN CSL_CITATION {"citationItems":[{"id":"ITEM-1","itemData":{"DOI":"10.1017/S0033291707000542","ISBN":"1469-8978","ISSN":"00332917","PMID":"17466110","abstract":"BACKGROUND: Subthreshold depression is a highly prevalent condition and a risk factor for developing a major depressive episode. Internet-based cognitive behaviour therapy may be a promising approach for the treatment of subthreshold depression. The current study had two aims: (1) to determine whether an internet-based cognitive behaviour therapy intervention and a group cognitive behaviour therapy intervention are more effective than a waiting-list control group; and (2) to determine whether the effect of the internet-based cognitive behaviour therapy differs from the group cognitive behaviour therapy intervention. METHOD: A total of 191 women and 110 men with subthreshold depression were randomized into internet-based treatment, group cognitive behaviour therapy (Lewinsohn's Coping With Depression course), or a waiting-list control condition. The main outcome measure was treatment response after 10 weeks, defined as the difference in pre- and post-treatment scores on the Beck Depression Inventory (BDI). Missing data, a major limitation of this study, were imputed using the Multiple Imputation (MI) procedure Data Augmentation. RESULTS: In the waiting-list control group, we found a pre- to post-improvement effect size of 0.45, which was 0.65 in the group cognitive behaviour therapy condition and 1.00 within the internet-based treatment condition. Helmert contrasts showed a significant difference between the waiting-list condition and the two treatment conditions (p=0.04) and no significant difference between both treatment conditions (p=0.62). CONCLUSIONS: An internet-based intervention may be at least as effective as a commonly used group cognitive behaviour therapy intervention for subthreshold depression in people over 50 years of age.","author":[{"dropping-particle":"","family":"Spek","given":"Viola","non-dropping-particle":"","parse-names":false,"suffix":""},{"dropping-particle":"","family":"Nyklíček","given":"Ivan","non-dropping-particle":"","parse-names":false,"suffix":""},{"dropping-particle":"","family":"Smits","given":"Niels","non-dropping-particle":"","parse-names":false,"suffix":""},{"dropping-particle":"","family":"Cuijpers","given":"Pim","non-dropping-particle":"","parse-names":false,"suffix":""},{"dropping-particle":"","family":"Riper","given":"Heleen","non-dropping-particle":"","parse-names":false,"suffix":""},{"dropping-particle":"","family":"Keyzer","given":"Jules","non-dropping-particle":"","parse-names":false,"suffix":""},{"dropping-particle":"","family":"Pop","given":"Victor","non-dropping-particle":"","parse-names":false,"suffix":""}],"container-title":"Psychological Medicine","id":"ITEM-1","issue":"12","issued":{"date-parts":[["2007","12"]]},"note":"First, we wanted to determine whether internet-based cognitive behaviour therapy and group cognitive behaviour therapy were more effective than a waiting-list condition. Second, we tested whether the two inter- ventions differed regarding their effectivenes","page":"1797-1806","title":"Internet-based cognitive behavioural therapy for subthreshold depression in people over 50 years old: A randomized controlled clinical trial","type":"article-journal","volume":"37"},"uris":["http://www.mendeley.com/documents/?uuid=e03629d4-ea3a-4776-bf45-aa95bc3dd3dc"]},{"id":"ITEM-2","itemData":{"DOI":"10.1586/14737167.7.3.291","ISBN":"1473-7167","ISSN":"14737167","PMID":"20528315","abstract":"Psychiatric problems such as mood and anxiety disorders are highly prevalent and are associated with high societal costs and individual suffering. Evidence-based psychological treatments obtain good results but are not available to the required extent due to the lack of practitioners with adequate training. One way to solve this problem is to provide minimal-contact self-help treatments, for example, with the assistance of computers. Recently, internet-delivered cognitive-behavioral treatment has been tested in a series of controlled trials. However, the interventions come in many forms with different levels and kinds of therapist input, which have implications for the costs of the treatments and possibly their effectiveness. In this review we found evidence for a strong correlation between therapist input and outcome. While emerging evidence attests to the efficacy of internet-delivered treatment when at least minimal therapist guidance is provided, most studies in the field have not included a formal evaluation of cost-effectiveness. Future research needs are discussed.","author":[{"dropping-particle":"","family":"Palmqvist","given":"Björn","non-dropping-particle":"","parse-names":false,"suffix":""},{"dropping-particle":"","family":"Carlbring","given":"Per","non-dropping-particle":"","parse-names":false,"suffix":""},{"dropping-particle":"","family":"Andersson","given":"Gerhard","non-dropping-particle":"","parse-names":false,"suffix":""}],"container-title":"Expert Review of Pharmacoeconomics and Outcomes Research","id":"ITEM-2","issue":"3","issued":{"date-parts":[["2007","6","9"]]},"page":"291-297","title":"Internet-delivered treatments with or without therapist input: Does the therapist factor have implications for efficacy and cost?","type":"article-journal","volume":"7"},"uris":["http://www.mendeley.com/documents/?uuid=6fd1ebb0-781f-3981-876f-be62c8f0be08"]},{"id":"ITEM-3","itemData":{"DOI":"10.1080/16506070802694776","ISBN":"1650-6073","ISSN":"16506073","PMID":"20183688","abstract":"Abstract. Computer-aided psychotherapy (CP) is said to (1) be as effective as face-to-face psychotherapy, while requiring less therapist time, for anxiety disorder sufferers, (2) speed access to care, and (3) save traveling time. CP may be delivered on stand-alone or Internet-linked computers, palmtop computers, phone-interactive voice response, DVDs, and cell phones. The authors performed a meta-analysis of 23 randomised controlled studies (RCTs) that compared CP with non- CP in anxiety disorders: phobias, n510; panic disorder/agoraphobia, n59; PTSD, n53; obsessive– compulsive disorder, n51. Overall mean effect size of CP compared with non-CP was 1.08 (95% confidence interval: 0.84–1.32). CP and face-to-face psychotherapy did not differ significantly from each other (13 comparisons, d520.06). Much caution is needed when interpreting the findings indicating that outcome was unrelated to type of disorder, type of comparison group, mode of CP delivery (Internet, stand-alone PC, palmtop), and recency of the CP system and that effect size decreased when more therapist time was replaced by the computer. Because CP as a whole was as effective as face-to-face psychotherapy, certain forms of CP deserve to be integrated into routine practice.","author":[{"dropping-particle":"","family":"Cuijpers","given":"Pim","non-dropping-particle":"","parse-names":false,"suffix":""},{"dropping-particle":"","family":"Marks","given":"Isaac M.","non-dropping-particle":"","parse-names":false,"suffix":""},{"dropping-particle":"","family":"Straten","given":"Annemieke","non-dropping-particle":"van","parse-names":false,"suffix":""},{"dropping-particle":"","family":"Cavanagh","given":"Kate","non-dropping-particle":"","parse-names":false,"suffix":""},{"dropping-particle":"","family":"Gega","given":"Lina","non-dropping-particle":"","parse-names":false,"suffix":""},{"dropping-particle":"","family":"Andersson","given":"Gerhard","non-dropping-particle":"","parse-names":false,"suffix":""}],"container-title":"Cognitive Behaviour Therapy","id":"ITEM-3","issue":"2","issued":{"date-parts":[["2009","1"]]},"page":"66-82","title":"Computer-aided psychotherapy for anxiety disorders: A meta-analytic review","type":"article-journal","volume":"38"},"uris":["http://www.mendeley.com/documents/?uuid=70e6de36-df9f-436a-8d95-d39320640c2d"]}],"mendeley":{"formattedCitation":"(Palmqvist, Carlbring and Andersson, 2007; Spek, Nyklíček, &lt;i&gt;et al.&lt;/i&gt;, 2007a; Cuijpers &lt;i&gt;et al.&lt;/i&gt;, 2009)","plainTextFormattedCitation":"(Palmqvist, Carlbring and Andersson, 2007; Spek, Nyklíček, et al., 2007a; Cuijpers et al., 2009)","previouslyFormattedCitation":"(Palmqvist, Carlbring and Andersson, 2007; Spek, Nyklíček, &lt;i&gt;et al.&lt;/i&gt;, 2007a; Cuijpers &lt;i&gt;et al.&lt;/i&gt;, 2009)"},"properties":{"noteIndex":0},"schema":"https://github.com/citation-style-language/schema/raw/master/csl-citation.json"}</w:instrText>
      </w:r>
      <w:r>
        <w:fldChar w:fldCharType="separate"/>
      </w:r>
      <w:r w:rsidRPr="00D43C5A">
        <w:rPr>
          <w:noProof/>
        </w:rPr>
        <w:t xml:space="preserve">(Palmqvist, Carlbring and Andersson, 2007; Spek, Nyklíček, </w:t>
      </w:r>
      <w:r w:rsidRPr="00D43C5A">
        <w:rPr>
          <w:i/>
          <w:noProof/>
        </w:rPr>
        <w:t>et al.</w:t>
      </w:r>
      <w:r w:rsidRPr="00D43C5A">
        <w:rPr>
          <w:noProof/>
        </w:rPr>
        <w:t xml:space="preserve">, 2007a; Cuijpers </w:t>
      </w:r>
      <w:r w:rsidRPr="00D43C5A">
        <w:rPr>
          <w:i/>
          <w:noProof/>
        </w:rPr>
        <w:t>et al.</w:t>
      </w:r>
      <w:r w:rsidRPr="00D43C5A">
        <w:rPr>
          <w:noProof/>
        </w:rPr>
        <w:t>, 2009)</w:t>
      </w:r>
      <w:r>
        <w:fldChar w:fldCharType="end"/>
      </w:r>
      <w:r>
        <w:t>.</w:t>
      </w:r>
    </w:p>
    <w:p w14:paraId="6C7635A3" w14:textId="6D6C5B13" w:rsidR="00F1508E" w:rsidRDefault="00F1508E" w:rsidP="00802670">
      <w:r>
        <w:t>The review also highlighted high variability via the I</w:t>
      </w:r>
      <w:r w:rsidRPr="000E254F">
        <w:rPr>
          <w:vertAlign w:val="superscript"/>
        </w:rPr>
        <w:t>2</w:t>
      </w:r>
      <w:r>
        <w:t xml:space="preserve"> statistic between e-therapies, suggesting that ‘e-therapy’ should not be considered a single and specific treatment approach.  The most frequent forms of e</w:t>
      </w:r>
      <w:r>
        <w:noBreakHyphen/>
        <w:t>therapy were defined as ‘p</w:t>
      </w:r>
      <w:r w:rsidRPr="00D7305E">
        <w:t>redominantly self-help</w:t>
      </w:r>
      <w:r>
        <w:t>’ or ‘s</w:t>
      </w:r>
      <w:r w:rsidRPr="00CA39FF">
        <w:t>elf-administered therapy</w:t>
      </w:r>
      <w:r>
        <w:t>.’ The comparisons of study characteristics highlighted interesting commonalities and differences across and between e</w:t>
      </w:r>
      <w:r>
        <w:noBreakHyphen/>
        <w:t>therapies.  Five out of the six e</w:t>
      </w:r>
      <w:r>
        <w:noBreakHyphen/>
        <w:t xml:space="preserve">therapies were based in cognitive-behavioural theory.  This mirrors that LI interventions as a whole tend to be based and focussed on variants of CBT </w:t>
      </w:r>
      <w:r>
        <w:fldChar w:fldCharType="begin" w:fldLock="1"/>
      </w:r>
      <w:r>
        <w:instrText>ADDIN CSL_CITATION {"citationItems":[{"id":"ITEM-1","itemData":{"author":[{"dropping-particle":"","family":"The National Collaborating Centre for Mental Health","given":"","non-dropping-particle":"","parse-names":false,"suffix":""}],"id":"ITEM-1","issued":{"date-parts":[["2018"]]},"title":"The Improving Access to Psychological Therapies Manual","type":"article-journal"},"uris":["http://www.mendeley.com/documents/?uuid=173284cc-6779-3247-99fc-d754221ed34f"]}],"mendeley":{"formattedCitation":"(The National Collaborating Centre for Mental Health, 2018)","plainTextFormattedCitation":"(The National Collaborating Centre for Mental Health, 2018)","previouslyFormattedCitation":"(The National Collaborating Centre for Mental Health, 2018)"},"properties":{"noteIndex":0},"schema":"https://github.com/citation-style-language/schema/raw/master/csl-citation.json"}</w:instrText>
      </w:r>
      <w:r>
        <w:fldChar w:fldCharType="separate"/>
      </w:r>
      <w:r w:rsidRPr="00D43C5A">
        <w:rPr>
          <w:noProof/>
        </w:rPr>
        <w:t>(The National Collaborating Centre for Mental Health, 2018)</w:t>
      </w:r>
      <w:r>
        <w:fldChar w:fldCharType="end"/>
      </w:r>
      <w:r>
        <w:t xml:space="preserve">.  It is worth noting the LI versions of CBT have poor face validity and acceptability for some </w:t>
      </w:r>
      <w:r>
        <w:fldChar w:fldCharType="begin" w:fldLock="1"/>
      </w:r>
      <w:r>
        <w:instrText>ADDIN CSL_CITATION {"citationItems":[{"id":"ITEM-1","itemData":{"DOI":"10.1080/08870440902842739","ISSN":"1476-8321","PMID":"20204955","abstract":"BACKGROUND: People with chronic physical conditions are at elevated risk of depression. Due to a shortage of Cognitive Behavioural Therapy (CBT) practitioners, computerised CBT (CCBT) is recommended for people with mild to moderate depression. We assessed the applicability of CCBT for the treatment of depression in people with multiple sclerosis (MS).\n\nMETHODS: Depth interviews with 17 people with MS and mild to moderate depression who used one of the two CCBT packages for either eight (Beating the Blues; n = 8) or five (MoodGym; n = 9) weekly sessions were analysed using 'Framework'.\n\nRESULTS: Participants found CCBT-use burdensome due to their physical symptoms. In addition to perpetuating social isolation, the lack of human input meant some participants were unable to define problems, set goals or distinguish between events, thoughts and beliefs as required. CCBT did not legitimise their grief over losses concomitant with their MS. They characterised depression symptom inventories as contaminated by somatic symptoms of their MS. One CCBT package (MoodGym) was perceived as using inappropriate case material for people with the symptoms of MS.\n\nCONCLUSIONS: It is likely that generic CCBT packages for the treatment of depression will need to be adapted for people with chronic physical conditions to maximise their potential for health benefit.","author":[{"dropping-particle":"","family":"Hind","given":"Daniel","non-dropping-particle":"","parse-names":false,"suffix":""},{"dropping-particle":"","family":"O'Cathain","given":"Alicia","non-dropping-particle":"","parse-names":false,"suffix":""},{"dropping-particle":"","family":"Cooper","given":"Cindy L","non-dropping-particle":"","parse-names":false,"suffix":""},{"dropping-particle":"","family":"Parry","given":"Glenys D","non-dropping-particle":"","parse-names":false,"suffix":""},{"dropping-particle":"","family":"Isaac","given":"Claire L","non-dropping-particle":"","parse-names":false,"suffix":""},{"dropping-particle":"","family":"Rose","given":"Anita","non-dropping-particle":"","parse-names":false,"suffix":""},{"dropping-particle":"","family":"Martin","given":"Leonie","non-dropping-particle":"","parse-names":false,"suffix":""},{"dropping-particle":"","family":"Sharrack","given":"Basil.","non-dropping-particle":"","parse-names":false,"suffix":""}],"container-title":"Psychology &amp; Health","id":"ITEM-1","issue":"6","issued":{"date-parts":[["2010","7"]]},"page":"699-712","title":"The acceptability of computerised cognitive behavioural therapy for the treatment of depression in people with chronic physical disease: a qualitative study of people with multiple sclerosis.","type":"article-journal","volume":"25"},"uris":["http://www.mendeley.com/documents/?uuid=6516aa3e-5cd3-4757-9fb8-e051bb57c8cc"]}],"mendeley":{"formattedCitation":"(Hind &lt;i&gt;et al.&lt;/i&gt;, 2010)","plainTextFormattedCitation":"(Hind et al., 2010)","previouslyFormattedCitation":"(Hind &lt;i&gt;et al.&lt;/i&gt;, 2010)"},"properties":{"noteIndex":0},"schema":"https://github.com/citation-style-language/schema/raw/master/csl-citation.json"}</w:instrText>
      </w:r>
      <w:r>
        <w:fldChar w:fldCharType="separate"/>
      </w:r>
      <w:r w:rsidRPr="009F6A7D">
        <w:rPr>
          <w:noProof/>
        </w:rPr>
        <w:t xml:space="preserve">(Hind </w:t>
      </w:r>
      <w:r w:rsidRPr="009F6A7D">
        <w:rPr>
          <w:i/>
          <w:noProof/>
        </w:rPr>
        <w:t>et al.</w:t>
      </w:r>
      <w:r w:rsidRPr="009F6A7D">
        <w:rPr>
          <w:noProof/>
        </w:rPr>
        <w:t>, 2010)</w:t>
      </w:r>
      <w:r>
        <w:fldChar w:fldCharType="end"/>
      </w:r>
      <w:r>
        <w:t xml:space="preserve"> and so the high dropout rates noted may be due to a combination of theoretical approach and/or technical factors related to e</w:t>
      </w:r>
      <w:r>
        <w:noBreakHyphen/>
        <w:t>therapy use</w:t>
      </w:r>
      <w:r w:rsidR="00554CB4">
        <w:t xml:space="preserve">.  </w:t>
      </w:r>
      <w:r>
        <w:t xml:space="preserve">Clearly, there needs the be greater theoretical plurality in terms of e-therapy design that might then enable greater patient choice and also the potential for conducting patient </w:t>
      </w:r>
      <w:r w:rsidRPr="00CE53E1">
        <w:t xml:space="preserve">preference trials </w:t>
      </w:r>
      <w:r w:rsidRPr="00CE53E1">
        <w:fldChar w:fldCharType="begin" w:fldLock="1"/>
      </w:r>
      <w:r>
        <w:instrText>ADDIN CSL_CITATION {"citationItems":[{"id":"ITEM-1","itemData":{"DOI":"10.1136/bmjopen-2015-008581","ISSN":"2044-6055","PMID":"26621513","abstract":"OBJECTIVE To explore patient experience of computerised cognitive behaviour therapy (cCBT) for depression in a pragmatic randomised controlled trial (Randomised Evaluation of the Effectiveness and Acceptability of Computerised Therapy, REEACT). DESIGN Qualitative semistructured interviews with 36 participants. PARTICIPANTS Depressed patients with a Patient Health Questionnaire 9 of 10 or above recruited into the REEACT randomised controlled trial. SETTING Primary care settings in England. RESULTS Participant experience was on a continuum, with some patients unable or unwilling to accept psychological therapy without interpersonal contact while others appreciated the enhanced anonymity and flexibility of cCBT. The majority of patients were ambivalent, recognising the potential benefits offered by cCBT but struggling with challenges posed by the severity of their illness, lack of support and limited personalisation of programme content. Low completion rates were commonly reported, although more positive patients reported greater engagement. Both positive and ambivalent patients perceived a need for monitoring or follow-up to support completion, while negative patients reported deliberate non-adherence due to dissatisfaction with the programme. Patients also reported that severity of depression impacted on engagement, and viewed cCBT as unsuitable for patients undergoing more severe depressive episodes. CONCLUSIONS The study demonstrates both the unique demands and benefits of computerised therapy. cCBT was preferred by some patients and rejected by others, but the majority of patients were ambivalent about the therapy. cCBT could be offered within a menu of options in stepped care if matched appropriately to individual patients or could be offered with enhanced support to appeal to a greater number of patients. TRIAL REGISTRATION NUMBER ISRCTN91947481.","author":[{"dropping-particle":"","family":"Knowles","given":"Sarah E","non-dropping-particle":"","parse-names":false,"suffix":""},{"dropping-particle":"","family":"Lovell","given":"Karina","non-dropping-particle":"","parse-names":false,"suffix":""},{"dropping-particle":"","family":"Bower","given":"Peter","non-dropping-particle":"","parse-names":false,"suffix":""},{"dropping-particle":"","family":"Gilbody","given":"Simon","non-dropping-particle":"","parse-names":false,"suffix":""},{"dropping-particle":"","family":"Littlewood","given":"Elizabeth","non-dropping-particle":"","parse-names":false,"suffix":""},{"dropping-particle":"","family":"Lester","given":"Helen","non-dropping-particle":"","parse-names":false,"suffix":""}],"container-title":"BMJ open","id":"ITEM-1","issue":"11","issued":{"date-parts":[["2015","11","30"]]},"page":"e008581","publisher":"British Medical Journal Publishing Group","title":"Patient experience of computerised therapy for depression in primary care.","type":"article-journal","volume":"5"},"uris":["http://www.mendeley.com/documents/?uuid=df3171e6-9583-3ef3-a9e1-4a1a1db22cc0"]}],"mendeley":{"formattedCitation":"(Knowles &lt;i&gt;et al.&lt;/i&gt;, 2015)","plainTextFormattedCitation":"(Knowles et al., 2015)","previouslyFormattedCitation":"(Knowles &lt;i&gt;et al.&lt;/i&gt;, 2015)"},"properties":{"noteIndex":0},"schema":"https://github.com/citation-style-language/schema/raw/master/csl-citation.json"}</w:instrText>
      </w:r>
      <w:r w:rsidRPr="00CE53E1">
        <w:fldChar w:fldCharType="separate"/>
      </w:r>
      <w:r w:rsidRPr="00CE53E1">
        <w:rPr>
          <w:noProof/>
        </w:rPr>
        <w:t>(Knowles et al., 2015)</w:t>
      </w:r>
      <w:r w:rsidRPr="00CE53E1">
        <w:fldChar w:fldCharType="end"/>
      </w:r>
      <w:r w:rsidRPr="00CE53E1">
        <w:t>.</w:t>
      </w:r>
      <w:r>
        <w:t xml:space="preserve">  NICE’s current assessment programme requires an e</w:t>
      </w:r>
      <w:r>
        <w:noBreakHyphen/>
        <w:t xml:space="preserve">therapy to abide to a strict method of delivery, which mirroring the NICE recommended psychological therapy for the disorder(s) being treated </w:t>
      </w:r>
      <w:r>
        <w:fldChar w:fldCharType="begin" w:fldLock="1"/>
      </w:r>
      <w:r>
        <w:instrText xml:space="preserve">ADDIN CSL_CITATION {"citationItems":[{"id":"ITEM-1","itemData":{"abstract":"Digitally enabled therapy technologies that meet the following requirement will be eligible for assessment in this programme: 1) The digital programme (online or an app) delivers a substantial portion of the therapy but is designed to be used with therapist assistance. 2) The technology must be designed to treat one of the 13 conditions covered by IAPT: </w:instrText>
      </w:r>
      <w:r>
        <w:instrText xml:space="preserve"> depression </w:instrText>
      </w:r>
      <w:r>
        <w:instrText xml:space="preserve"> generalised anxiety disorder </w:instrText>
      </w:r>
      <w:r>
        <w:instrText xml:space="preserve"> social anxiety disorder </w:instrText>
      </w:r>
      <w:r>
        <w:instrText xml:space="preserve"> panic disorder </w:instrText>
      </w:r>
      <w:r>
        <w:instrText xml:space="preserve"> agoraphobia </w:instrText>
      </w:r>
      <w:r>
        <w:instrText xml:space="preserve"> post-traumatic stress disorder </w:instrText>
      </w:r>
      <w:r>
        <w:instrText xml:space="preserve"> health anxiety (hypochondriasis) </w:instrText>
      </w:r>
      <w:r>
        <w:instrText xml:space="preserve"> specific phobia </w:instrText>
      </w:r>
      <w:r>
        <w:instrText xml:space="preserve"> obsessive-compulsive disorder </w:instrText>
      </w:r>
      <w:r>
        <w:instrText xml:space="preserve"> body dysmorphic disorder </w:instrText>
      </w:r>
      <w:r>
        <w:instrText xml:space="preserve"> irritable bowel syndrome </w:instrText>
      </w:r>
      <w:r>
        <w:instrText xml:space="preserve"> chronic fatigue syndrome </w:instrText>
      </w:r>
      <w:r>
        <w:instrText> medically unexplained symptoms not otherwise specified. 3) The content of the treatment should mirror a NICE recommended psychological therapy for the relevant condition (for example in OCD the programme should not just be a generic CBT intervention. It would need to include exposure and response prevention). 4) The digital programme should be designed to support a model of care where the therapist guides the user through the programme and regularly reviews the user's work, clinical outcomes and risk. To facilitate this process it is expected that the digital programme will have inbuilt mechanisms that: a. Support direct two-way communication between the therapist and the service user to facilitate the effective delivery of the intervention.","author":[{"dropping-particle":"","family":"NICE","given":"","non-dropping-particle":"","parse-names":false,"suffix":""}],"id":"ITEM-1","issued":{"date-parts":[["2017"]]},"title":"NICE IAPT assessment programme: Eligibility requirements of digitally enabled therapy technologies","type":"article-journal"},"uris":["http://www.mendeley.com/documents/?uuid=81775f31-4e25-315b-8ec1-ffc65919f132"]}],"mendeley":{"formattedCitation":"(NICE, 2017)","plainTextFormattedCitation":"(NICE, 2017)","previouslyFormattedCitation":"(NICE, 2017)"},"properties":{"noteIndex":0},"schema":"https://github.com/citation-style-language/schema/raw/master/csl-citation.json"}</w:instrText>
      </w:r>
      <w:r>
        <w:fldChar w:fldCharType="separate"/>
      </w:r>
      <w:r w:rsidRPr="00D43C5A">
        <w:rPr>
          <w:noProof/>
        </w:rPr>
        <w:t>(NICE, 2017)</w:t>
      </w:r>
      <w:r>
        <w:fldChar w:fldCharType="end"/>
      </w:r>
      <w:r>
        <w:t xml:space="preserve">.  Beating the Blues, Fear Fighter, Headspace, </w:t>
      </w:r>
      <w:proofErr w:type="spellStart"/>
      <w:r>
        <w:t>Ieso</w:t>
      </w:r>
      <w:proofErr w:type="spellEnd"/>
      <w:r>
        <w:t xml:space="preserve"> Digital Health Ltd and </w:t>
      </w:r>
      <w:proofErr w:type="spellStart"/>
      <w:r>
        <w:t>MoodGYM</w:t>
      </w:r>
      <w:proofErr w:type="spellEnd"/>
      <w:r>
        <w:t xml:space="preserve"> would all not be suitable for NICE assessment as all fail to meet one or more of NICE’s assessment criterion.</w:t>
      </w:r>
    </w:p>
    <w:p w14:paraId="0DF4A594" w14:textId="159D0A7D" w:rsidR="00F1508E" w:rsidRDefault="00F1508E" w:rsidP="00802670">
      <w:r>
        <w:t>The standardisation of e</w:t>
      </w:r>
      <w:r>
        <w:noBreakHyphen/>
        <w:t>therapy recommendation by NICE is potentially clinically limiting, as all e</w:t>
      </w:r>
      <w:r>
        <w:noBreakHyphen/>
        <w:t xml:space="preserve">therapies that qualify for assessment must follow a set therapeutic style and approach.  This potentially limits innovation </w:t>
      </w:r>
      <w:r>
        <w:lastRenderedPageBreak/>
        <w:t>in terms of the clinical e</w:t>
      </w:r>
      <w:r>
        <w:noBreakHyphen/>
        <w:t>therapy method, through disabling the incentives/possibilities of developing apps based in other theoretical schools.  There may be a dilemma in the e-therapy field therefore between fidelity/conformity and innovation/development.  A number of other approaches have been applied to e</w:t>
      </w:r>
      <w:r>
        <w:noBreakHyphen/>
        <w:t xml:space="preserve">therapy more recently such as acceptance and commitment therapy </w:t>
      </w:r>
      <w:r>
        <w:fldChar w:fldCharType="begin" w:fldLock="1"/>
      </w:r>
      <w:r>
        <w:instrText>ADDIN CSL_CITATION {"citationItems":[{"id":"ITEM-1","itemData":{"DOI":"10.1016/j.brat.2013.02.010","ISBN":"0005-7967","ISSN":"1873622X","PMID":"23548250","abstract":"Acceptance and commitment therapy (ACT) interventions for persons with chronic pain have recently received empirical support. ACT focuses on reducing the disabling influences of pain through targeting ineffective control strategies and teaches people to stay in contact with unpleasant emotions, sensations, and thoughts. The aim of the present study was to investigate the effect of a guided internet-delivered ACT intervention for persons with chronic pain. A total of 76 patients with chronic pain were included in the study and randomized to either treatment for 7 weeks or to a control group that participated in a moderated online discussion forum. Intent-to-treat analyses showed significant increases regarding activity engagement and pain willingness. Measurements were provided with the primary outcome variable Chronic Pain Acceptance Questionnaire which was in favour of the treatment group. Reductions were found on other measures of pain-related distress, anxiety and depressive symptoms. A six month follow-up showed maintenance of improvements. We conclude that an acceptance based internet-delivered treatment can be effective for persons with chronic pain. © 2013 Elsevier Ltd.","author":[{"dropping-particle":"","family":"Buhrman","given":"Monica","non-dropping-particle":"","parse-names":false,"suffix":""},{"dropping-particle":"","family":"Skoglund","given":"Astrid","non-dropping-particle":"","parse-names":false,"suffix":""},{"dropping-particle":"","family":"Husell","given":"Josefin","non-dropping-particle":"","parse-names":false,"suffix":""},{"dropping-particle":"","family":"Bergström","given":"Kristina","non-dropping-particle":"","parse-names":false,"suffix":""},{"dropping-particle":"","family":"Gordh","given":"Torsten","non-dropping-particle":"","parse-names":false,"suffix":""},{"dropping-particle":"","family":"Hursti","given":"Timo","non-dropping-particle":"","parse-names":false,"suffix":""},{"dropping-particle":"","family":"Bendelin","given":"Nina","non-dropping-particle":"","parse-names":false,"suffix":""},{"dropping-particle":"","family":"Furmark","given":"Tomas","non-dropping-particle":"","parse-names":false,"suffix":""},{"dropping-particle":"","family":"Andersson","given":"Gerhard","non-dropping-particle":"","parse-names":false,"suffix":""}],"container-title":"Behaviour Research and Therapy","id":"ITEM-1","issue":"6","issued":{"date-parts":[["2013","6"]]},"page":"307-315","title":"Guided internet-delivered acceptance and commitment therapy for chronic pain patients: A randomized controlled trial","type":"article-journal","volume":"51"},"uris":["http://www.mendeley.com/documents/?uuid=fc6749f7-adc7-36cd-bc9b-c9a6ec5b160e"]}],"mendeley":{"formattedCitation":"(Buhrman &lt;i&gt;et al.&lt;/i&gt;, 2013)","plainTextFormattedCitation":"(Buhrman et al., 2013)","previouslyFormattedCitation":"(Buhrman &lt;i&gt;et al.&lt;/i&gt;, 2013)"},"properties":{"noteIndex":0},"schema":"https://github.com/citation-style-language/schema/raw/master/csl-citation.json"}</w:instrText>
      </w:r>
      <w:r>
        <w:fldChar w:fldCharType="separate"/>
      </w:r>
      <w:r w:rsidRPr="00D43C5A">
        <w:rPr>
          <w:noProof/>
        </w:rPr>
        <w:t xml:space="preserve">(Buhrman </w:t>
      </w:r>
      <w:r w:rsidRPr="00D43C5A">
        <w:rPr>
          <w:i/>
          <w:noProof/>
        </w:rPr>
        <w:t>et al.</w:t>
      </w:r>
      <w:r w:rsidRPr="00D43C5A">
        <w:rPr>
          <w:noProof/>
        </w:rPr>
        <w:t>, 2013)</w:t>
      </w:r>
      <w:r>
        <w:fldChar w:fldCharType="end"/>
      </w:r>
      <w:r>
        <w:t xml:space="preserve">, interpersonal psychotherapy </w:t>
      </w:r>
      <w:r>
        <w:fldChar w:fldCharType="begin" w:fldLock="1"/>
      </w:r>
      <w:r>
        <w:instrText>ADDIN CSL_CITATION {"citationItems":[{"id":"ITEM-1","itemData":{"DOI":"10.1016/j.janxdis.2014.02.003","ISBN":"ES:1873-7897 IL:0887-6185","ISSN":"18737897","PMID":"24731441","abstract":"In this study, a previously evaluated guided Internet-based cognitive behavior therapy for social anxiety disorder (SAD) was adapted for mobile phone administration (mCBT). The treatment was compared with a guided self-help treatment based on interpersonal psychotherapy (mIPT). The treatment platform could be accessed through smartphones, tablet computers, and standard computers. A total of 52 participants were diagnosed with SAD and randomized to either mCBT (n= 27) or mIPT (n= 25). Measures were collected at pre-treatment, during the treatment, post-treatment and 3-month follow-up. On the primary outcome measure, the Liebowitz Social Anxiety Scale - self-rated, both groups showed statistically significant improvements. However, mCBT performed significantly better than mIPT (between group Cohen's d= 0.64 in favor of mCBT). A larger proportion of the mCBT group was classified as responders at post-treatment (55.6% versus 8.0% in the mIPT group). We conclude that CBT for SAD can be delivered using modern information technology. IPT delivered as a guided self-help treatment may be less effective in this format. © 2014 Elsevier Ltd.","author":[{"dropping-particle":"","family":"Dagöö","given":"Jesper","non-dropping-particle":"","parse-names":false,"suffix":""},{"dropping-particle":"","family":"Asplund","given":"Robert Persson","non-dropping-particle":"","parse-names":false,"suffix":""},{"dropping-particle":"","family":"Bsenko","given":"Helene Andersson","non-dropping-particle":"","parse-names":false,"suffix":""},{"dropping-particle":"","family":"Hjerling","given":"Sofia","non-dropping-particle":"","parse-names":false,"suffix":""},{"dropping-particle":"","family":"Holmberg","given":"Anna","non-dropping-particle":"","parse-names":false,"suffix":""},{"dropping-particle":"","family":"Westh","given":"Susanne","non-dropping-particle":"","parse-names":false,"suffix":""},{"dropping-particle":"","family":"Öberg","given":"Louise","non-dropping-particle":"","parse-names":false,"suffix":""},{"dropping-particle":"","family":"Ljótsson","given":"Brjánn","non-dropping-particle":"","parse-names":false,"suffix":""},{"dropping-particle":"","family":"Carlbring","given":"Per","non-dropping-particle":"","parse-names":false,"suffix":""},{"dropping-particle":"","family":"Furmark","given":"Tomas","non-dropping-particle":"","parse-names":false,"suffix":""},{"dropping-particle":"","family":"Andersson","given":"Gerhard","non-dropping-particle":"","parse-names":false,"suffix":""}],"container-title":"Journal of Anxiety Disorders","id":"ITEM-1","issue":"4","issued":{"date-parts":[["2014","5"]]},"page":"410-417","title":"Cognitive behavior therapy versus interpersonal psychotherapy for social anxiety disorder delivered via smartphone and computer: A randomized controlled trial","type":"article-journal","volume":"28"},"uris":["http://www.mendeley.com/documents/?uuid=bb26a4d6-09f0-3324-a8e7-2615ab9e4887"]}],"mendeley":{"formattedCitation":"(Dagöö &lt;i&gt;et al.&lt;/i&gt;, 2014)","plainTextFormattedCitation":"(Dagöö et al., 2014)","previouslyFormattedCitation":"(Dagöö &lt;i&gt;et al.&lt;/i&gt;, 2014)"},"properties":{"noteIndex":0},"schema":"https://github.com/citation-style-language/schema/raw/master/csl-citation.json"}</w:instrText>
      </w:r>
      <w:r>
        <w:fldChar w:fldCharType="separate"/>
      </w:r>
      <w:r w:rsidRPr="00D43C5A">
        <w:rPr>
          <w:noProof/>
        </w:rPr>
        <w:t xml:space="preserve">(Dagöö </w:t>
      </w:r>
      <w:r w:rsidRPr="00D43C5A">
        <w:rPr>
          <w:i/>
          <w:noProof/>
        </w:rPr>
        <w:t>et al.</w:t>
      </w:r>
      <w:r w:rsidRPr="00D43C5A">
        <w:rPr>
          <w:noProof/>
        </w:rPr>
        <w:t>, 2014)</w:t>
      </w:r>
      <w:r>
        <w:fldChar w:fldCharType="end"/>
      </w:r>
      <w:r>
        <w:t xml:space="preserve">, mindfulness </w:t>
      </w:r>
      <w:r>
        <w:fldChar w:fldCharType="begin" w:fldLock="1"/>
      </w:r>
      <w:r>
        <w:instrText>ADDIN CSL_CITATION {"citationItems":[{"id":"ITEM-1","itemData":{"DOI":"10.1016/j.beth.2013.11.003","ISSN":"00057894","PMID":"24491199","abstract":"Mindfulness-based interventions have proven effective for the transdiagnostic treatment of heterogeneous anxiety disorders. So far, no study has investigated the potential of mindfulness-based treatments when delivered remotely via the Internet. The current trial aims at evaluating the efficacy of a stand-alone, unguided, Internet-based mindfulness treatment program for anxiety. Ninety-one participants diagnosed with social anxiety disorder, generalized anxiety disorder, panic disorder, or anxiety disorder not otherwise specified were randomly assigned to a mindfulness treatment group (MTG) or to an online discussion forum control group (CG). Mindfulness treatment consisted of 96 audio files with instructions for various mindfulness meditation exercises. Primary and secondary outcome measures were assessed at pre-, posttreatment, and at 6-months follow-up. Participants of the MTG showed a larger decrease of symptoms of anxiety, depression, and insomnia from pre- to postassessment than participants of the CG (Cohen's d(between)=0.36-0.99). Within effect sizes were large in the MTG (d=0.82-1.58) and small to moderate in the CG (d=0.45-0.76). In contrast to participants of the CG, participants of the MTG also achieved a moderate improvement in their quality of life. The study provided encouraging results for an Internet-based mindfulness protocol in the treatment of primary anxiety disorders. Future replications of these results will show whether Web-based mindfulness meditation can constitute a valid alternative to existing, evidence-based cognitive-behavioural Internet treatments. The trial was registered at ClinicalTrials.gov (NCT01577290).","author":[{"dropping-particle":"","family":"Boettcher","given":"Johanna","non-dropping-particle":"","parse-names":false,"suffix":""},{"dropping-particle":"","family":"Åström","given":"Viktor","non-dropping-particle":"","parse-names":false,"suffix":""},{"dropping-particle":"","family":"Påhlsson","given":"Daniel","non-dropping-particle":"","parse-names":false,"suffix":""},{"dropping-particle":"","family":"Schenström","given":"Ola","non-dropping-particle":"","parse-names":false,"suffix":""},{"dropping-particle":"","family":"Andersson","given":"Gerhard","non-dropping-particle":"","parse-names":false,"suffix":""},{"dropping-particle":"","family":"Carlbring","given":"Per","non-dropping-particle":"","parse-names":false,"suffix":""}],"container-title":"Behavior Therapy","id":"ITEM-1","issue":"2","issued":{"date-parts":[["2014","3"]]},"page":"241-253","title":"Internet-Based Mindfulness Treatment for Anxiety Disorders: A Randomized Controlled Trial","type":"article-journal","volume":"45"},"uris":["http://www.mendeley.com/documents/?uuid=f94a6e4b-5009-3765-887b-1b6b74264c9f"]}],"mendeley":{"formattedCitation":"(Boettcher &lt;i&gt;et al.&lt;/i&gt;, 2014)","plainTextFormattedCitation":"(Boettcher et al., 2014)","previouslyFormattedCitation":"(Boettcher &lt;i&gt;et al.&lt;/i&gt;, 2014)"},"properties":{"noteIndex":0},"schema":"https://github.com/citation-style-language/schema/raw/master/csl-citation.json"}</w:instrText>
      </w:r>
      <w:r>
        <w:fldChar w:fldCharType="separate"/>
      </w:r>
      <w:r w:rsidRPr="00D43C5A">
        <w:rPr>
          <w:noProof/>
        </w:rPr>
        <w:t xml:space="preserve">(Boettcher </w:t>
      </w:r>
      <w:r w:rsidRPr="00D43C5A">
        <w:rPr>
          <w:i/>
          <w:noProof/>
        </w:rPr>
        <w:t>et al.</w:t>
      </w:r>
      <w:r w:rsidRPr="00D43C5A">
        <w:rPr>
          <w:noProof/>
        </w:rPr>
        <w:t>, 2014)</w:t>
      </w:r>
      <w:r>
        <w:fldChar w:fldCharType="end"/>
      </w:r>
      <w:r>
        <w:t xml:space="preserve">, psychodynamic psychotherapy </w:t>
      </w:r>
      <w:r>
        <w:fldChar w:fldCharType="begin" w:fldLock="1"/>
      </w:r>
      <w:r w:rsidR="000B6CC8">
        <w:instrText>ADDIN CSL_CITATION {"citationItems":[{"id":"ITEM-1","itemData":{"DOI":"10.1159/000339371","ISSN":"1423-0348","PMID":"22964540","abstract":"BACKGROUND Guided Internet-based cognitive behavior therapy (ICBT) has been tested in many trials and found to be effective in the treatment of anxiety and mood disorders. Generalized anxiety disorder (GAD) has also been treated with ICBT, but there are no controlled trials on guided Internet-based psychodynamic treatment (IPDT). Since there is preliminary support for psychodynamic treatment for GAD, we decided to test if a psychodynamically informed self-help treatment could be delivered via the Internet. The aim of the study was to investigate the efficacy of IPDT for GAD and to compare against ICBT and a waiting list control group. METHOD A randomized controlled superiority trial with individuals diagnosed with GAD comparing guided ICBT (n = 27) and IPDT (n = 27) against a no treatment waiting list control group (n = 27). The primary outcome measure was the Penn State Worry Questionnaire. RESULTS While there were no significant between-group differences immediately after treatment on the main outcome measure, both IPDT and ICBT resulted in improvements with moderate to large within-group effect sizes at 3 and 18 months follow-up on the primary measure in the completer analyses. The differences against the control group, although smaller, were still significant for both PDT and CBT when conforming to the criteria of clinically significant improvement. The active treatments did not differ significantly. There was a significant group by time interaction regarding GAD symptoms, but not immediately after treatment. CONCLUSIONS IPDT and ICBT both led to modest symptom reduction in GAD, and more research is needed.","author":[{"dropping-particle":"","family":"Andersson","given":"Gerhard","non-dropping-particle":"","parse-names":false,"suffix":""},{"dropping-particle":"","family":"Paxling","given":"Björn","non-dropping-particle":"","parse-names":false,"suffix":""},{"dropping-particle":"","family":"Roch-Norlund","given":"Pie","non-dropping-particle":"","parse-names":false,"suffix":""},{"dropping-particle":"","family":"Östman","given":"Gunnar","non-dropping-particle":"","parse-names":false,"suffix":""},{"dropping-particle":"","family":"Norgren","given":"Anna","non-dropping-particle":"","parse-names":false,"suffix":""},{"dropping-particle":"","family":"Almlöv","given":"Jonas","non-dropping-particle":"","parse-names":false,"suffix":""},{"dropping-particle":"","family":"Georén","given":"Lisa","non-dropping-particle":"","parse-names":false,"suffix":""},{"dropping-particle":"","family":"Breitholtz","given":"Elisabeth","non-dropping-particle":"","parse-names":false,"suffix":""},{"dropping-particle":"","family":"Dahlin","given":"Mats","non-dropping-particle":"","parse-names":false,"suffix":""},{"dropping-particle":"","family":"Cuijpers","given":"Pim","non-dropping-particle":"","parse-names":false,"suffix":""},{"dropping-particle":"","family":"Carlbring","given":"Per","non-dropping-particle":"","parse-names":false,"suffix":""},{"dropping-particle":"","family":"Silverberg","given":"Farrell","non-dropping-particle":"","parse-names":false,"suffix":""}],"container-title":"Psychotherapy and psychosomatics","id":"ITEM-1","issue":"6","issued":{"date-parts":[["2012"]]},"page":"344-55","publisher":"Karger Publishers","title":"Internet-based psychodynamic versus cognitive behavioral guided self-help for generalized anxiety disorder: a randomized controlled trial.","type":"article-journal","volume":"81"},"uris":["http://www.mendeley.com/documents/?uuid=81887f10-a2e6-33ee-89e5-89bdcaad0339"]}],"mendeley":{"formattedCitation":"(Andersson, Paxling, Roch-Norlund, &lt;i&gt;et al.&lt;/i&gt;, 2012)","plainTextFormattedCitation":"(Andersson, Paxling, Roch-Norlund, et al., 2012)","previouslyFormattedCitation":"(Andersson, Paxling, Roch-Norlund, &lt;i&gt;et al.&lt;/i&gt;, 2012)"},"properties":{"noteIndex":0},"schema":"https://github.com/citation-style-language/schema/raw/master/csl-citation.json"}</w:instrText>
      </w:r>
      <w:r>
        <w:fldChar w:fldCharType="separate"/>
      </w:r>
      <w:r w:rsidR="000B6CC8" w:rsidRPr="000B6CC8">
        <w:rPr>
          <w:noProof/>
        </w:rPr>
        <w:t xml:space="preserve">(Andersson, Paxling, Roch-Norlund, </w:t>
      </w:r>
      <w:r w:rsidR="000B6CC8" w:rsidRPr="000B6CC8">
        <w:rPr>
          <w:i/>
          <w:noProof/>
        </w:rPr>
        <w:t>et al.</w:t>
      </w:r>
      <w:r w:rsidR="000B6CC8" w:rsidRPr="000B6CC8">
        <w:rPr>
          <w:noProof/>
        </w:rPr>
        <w:t>, 2012)</w:t>
      </w:r>
      <w:r>
        <w:fldChar w:fldCharType="end"/>
      </w:r>
      <w:r>
        <w:t xml:space="preserve"> and cognitive analytic therapy </w:t>
      </w:r>
      <w:r>
        <w:fldChar w:fldCharType="begin" w:fldLock="1"/>
      </w:r>
      <w:r w:rsidR="00FE37B5">
        <w:instrText>ADDIN CSL_CITATION {"citationItems":[{"id":"ITEM-1","itemData":{"author":[{"dropping-particle":"","family":"Easton","given":"Katherine","non-dropping-particle":"","parse-names":false,"suffix":""},{"dropping-particle":"","family":"Parry","given":"Glenys","non-dropping-particle":"","parse-names":false,"suffix":""},{"dropping-particle":"","family":"Millings","given":"Abigail","non-dropping-particle":"","parse-names":false,"suffix":""},{"dropping-particle":"","family":"Kellett","given":"Stephen","non-dropping-particle":"","parse-names":false,"suffix":""}],"id":"ITEM-1","issued":{"date-parts":[["2018"]]},"title":"Technology supported delivery of Cognitive Analytic Therapy: Co-design, development and user-testing.","type":"paper-conference"},"uris":["http://www.mendeley.com/documents/?uuid=45d9e419-99f0-4797-9c44-67594c16e8b0"]}],"mendeley":{"formattedCitation":"(Easton &lt;i&gt;et al.&lt;/i&gt;, 2018)","plainTextFormattedCitation":"(Easton et al., 2018)","previouslyFormattedCitation":"(Easton &lt;i&gt;et al.&lt;/i&gt;, 2018)"},"properties":{"noteIndex":0},"schema":"https://github.com/citation-style-language/schema/raw/master/csl-citation.json"}</w:instrText>
      </w:r>
      <w:r>
        <w:fldChar w:fldCharType="separate"/>
      </w:r>
      <w:r w:rsidRPr="00BA77A3">
        <w:rPr>
          <w:noProof/>
        </w:rPr>
        <w:t xml:space="preserve">(Easton </w:t>
      </w:r>
      <w:r w:rsidRPr="00BA77A3">
        <w:rPr>
          <w:i/>
          <w:noProof/>
        </w:rPr>
        <w:t>et al.</w:t>
      </w:r>
      <w:r w:rsidRPr="00BA77A3">
        <w:rPr>
          <w:noProof/>
        </w:rPr>
        <w:t>, 2018)</w:t>
      </w:r>
      <w:r>
        <w:fldChar w:fldCharType="end"/>
      </w:r>
      <w:r>
        <w:t xml:space="preserve">.  There are also new examples of LI interventions being designed for delivery in IAPT services based on an integrative theoretical framework  </w:t>
      </w:r>
      <w:r>
        <w:fldChar w:fldCharType="begin" w:fldLock="1"/>
      </w:r>
      <w:r>
        <w:instrText>ADDIN CSL_CITATION {"citationItems":[{"id":"ITEM-1","itemData":{"DOI":"10.1017/S1352465816000485","abstract":"Background: There is a lack of treatment plurality at step 2 of Improving Access to Psychological Therapies (IAPT) services. This project therefore sought to develop and pilot a cognitive analytic informed guided self-help treatment for mild-to-moderate anxiety for delivery by Psychological Wellbeing Practitioners (PWPs). Method: Medical Research Council treatment development guidelines were used. Phase I included development of the six-session treatment manual using practice guidelines, small-scale modelling (n = 3) and indicated manual iterations. Phase II consisted of a mixed methods case series design (n = 11) to index feasibility, uptake and clinical outcomes. Results: Cognitive analytic guided self-help (CAT-SH) met established quality parameters for guided self-help. A high treatment completion rate was observed, with 10/11 patients who attended the first treatment session subsequently completing full treatment. Six out of ten patients completing full treatment met reliable recovery criteria at follow-up. Effect sizes and recovery rates equate with extant PWP outcome benchmarks. Practitioner feedback indicated that delivery of CAT-SH was feasible. Conclusion: CAT-SH shows promise as a low-intensity treatment for anxiety, and so further, larger and more controlled evaluations are indicated.","author":[{"dropping-particle":"","family":"Meadows","given":"Jo","non-dropping-particle":"","parse-names":false,"suffix":""},{"dropping-particle":"","family":"Kellett","given":"Stephen","non-dropping-particle":"","parse-names":false,"suffix":""}],"container-title":"Behavioural and Cognitive Psychotherapy","id":"ITEM-1","issued":{"date-parts":[["2017"]]},"page":"266-284","title":"Development and Evaluation of Cognitive Analytic Guided Self-Help (CAT-SH) for Use in IAPT Services","type":"article-journal","volume":"45"},"uris":["http://www.mendeley.com/documents/?uuid=06618276-0765-36fd-945d-fd091b620170"]}],"mendeley":{"formattedCitation":"(Meadows and Kellett, 2017)","manualFormatting":"(e.g. Meadows and Kellett, 2017)","plainTextFormattedCitation":"(Meadows and Kellett, 2017)","previouslyFormattedCitation":"(Meadows and Kellett, 2017)"},"properties":{"noteIndex":0},"schema":"https://github.com/citation-style-language/schema/raw/master/csl-citation.json"}</w:instrText>
      </w:r>
      <w:r>
        <w:fldChar w:fldCharType="separate"/>
      </w:r>
      <w:r w:rsidRPr="00DC2E0D">
        <w:rPr>
          <w:noProof/>
        </w:rPr>
        <w:t>(</w:t>
      </w:r>
      <w:r>
        <w:rPr>
          <w:noProof/>
        </w:rPr>
        <w:t xml:space="preserve">e.g. </w:t>
      </w:r>
      <w:r w:rsidRPr="00DC2E0D">
        <w:rPr>
          <w:noProof/>
        </w:rPr>
        <w:t>Meadows and Kellett, 2017)</w:t>
      </w:r>
      <w:r>
        <w:fldChar w:fldCharType="end"/>
      </w:r>
      <w:r>
        <w:t>.</w:t>
      </w:r>
      <w:r w:rsidRPr="0066089B">
        <w:t xml:space="preserve"> </w:t>
      </w:r>
      <w:r>
        <w:t xml:space="preserve"> Five out of the six e</w:t>
      </w:r>
      <w:r>
        <w:noBreakHyphen/>
        <w:t>therapies in question were web-based.  This bias towards web-based technology might be attributed to the differing maturity of web and mobile technology.  In general, web-based applications predate mobile applications by some years, so that extant web-based e</w:t>
      </w:r>
      <w:r>
        <w:noBreakHyphen/>
        <w:t>therapies may have survived because of their previous accrual of clinical efficacy evidence.</w:t>
      </w:r>
    </w:p>
    <w:p w14:paraId="7D80DFE0" w14:textId="79A7B732" w:rsidR="00F1508E" w:rsidRDefault="00F1508E" w:rsidP="00802670">
      <w:r>
        <w:t>At the end of treatment, the NHS-approved e</w:t>
      </w:r>
      <w:r>
        <w:noBreakHyphen/>
        <w:t xml:space="preserve">therapies were found to have a </w:t>
      </w:r>
      <w:r w:rsidR="000B4B7A">
        <w:t>small</w:t>
      </w:r>
      <w:r>
        <w:t xml:space="preserve"> effect size on common mental health problems.  In comparison with passive controls, this represents a significantly greater clinical effect</w:t>
      </w:r>
      <w:r w:rsidR="00554CB4">
        <w:t xml:space="preserve">.  </w:t>
      </w:r>
      <w:r>
        <w:t>At the same time point, when the e</w:t>
      </w:r>
      <w:r>
        <w:noBreakHyphen/>
        <w:t>therapies were compared to active treatments they were found to be similar in terms of their efficacy.  At 6-month follow-up, small effects in favour of e</w:t>
      </w:r>
      <w:r>
        <w:noBreakHyphen/>
        <w:t>therapies were observed in comparison with passive controls, with equivalent effects to those of active treatment</w:t>
      </w:r>
      <w:r w:rsidR="00554CB4">
        <w:t xml:space="preserve">.  </w:t>
      </w:r>
      <w:r>
        <w:t>Combined, these findings suggest that when compared with passive controls, NHS-approved e</w:t>
      </w:r>
      <w:r>
        <w:noBreakHyphen/>
        <w:t xml:space="preserve">therapies are efficacious for adults with stress, anxiety or depression, but are only equivalent to active treatment.  It is interesting that no trials of e-therapies were set up as equivalence or non-inferiority trials </w:t>
      </w:r>
      <w:r>
        <w:fldChar w:fldCharType="begin" w:fldLock="1"/>
      </w:r>
      <w:r>
        <w:instrText>ADDIN CSL_CITATION {"citationItems":[{"id":"ITEM-1","itemData":{"DOI":"10.1067/mhj.2000.104184","ISBN":"0033524X","ISSN":"19369719","PMID":"18537788","abstract":"When the aim of the randomized controlled trial (RCT) is to show that one treatment is superior to another, a statistical test is employed and the trial (test) is called a superiority trial (test). Often a nonsignificant superiority test is wrongly interpreted as proof of no difference between the two treatments. Proving that two treatments are equal in performance is impossible with statistical tools; at most, one can show that they are equivalent. In an equivalence trial, the statistical test aims at showing that two treatments are not too different in characteristics, where \"not too different\" is defined in a clinical manner. Finally, in a non-inferiority trial, the aim is to show that an experimental treatment is not (much) worse than a standard treatment. In this report, the three types of trials are compared, but the main focus is on the non-inferiority trial. Special attention is paid to the practical implications when setting up a non-inferiority trial. Illustrations are taken from a clinical trial in osteoarthritis and from thrombolytic research.","author":[{"dropping-particle":"","family":"Lesaffre","given":"Emmanuel","non-dropping-particle":"","parse-names":false,"suffix":""}],"container-title":"Bulletin of the NYU Hospital for Joint Diseases","id":"ITEM-1","issue":"2","issued":{"date-parts":[["2008"]]},"page":"150-154","title":"Superiority, equivalence, and non-inferiority trials","type":"article-journal","volume":"66"},"uris":["http://www.mendeley.com/documents/?uuid=418386e0-87aa-33ef-b612-79412edf8f55"]}],"mendeley":{"formattedCitation":"(Lesaffre, 2008)","plainTextFormattedCitation":"(Lesaffre, 2008)","previouslyFormattedCitation":"(Lesaffre, 2008)"},"properties":{"noteIndex":0},"schema":"https://github.com/citation-style-language/schema/raw/master/csl-citation.json"}</w:instrText>
      </w:r>
      <w:r>
        <w:fldChar w:fldCharType="separate"/>
      </w:r>
      <w:r w:rsidRPr="00E128C4">
        <w:rPr>
          <w:noProof/>
        </w:rPr>
        <w:t>(Lesaffre, 2008)</w:t>
      </w:r>
      <w:r>
        <w:fldChar w:fldCharType="end"/>
      </w:r>
      <w:r w:rsidRPr="00540B67">
        <w:t xml:space="preserve">, </w:t>
      </w:r>
      <w:r>
        <w:t xml:space="preserve">with the current evidence suggesting that this should be the case in the future.  Other meta-analyses of active psychological treatments have found a similar pattern of new treatments outperforming passive controls, but being equivalent to other credible active treatments (e.g. </w:t>
      </w:r>
      <w:r w:rsidRPr="00E128C4">
        <w:fldChar w:fldCharType="begin" w:fldLock="1"/>
      </w:r>
      <w:r>
        <w:instrText>ADDIN CSL_CITATION {"citationItems":[{"id":"ITEM-1","itemData":{"DOI":"10.1016/j.jagp.2016.06.006","ISSN":"15457214","PMID":"27687212","abstract":"Objective Generalized anxiety disorder (GAD) is a common disorder in older adults producing functional impairment, and psychotherapy is the preferred treatment option. Meta-analytic methods sought to determine the efficacy of outpatient cognitive behavioral therapy (CBT) with respect to the hallmark feature of GAD—uncontrolled and excessive worry. In order to optimize clinical applicability, variables associated with GAD treatment outcomes were also examined. Methods Systematic search of relevant databases and iterative searches of references from articles retrieved. All studies were required to have been a randomized control trial (RCT), to have used the Penn State Worry Questionnaire (PSWQ) or its abbreviated version (PSWQ-A) as an outcome measure, and to have conducted CBT with outpatient older adults. Fourteen RCTs (N = 985) were suitable and random-effects meta-analyses and univariate meta-regressions were conducted. Results At the end of treatment, and at 6-month follow-up, significant treatment effects favoring CBT were found in comparison to a waitlist or treatment-as-usual. When CBT was compared with active controls, a small nonsignificant treatment advantage was found for CBT at the end of treatment, with equivalence of outcomes at follow-up. Treatment effect size of CBT for GAD was significantly associated with attrition rates and depression outcomes. Conclusions CBT is more helpful than having no treatment for GAD in later life. Nevertheless, whether CBT shows long-term durability, or is superior to other commonly available treatments (such as supportive psychotherapy), remains to be tested. The relationship between treatment effects for GAD and depression following CBT warrants further research.","author":[{"dropping-particle":"","family":"Hall","given":"Jo","non-dropping-particle":"","parse-names":false,"suffix":""},{"dropping-particle":"","family":"Kellett","given":"Stephen","non-dropping-particle":"","parse-names":false,"suffix":""},{"dropping-particle":"","family":"Berrios","given":"Raul","non-dropping-particle":"","parse-names":false,"suffix":""},{"dropping-particle":"","family":"Bains","given":"Manreesh Kaur","non-dropping-particle":"","parse-names":false,"suffix":""},{"dropping-particle":"","family":"Scott","given":"Shonagh","non-dropping-particle":"","parse-names":false,"suffix":""}],"container-title":"American Journal of Geriatric Psychiatry","id":"ITEM-1","issue":"11","issued":{"date-parts":[["2016"]]},"page":"1063-1073","publisher":"Elsevier Inc.","title":"Efficacy of Cognitive Behavioral Therapy for Generalized Anxiety Disorder in Older Adults: Systematic Review, Meta-Analysis, and Meta-Regression","type":"article-journal","volume":"24"},"uris":["http://www.mendeley.com/documents/?uuid=31ede5bd-81b4-4e0e-9d32-f4e473335dfe"]}],"mendeley":{"formattedCitation":"(Hall &lt;i&gt;et al.&lt;/i&gt;, 2016)","manualFormatting":"Hall et al., 2016","plainTextFormattedCitation":"(Hall et al., 2016)","previouslyFormattedCitation":"(Hall &lt;i&gt;et al.&lt;/i&gt;, 2016)"},"properties":{"noteIndex":0},"schema":"https://github.com/citation-style-language/schema/raw/master/csl-citation.json"}</w:instrText>
      </w:r>
      <w:r w:rsidRPr="00E128C4">
        <w:fldChar w:fldCharType="separate"/>
      </w:r>
      <w:r w:rsidRPr="00E128C4">
        <w:rPr>
          <w:noProof/>
        </w:rPr>
        <w:t xml:space="preserve">Hall </w:t>
      </w:r>
      <w:r w:rsidRPr="00E128C4">
        <w:rPr>
          <w:i/>
          <w:noProof/>
        </w:rPr>
        <w:t>et al.</w:t>
      </w:r>
      <w:r w:rsidRPr="00E128C4">
        <w:rPr>
          <w:noProof/>
        </w:rPr>
        <w:t>, 2016</w:t>
      </w:r>
      <w:r w:rsidRPr="00E128C4">
        <w:fldChar w:fldCharType="end"/>
      </w:r>
      <w:r>
        <w:t>).</w:t>
      </w:r>
    </w:p>
    <w:p w14:paraId="54198EA8" w14:textId="66D01ABF" w:rsidR="00F1508E" w:rsidRDefault="00F1508E" w:rsidP="00802670">
      <w:r>
        <w:t>While there have been a number of trials of ICBT, there have been relatively few in which the e</w:t>
      </w:r>
      <w:r>
        <w:noBreakHyphen/>
        <w:t>therapy was directly compared with face-to-face delivered CBT</w:t>
      </w:r>
      <w:r w:rsidR="00554CB4">
        <w:t xml:space="preserve">.  </w:t>
      </w:r>
      <w:r>
        <w:t xml:space="preserve">One meta-analysis that assessed 13 controlled trials (N=1053) of guided ICBT versus face-to-face in which participants were randomised to either treatment arm </w:t>
      </w:r>
      <w:r>
        <w:fldChar w:fldCharType="begin" w:fldLock="1"/>
      </w:r>
      <w:r>
        <w:instrText>ADDIN CSL_CITATION {"citationItems":[{"id":"ITEM-1","itemData":{"DOI":"10.1002/wps.20151","ISSN":"17238617","PMID":"25273302","abstract":"Internet-delivered cognitive behavior therapy (ICBT) has been tested in many research trials, but to a lesser extent directly compared to face-to-face delivered cognitive behavior therapy (CBT). We conducted a systematic review and meta-analysis of trials in which guided ICBT was directly compared to face-to-face CBT. Studies on psychiatric and somatic conditions were included. Systematic searches resulted in 13 studies (total N=1053) that met all criteria and were included in the review. There were three studies on social anxiety disorder, three on panic disorder, two on depressive symptoms, two on body dissatisfaction, one on tinnitus, one on male sexual dysfunction, and one on spider phobia. Face-to-face CBT was either in the individual format (n=6) or in the group format (n=7). We also assessed quality and risk of bias. Results showed a pooled effect size (Hedges' g) at post-treatment of -0.01 (95% CI: -0.13 to 0.12), indicating that guided ICBT and face-to-face treatment produce equivalent overall effects. Study quality did not affect outcomes. While the overall results indicate equivalence, there are still few studies for each psychiatric and somatic condition and many conditions for which guided ICBT has not been compared to face-to-face treatment. Thus, more research is needed to establish equivalence of the two treatment formats.","author":[{"dropping-particle":"","family":"Andersson","given":"Gerhard","non-dropping-particle":"","parse-names":false,"suffix":""},{"dropping-particle":"","family":"Cuijpers","given":"Pim","non-dropping-particle":"","parse-names":false,"suffix":""},{"dropping-particle":"","family":"Carlbring","given":"Per","non-dropping-particle":"","parse-names":false,"suffix":""},{"dropping-particle":"","family":"Riper","given":"Heleen","non-dropping-particle":"","parse-names":false,"suffix":""},{"dropping-particle":"","family":"Hedman","given":"Erik","non-dropping-particle":"","parse-names":false,"suffix":""}],"container-title":"World Psychiatry","id":"ITEM-1","issue":"3","issued":{"date-parts":[["2014","10"]]},"page":"288-295","title":"Guided Internet-based vs. face-to-face cognitive behavior therapy for psychiatric and somatic disorders: a systematic review and meta-analysis","type":"article-journal","volume":"13"},"uris":["http://www.mendeley.com/documents/?uuid=02528e6b-4bd5-3275-bb1f-1c714891f93c"]}],"mendeley":{"formattedCitation":"(Andersson &lt;i&gt;et al.&lt;/i&gt;, 2014)","plainTextFormattedCitation":"(Andersson et al., 2014)","previouslyFormattedCitation":"(Andersson &lt;i&gt;et al.&lt;/i&gt;, 2014)"},"properties":{"noteIndex":0},"schema":"https://github.com/citation-style-language/schema/raw/master/csl-citation.json"}</w:instrText>
      </w:r>
      <w:r>
        <w:fldChar w:fldCharType="separate"/>
      </w:r>
      <w:r w:rsidRPr="00902017">
        <w:rPr>
          <w:noProof/>
        </w:rPr>
        <w:t xml:space="preserve">(Andersson </w:t>
      </w:r>
      <w:r w:rsidRPr="00902017">
        <w:rPr>
          <w:i/>
          <w:noProof/>
        </w:rPr>
        <w:t>et al.</w:t>
      </w:r>
      <w:r w:rsidRPr="00902017">
        <w:rPr>
          <w:noProof/>
        </w:rPr>
        <w:t>, 2014)</w:t>
      </w:r>
      <w:r>
        <w:fldChar w:fldCharType="end"/>
      </w:r>
      <w:r>
        <w:t xml:space="preserve">. Studies included were for a number of disorders and the results suggested that ICBT and face-to-face produced similar overall effects (Hedges g = -0.01; 95% confidence interval -0.13 to 0.12). This result is in line with an earlier meta-analysis that compared guided self-help (including ICBT studies) and face-to-face psychotherapy </w:t>
      </w:r>
      <w:r>
        <w:fldChar w:fldCharType="begin" w:fldLock="1"/>
      </w:r>
      <w:r>
        <w:instrText>ADDIN CSL_CITATION {"citationItems":[{"id":"ITEM-1","itemData":{"DOI":"10.1186/1745-6215-14-392","ISBN":"1745-6215","ISSN":"1745-6215","PMID":"24252475","abstract":"BACKGROUND: Depression is a mental health condition which affects millions of people each year, with worldwide rates increasing. Cognitive behavioral therapy (CBT) is recommended in the National Institute for Health and Clinical Excellence (NICE) guidelines for the treatment of depression. However, waiting lists can cause delays for face-to-face therapy. Also a proportion of people decline to present for help through the health service - the so-called treatment gap. Self-referral to CBT using community-based group interventions delivered by a voluntary sector organization may serve to resolve this problem. The aim of this randomized controlled trial (RCT) is to determine the efficacy of such a guided CBT self-help course, the 'Living Life to the Full' (LLTTF) classes delivered by the charity Action on Depression (AOD). The primary outcome is level of depression at 6 months assessed using the patient health questionnaire-9 (PHQ9) depression scale. Secondary measures include levels of anxiety and social functioning.\\n\\nMETHODS/DESIGN: Participants with symptoms of low mood will be recruited from the community through newspaper adverts and also via the AOD website. Participants will receive either immediate or delayed access to guided CBT self-help classes - the eight session LLTTF course. The primary endpoint will be at 6 months at which point the delayed group will be offered the intervention. Levels of depression, anxiety and social functioning will be assessed and an economic analysis will be carried out.\\n\\nDISCUSSION: This RCT will test whether the LLTTF intervention is effective and/or cost-effective. If the LLTTF community-based classes are found to be cost effective, they may be helpful as both an intervention for those already seeking care in the health service, as well as those seeking help outside that setting, widening access to psychological therapy.\\n\\nTRIAL REGISTRATION: Current Controlled Trials ISRCTN86292664.","author":[{"dropping-particle":"","family":"McClay","given":"Carrie-Anne","non-dropping-particle":"","parse-names":false,"suffix":""},{"dropping-particle":"","family":"Morrison","given":"Jill","non-dropping-particle":"","parse-names":false,"suffix":""},{"dropping-particle":"","family":"McConnachie","given":"Alex","non-dropping-particle":"","parse-names":false,"suffix":""},{"dropping-particle":"","family":"Williams","given":"Christopher","non-dropping-particle":"","parse-names":false,"suffix":""}],"container-title":"Trials","id":"ITEM-1","issued":{"date-parts":[["2013"]]},"page":"392","title":"A community-based group-guided self-help intervention for low mood and stress: study protocol for a randomized controlled trial.","type":"article-journal","volume":"14"},"uris":["http://www.mendeley.com/documents/?uuid=c8fc902a-1fd5-4786-9585-d0461521db17"]}],"mendeley":{"formattedCitation":"(McClay &lt;i&gt;et al.&lt;/i&gt;, 2013)","plainTextFormattedCitation":"(McClay et al., 2013)","previouslyFormattedCitation":"(McClay &lt;i&gt;et al.&lt;/i&gt;, 2013)"},"properties":{"noteIndex":0},"schema":"https://github.com/citation-style-language/schema/raw/master/csl-citation.json"}</w:instrText>
      </w:r>
      <w:r>
        <w:fldChar w:fldCharType="separate"/>
      </w:r>
      <w:r w:rsidRPr="00D43C5A">
        <w:rPr>
          <w:noProof/>
        </w:rPr>
        <w:t xml:space="preserve">(McClay </w:t>
      </w:r>
      <w:r w:rsidRPr="00D43C5A">
        <w:rPr>
          <w:i/>
          <w:noProof/>
        </w:rPr>
        <w:t>et al.</w:t>
      </w:r>
      <w:r w:rsidRPr="00D43C5A">
        <w:rPr>
          <w:noProof/>
        </w:rPr>
        <w:t>, 2013)</w:t>
      </w:r>
      <w:r>
        <w:fldChar w:fldCharType="end"/>
      </w:r>
      <w:r>
        <w:t>.  The findings of the study conducted here would concur with the conclusions of these meta-analyses</w:t>
      </w:r>
      <w:r w:rsidR="00554CB4">
        <w:t xml:space="preserve">.  </w:t>
      </w:r>
      <w:r>
        <w:t xml:space="preserve">Moreover, the current study findings would appear to mirror the “Dodo Bird Verdict” concerning psychotherapies delivered in routine practice, that there is often no differences in the outcomes achieved by different therapies in routine practice </w:t>
      </w:r>
      <w:r>
        <w:fldChar w:fldCharType="begin" w:fldLock="1"/>
      </w:r>
      <w:r>
        <w:instrText>ADDIN CSL_CITATION {"citationItems":[{"id":"ITEM-1","itemData":{"DOI":"10.1002/cpp.648","ISSN":"10633995","PMID":"19728292","abstract":"In this article, the assertion that different psychological therapies are of broadly similar efficacy-often called the 'Dodo Bird Verdict'-is contrasted with the alternative view that there are specific therapies that are more effective than others for particular diagnoses. We note that, despite thirty years of meta-analytic reviews tending to support the finding of therapy equivalence, this view is still controversial and has not been accepted by many within the psychological therapy community; we explore this from a theory of science perspective. It is further argued that the equivalence of ostensibly different therapies is an inevitable consequence of the methodology that has dominated this field of investigation; namely, randomised controlled trials [RCTs]. The implicit assumptions of RCTs are analysed and it is argued that what we know about psychological therapy indicates that it is not appropriate to treat 'type of therapy' and 'diagnosis' as if they were independent variables in an experimental design. It is noted that one logical consequence of this is that we would not expect RCTs to be capable of isolating effects that are specific to 'type of therapy' and 'diagnosis'. Rather, RCTs would only be expected to be capable of identifying the non-specific effects of covariates, such as those of therapist allegiance. It is further suggested that those non-specific effects that have been identified via meta-analysis are not trivial findings, but rather characterise important features of psychological therapy.","author":[{"dropping-particle":"","family":"Budd","given":"Rick","non-dropping-particle":"","parse-names":false,"suffix":""},{"dropping-particle":"","family":"Hughes","given":"Ian","non-dropping-particle":"","parse-names":false,"suffix":""}],"container-title":"Clinical Psychology &amp; Psychotherapy","id":"ITEM-1","issue":"6","issued":{"date-parts":[["2009","11"]]},"page":"510-522","title":"The Dodo Bird Verdict-controversial, inevitable and important: a commentary on 30 years of meta-analyses","type":"article-journal","volume":"16"},"uris":["http://www.mendeley.com/documents/?uuid=f7a33192-798a-34f9-b52c-b4843a134ec2"]}],"mendeley":{"formattedCitation":"(Budd and Hughes, 2009)","plainTextFormattedCitation":"(Budd and Hughes, 2009)","previouslyFormattedCitation":"(Budd and Hughes, 2009)"},"properties":{"noteIndex":0},"schema":"https://github.com/citation-style-language/schema/raw/master/csl-citation.json"}</w:instrText>
      </w:r>
      <w:r>
        <w:fldChar w:fldCharType="separate"/>
      </w:r>
      <w:r w:rsidRPr="00DC2E0D">
        <w:rPr>
          <w:noProof/>
        </w:rPr>
        <w:t>(Budd and Hughes, 2009)</w:t>
      </w:r>
      <w:r>
        <w:fldChar w:fldCharType="end"/>
      </w:r>
      <w:r>
        <w:t>.</w:t>
      </w:r>
    </w:p>
    <w:p w14:paraId="7382ADA7" w14:textId="3219750C" w:rsidR="00F1508E" w:rsidRDefault="00F1508E" w:rsidP="00802670">
      <w:r>
        <w:t>In terms of health economics, the trials completed on e</w:t>
      </w:r>
      <w:r>
        <w:noBreakHyphen/>
        <w:t>therapy tend to lack associated sound health economic evaluation</w:t>
      </w:r>
      <w:r w:rsidR="00554CB4">
        <w:t xml:space="preserve">.  </w:t>
      </w:r>
      <w:r>
        <w:t>Given the clinical equivalence identified with other active LI treatments in this meta-analysis, results suggest that the NHS e</w:t>
      </w:r>
      <w:r>
        <w:noBreakHyphen/>
        <w:t xml:space="preserve">therapies can be assumed to be cost effective, as they enable therapy </w:t>
      </w:r>
      <w:r>
        <w:lastRenderedPageBreak/>
        <w:t>to be provided with less therapist training, involvement and supervision (and therefore associated treatment on-costs)</w:t>
      </w:r>
      <w:r w:rsidR="00761A67">
        <w:t xml:space="preserve">.  </w:t>
      </w:r>
      <w:r>
        <w:t xml:space="preserve">Other LI interventions such as behavioural activation have been shown to be cost effective due to low ongoing training, salary and </w:t>
      </w:r>
      <w:r w:rsidRPr="00ED7C66">
        <w:t xml:space="preserve">supervision costs </w:t>
      </w:r>
      <w:r w:rsidRPr="00ED7C66">
        <w:fldChar w:fldCharType="begin" w:fldLock="1"/>
      </w:r>
      <w:r>
        <w:instrText>ADDIN CSL_CITATION {"citationItems":[{"id":"ITEM-1","itemData":{"DOI":"10.1016/S0140-6736(16)31140-0","ISSN":"1474-547X","PMID":"27461440","abstract":"BACKGROUND Depression is a common, debilitating, and costly disorder. Many patients request psychological therapy, but the best-evidenced therapy-cognitive behavioural therapy (CBT)-is complex and costly. A simpler therapy-behavioural activation (BA)-might be as effective and cheaper than is CBT. We aimed to establish the clinical efficacy and cost-effectiveness of BA compared with CBT for adults with depression. METHODS In this randomised, controlled, non-inferiority trial, we recruited adults aged 18 years or older meeting Diagnostic and Statistical Manual of Mental Disorders IV criteria for major depressive disorder from primary care and psychological therapy services in Devon, Durham, and Leeds (UK). We excluded people who were receiving psychological therapy, were alcohol or drug dependent, were acutely suicidal or had attempted suicide in the previous 2 months, or were cognitively impaired, or who had bipolar disorder or psychosis or psychotic symptoms. We randomly assigned participants (1:1) remotely using computer-generated allocation (minimisation used; stratified by depression severity [Patient Health Questionnaire 9 (PHQ-9) score of &lt;19 vs ≥19], antidepressant use, and recruitment site) to BA from junior mental health workers or CBT from psychological therapists. Randomisation done at the Peninsula Clinical Trials Unit was concealed from investigators. Treatment was given open label, but outcome assessors were masked. The primary outcome was depression symptoms according to the PHQ-9 at 12 months. We analysed all those who were randomly allocated and had complete data (modified intention to treat [mITT]) and also all those who were randomly allocated, had complete data, and received at least eight treatment sessions (per protocol [PP]). We analysed safety in the mITT population. The non-inferiority margin was 1·9 PHQ-9 points. This trial is registered with the ISCRTN registry, number ISRCTN27473954. FINDINGS Between Sept 26, 2012, and April 3, 2014, we randomly allocated 221 (50%) participants to BA and 219 (50%) to CBT. 175 (79%) participants were assessable for the primary outcome in the mITT population in the BA group compared with 189 (86%) in the CBT group, whereas 135 (61%) were assessable in the PP population in the BA group compared with 151 (69%) in the CBT group. BA was non-inferior to CBT (mITT: CBT 8·4 PHQ-9 points [SD 7·5], BA 8·4 PHQ-9 points [7·0], mean difference 0·1 PHQ-9 points [95% CI -1·3 to 1·5], p=0·89; PP: CBT 7·9 PHQ-9…","author":[{"dropping-particle":"","family":"Richards","given":"David A","non-dropping-particle":"","parse-names":false,"suffix":""},{"dropping-particle":"","family":"Ekers","given":"David","non-dropping-particle":"","parse-names":false,"suffix":""},{"dropping-particle":"","family":"McMillan","given":"Dean","non-dropping-particle":"","parse-names":false,"suffix":""},{"dropping-particle":"","family":"Taylor","given":"Rod S","non-dropping-particle":"","parse-names":false,"suffix":""},{"dropping-particle":"","family":"Byford","given":"Sarah","non-dropping-particle":"","parse-names":false,"suffix":""},{"dropping-particle":"","family":"Warren","given":"Fiona C","non-dropping-particle":"","parse-names":false,"suffix":""},{"dropping-particle":"","family":"Barrett","given":"Barbara","non-dropping-particle":"","parse-names":false,"suffix":""},{"dropping-particle":"","family":"Farrand","given":"Paul A","non-dropping-particle":"","parse-names":false,"suffix":""},{"dropping-particle":"","family":"Gilbody","given":"Simon","non-dropping-particle":"","parse-names":false,"suffix":""},{"dropping-particle":"","family":"Kuyken","given":"Willem","non-dropping-particle":"","parse-names":false,"suffix":""},{"dropping-particle":"","family":"O'Mahen","given":"Heather","non-dropping-particle":"","parse-names":false,"suffix":""},{"dropping-particle":"","family":"Watkins","given":"Ed R","non-dropping-particle":"","parse-names":false,"suffix":""},{"dropping-particle":"","family":"Wright","given":"Kim A","non-dropping-particle":"","parse-names":false,"suffix":""},{"dropping-particle":"","family":"Hollon","given":"Steven D","non-dropping-particle":"","parse-names":false,"suffix":""},{"dropping-particle":"","family":"Reed","given":"Nigel","non-dropping-particle":"","parse-names":false,"suffix":""},{"dropping-particle":"","family":"Rhodes","given":"Shelley","non-dropping-particle":"","parse-names":false,"suffix":""},{"dropping-particle":"","family":"Fletcher","given":"Emily","non-dropping-particle":"","parse-names":false,"suffix":""},{"dropping-particle":"","family":"Finning","given":"Katie","non-dropping-particle":"","parse-names":false,"suffix":""}],"container-title":"Lancet (London, England)","id":"ITEM-1","issue":"10047","issued":{"date-parts":[["2016","8","27"]]},"page":"871-80","publisher":"Elsevier","title":"Cost and Outcome of Behavioural Activation versus Cognitive Behavioural Therapy for Depression (COBRA): a randomised, controlled, non-inferiority trial.","type":"article-journal","volume":"388"},"uris":["http://www.mendeley.com/documents/?uuid=c9f2d381-d41e-3a7c-8cfd-60e858d0457a"]}],"mendeley":{"formattedCitation":"(Richards &lt;i&gt;et al.&lt;/i&gt;, 2016)","plainTextFormattedCitation":"(Richards et al., 2016)","previouslyFormattedCitation":"(Richards &lt;i&gt;et al.&lt;/i&gt;, 2016)"},"properties":{"noteIndex":0},"schema":"https://github.com/citation-style-language/schema/raw/master/csl-citation.json"}</w:instrText>
      </w:r>
      <w:r w:rsidRPr="00ED7C66">
        <w:fldChar w:fldCharType="separate"/>
      </w:r>
      <w:r w:rsidRPr="00ED7C66">
        <w:rPr>
          <w:noProof/>
        </w:rPr>
        <w:t xml:space="preserve">(Richards </w:t>
      </w:r>
      <w:r w:rsidRPr="00ED7C66">
        <w:rPr>
          <w:i/>
          <w:noProof/>
        </w:rPr>
        <w:t>et al.</w:t>
      </w:r>
      <w:r w:rsidRPr="00ED7C66">
        <w:rPr>
          <w:noProof/>
        </w:rPr>
        <w:t>, 2016)</w:t>
      </w:r>
      <w:r w:rsidRPr="00ED7C66">
        <w:fldChar w:fldCharType="end"/>
      </w:r>
      <w:r w:rsidRPr="00ED7C66">
        <w:t>.</w:t>
      </w:r>
      <w:r>
        <w:t xml:space="preserve">  Indeed, the practitioners that support LI interventions have been likened to coaches as opposed to therapists </w:t>
      </w:r>
      <w:r w:rsidRPr="00E325A1">
        <w:rPr>
          <w:rFonts w:cs="Arial"/>
          <w:color w:val="231F20"/>
          <w:szCs w:val="24"/>
        </w:rPr>
        <w:fldChar w:fldCharType="begin" w:fldLock="1"/>
      </w:r>
      <w:r>
        <w:rPr>
          <w:rFonts w:cs="Arial"/>
          <w:color w:val="231F20"/>
          <w:szCs w:val="24"/>
        </w:rPr>
        <w:instrText>ADDIN CSL_CITATION {"citationItems":[{"id":"ITEM-1","itemData":{"DOI":"10.1111/etap.12067","abstract":"Foreword This guide was produced following an Improving Access to Psychological Therapies (IAPT) Conference held at the Queens Hotel in Leeds in February 2009. The conference had been organised in response to feedback from services and those attending training courses expressing a need for expert guidance on the use of self-help materials given the wide range of different materials and media all purporting to offer helpful advice and information to people about a range of problems and disorders. A conference was organised with expert researchers and practitioners who had experience of developing self-help materials in order to discuss whether guidance should be forthcoming and in which form it should take. Rather than endorsing particular self-help materials that are available, the conference focused on attempting to derive a set of criteria by which both practitioners and people might be able to assess the utility and effectiveness of particular materials. It was agreed that these principles might provide the basis for a 'Good Practice Guide' about how to choose and use self-help materials.","author":[{"dropping-particle":"","family":"Turpin","given":"Graham","non-dropping-particle":"","parse-names":false,"suffix":""}],"id":"ITEM-1","issue":"March","issued":{"date-parts":[["2010"]]},"page":"1-39","title":"Good practice guidance on the use of self-help materials within IAPT services","type":"article-journal","volume":"March"},"uris":["http://www.mendeley.com/documents/?uuid=a5ce6a58-b237-448a-b522-8e7942169861"]}],"mendeley":{"formattedCitation":"(Turpin, 2010)","plainTextFormattedCitation":"(Turpin, 2010)","previouslyFormattedCitation":"(Turpin, 2010)"},"properties":{"noteIndex":0},"schema":"https://github.com/citation-style-language/schema/raw/master/csl-citation.json"}</w:instrText>
      </w:r>
      <w:r w:rsidRPr="00E325A1">
        <w:rPr>
          <w:rFonts w:cs="Arial"/>
          <w:color w:val="231F20"/>
          <w:szCs w:val="24"/>
        </w:rPr>
        <w:fldChar w:fldCharType="separate"/>
      </w:r>
      <w:r w:rsidRPr="00E325A1">
        <w:rPr>
          <w:rFonts w:cs="Arial"/>
          <w:noProof/>
          <w:color w:val="231F20"/>
          <w:szCs w:val="24"/>
        </w:rPr>
        <w:t>(Turpin, 2010)</w:t>
      </w:r>
      <w:r w:rsidRPr="00E325A1">
        <w:rPr>
          <w:rFonts w:cs="Arial"/>
          <w:color w:val="231F20"/>
          <w:szCs w:val="24"/>
        </w:rPr>
        <w:fldChar w:fldCharType="end"/>
      </w:r>
      <w:r>
        <w:t xml:space="preserve"> and the competencies to deliver LI interventions have been compartmentalised from traditional psychotherapeutic skills </w:t>
      </w:r>
      <w:r>
        <w:fldChar w:fldCharType="begin" w:fldLock="1"/>
      </w:r>
      <w:r>
        <w:instrText>ADDIN CSL_CITATION {"citationItems":[{"id":"ITEM-1","itemData":{"author":[{"dropping-particle":"","family":"Hague","given":"J","non-dropping-particle":"","parse-names":false,"suffix":""},{"dropping-particle":"","family":"Kellett","given":"S","non-dropping-particle":"","parse-names":false,"suffix":""},{"dropping-particle":"","family":"Simmonds-Buckely","given":"M","non-dropping-particle":"","parse-names":false,"suffix":""}],"container-title":"University of Sheffield","id":"ITEM-1","issued":{"date-parts":[["2017"]]},"title":"Low intensity assessment and treatment competency scales","type":"article-journal"},"uris":["http://www.mendeley.com/documents/?uuid=82168aa2-fbc1-4936-9db7-d3a25a1d1650"]}],"mendeley":{"formattedCitation":"(Hague, Kellett and Simmonds-Buckely, 2017)","plainTextFormattedCitation":"(Hague, Kellett and Simmonds-Buckely, 2017)","previouslyFormattedCitation":"(Hague, Kellett and Simmonds-Buckely, 2017)"},"properties":{"noteIndex":0},"schema":"https://github.com/citation-style-language/schema/raw/master/csl-citation.json"}</w:instrText>
      </w:r>
      <w:r>
        <w:fldChar w:fldCharType="separate"/>
      </w:r>
      <w:r w:rsidRPr="00E128C4">
        <w:rPr>
          <w:noProof/>
        </w:rPr>
        <w:t>(Hague, Kellett and Simmonds-Buckely, 2017)</w:t>
      </w:r>
      <w:r>
        <w:fldChar w:fldCharType="end"/>
      </w:r>
      <w:r>
        <w:t>.  Clearly, future research needs to evaluate the health economics of e-therapies alongside their clinical utility.</w:t>
      </w:r>
    </w:p>
    <w:p w14:paraId="774CCBB6" w14:textId="1265BF50" w:rsidR="00F1508E" w:rsidRDefault="00F1508E" w:rsidP="00802670">
      <w:r>
        <w:t>When comparing e</w:t>
      </w:r>
      <w:r>
        <w:noBreakHyphen/>
        <w:t xml:space="preserve">therapies with clinician </w:t>
      </w:r>
      <w:r>
        <w:rPr>
          <w:szCs w:val="24"/>
        </w:rPr>
        <w:t xml:space="preserve">support </w:t>
      </w:r>
      <w:r>
        <w:t xml:space="preserve">with passive controls at end of treatment, there was an increase in effectiveness based on level of clinician support.  When comparing ‘pure self-help’ e-therapies with active control at end of treatment, a significant sub-group effect was found, with the increase in effectiveness being based upon increased clinician support.  However, this gradual increase in effectiveness between typologies was distorted by a study </w:t>
      </w:r>
      <w:r w:rsidRPr="00B65926">
        <w:t>within the “</w:t>
      </w:r>
      <w:r>
        <w:t>p</w:t>
      </w:r>
      <w:r w:rsidRPr="00B65926">
        <w:t>redominantly self-help” typology having face-to-face therapy as its active control</w:t>
      </w:r>
      <w:r w:rsidR="00554CB4">
        <w:t xml:space="preserve">.  </w:t>
      </w:r>
      <w:r>
        <w:t xml:space="preserve">This </w:t>
      </w:r>
      <w:r w:rsidRPr="00B65926">
        <w:t>placed “</w:t>
      </w:r>
      <w:r>
        <w:t>predominantly self-help” below “s</w:t>
      </w:r>
      <w:r w:rsidRPr="00B65926">
        <w:t>elf-administered therapy” rather than above it.</w:t>
      </w:r>
      <w:r>
        <w:t xml:space="preserve">  When comparing the self-help typology with passive controls at follow-up, a significant sub-group effect was not found and a sub analysis comparing e</w:t>
      </w:r>
      <w:r>
        <w:noBreakHyphen/>
        <w:t xml:space="preserve">therapies based on </w:t>
      </w:r>
      <w:r>
        <w:rPr>
          <w:szCs w:val="24"/>
        </w:rPr>
        <w:t xml:space="preserve">self-help </w:t>
      </w:r>
      <w:r w:rsidRPr="009A0D75">
        <w:rPr>
          <w:szCs w:val="24"/>
        </w:rPr>
        <w:t>typology</w:t>
      </w:r>
      <w:r>
        <w:t xml:space="preserve"> with active controls at follow-up could not be conducted due to the limited number of studies.  These findings fit with other evidence in which unsupported </w:t>
      </w:r>
      <w:proofErr w:type="spellStart"/>
      <w:r>
        <w:t>cCBT</w:t>
      </w:r>
      <w:proofErr w:type="spellEnd"/>
      <w:r>
        <w:t xml:space="preserve"> seems to have a smaller effect on depression </w:t>
      </w:r>
      <w:r>
        <w:fldChar w:fldCharType="begin" w:fldLock="1"/>
      </w:r>
      <w:r>
        <w:instrText>ADDIN CSL_CITATION {"citationItems":[{"id":"ITEM-1","itemData":{"DOI":"10.1371/journal.pone.0021274","ISBN":"1932-6203","ISSN":"19326203","PMID":"21712998","abstract":"A number of trials have examined the effects of self-guided psychological intervention, without any contact between the participants and a therapist or coach. The results and sizes of these trials have been mixed. This is the first quantitative meta-analysis, aimed at organizing and evaluating the literature, and estimating effect size.","author":[{"dropping-particle":"","family":"Cuijpers","given":"Pim","non-dropping-particle":"","parse-names":false,"suffix":""},{"dropping-particle":"","family":"Donker","given":"Tara","non-dropping-particle":"","parse-names":false,"suffix":""},{"dropping-particle":"","family":"Johansson","given":"Robert","non-dropping-particle":"","parse-names":false,"suffix":""},{"dropping-particle":"","family":"Mohr","given":"David C.","non-dropping-particle":"","parse-names":false,"suffix":""},{"dropping-particle":"","family":"Straten","given":"Annemieke","non-dropping-particle":"van","parse-names":false,"suffix":""},{"dropping-particle":"","family":"Andersson","given":"Gerhard","non-dropping-particle":"","parse-names":false,"suffix":""}],"container-title":"PLoS ONE","id":"ITEM-1","issue":"6","issued":{"date-parts":[["2011"]]},"page":"1-7","title":"Self-guided psychological treatment for depressive symptoms: A meta-analysis","type":"article-journal","volume":"6"},"uris":["http://www.mendeley.com/documents/?uuid=9cb3ee4a-11ef-4078-90ba-c96fc9816878"]}],"mendeley":{"formattedCitation":"(Cuijpers &lt;i&gt;et al.&lt;/i&gt;, 2011)","plainTextFormattedCitation":"(Cuijpers et al., 2011)","previouslyFormattedCitation":"(Cuijpers &lt;i&gt;et al.&lt;/i&gt;, 2011)"},"properties":{"noteIndex":0},"schema":"https://github.com/citation-style-language/schema/raw/master/csl-citation.json"}</w:instrText>
      </w:r>
      <w:r>
        <w:fldChar w:fldCharType="separate"/>
      </w:r>
      <w:r w:rsidRPr="00D43C5A">
        <w:rPr>
          <w:noProof/>
        </w:rPr>
        <w:t xml:space="preserve">(Cuijpers </w:t>
      </w:r>
      <w:r w:rsidRPr="00D43C5A">
        <w:rPr>
          <w:i/>
          <w:noProof/>
        </w:rPr>
        <w:t>et al.</w:t>
      </w:r>
      <w:r w:rsidRPr="00D43C5A">
        <w:rPr>
          <w:noProof/>
        </w:rPr>
        <w:t>, 2011)</w:t>
      </w:r>
      <w:r>
        <w:fldChar w:fldCharType="end"/>
      </w:r>
      <w:r>
        <w:t xml:space="preserve">, as opposed to supported </w:t>
      </w:r>
      <w:proofErr w:type="spellStart"/>
      <w:r>
        <w:t>cCBT</w:t>
      </w:r>
      <w:proofErr w:type="spellEnd"/>
      <w:r>
        <w:t xml:space="preserve"> whose effect seems comparable to face-to-face therapy </w:t>
      </w:r>
      <w:r>
        <w:fldChar w:fldCharType="begin" w:fldLock="1"/>
      </w:r>
      <w:r>
        <w:instrText>ADDIN CSL_CITATION {"citationItems":[{"id":"ITEM-1","itemData":{"DOI":"10.1017/S0033291710000772","ISBN":"1469-8978 (Electronic)\\n0033-2917 (Linking)","ISSN":"00332917","PMID":"20406528","abstract":"See, stats, and: https://www.researchgate.net/publication/43226466 Is - help-to-face psychotherapy disorders? A... Article DOI: 10.1017/ S0033291710000772: PubMed CITATIONS 305 READS 755 5 , including: Some : Frequency : a randomized - weekly- weekly NESDA : The Pim VU 732 , 467 SEE Tara The 44 , 325 SEE Annemieke VU 174 , 741 SEE Gerhard Linköping 742 , 250 SEE All . The . All- text and , letting.","author":[{"dropping-particle":"","family":"Cuijpers","given":"P.","non-dropping-particle":"","parse-names":false,"suffix":""},{"dropping-particle":"","family":"Donker","given":"T.","non-dropping-particle":"","parse-names":false,"suffix":""},{"dropping-particle":"","family":"Straten","given":"A.","non-dropping-particle":"Van","parse-names":false,"suffix":""},{"dropping-particle":"","family":"Li","given":"J.","non-dropping-particle":"","parse-names":false,"suffix":""},{"dropping-particle":"","family":"Andersson","given":"G.","non-dropping-particle":"","parse-names":false,"suffix":""}],"container-title":"Psychological Medicine","id":"ITEM-1","issue":"12","issued":{"date-parts":[["2010","12","21"]]},"page":"1943-1957","title":"Is guided self-help as effective as face-to-face psychotherapy for depression and anxiety disorders? A systematic review and meta-analysis of comparative outcome studies","type":"article-journal","volume":"40"},"uris":["http://www.mendeley.com/documents/?uuid=36106d5c-74ff-3912-acb8-148906c54e62"]}],"mendeley":{"formattedCitation":"(Cuijpers, Donker, &lt;i&gt;et al.&lt;/i&gt;, 2010)","plainTextFormattedCitation":"(Cuijpers, Donker, et al., 2010)","previouslyFormattedCitation":"(Cuijpers, Donker, &lt;i&gt;et al.&lt;/i&gt;, 2010)"},"properties":{"noteIndex":0},"schema":"https://github.com/citation-style-language/schema/raw/master/csl-citation.json"}</w:instrText>
      </w:r>
      <w:r>
        <w:fldChar w:fldCharType="separate"/>
      </w:r>
      <w:r w:rsidRPr="00223109">
        <w:rPr>
          <w:noProof/>
        </w:rPr>
        <w:t xml:space="preserve">(Cuijpers, Donker, </w:t>
      </w:r>
      <w:r w:rsidRPr="00223109">
        <w:rPr>
          <w:i/>
          <w:noProof/>
        </w:rPr>
        <w:t>et al.</w:t>
      </w:r>
      <w:r w:rsidRPr="00223109">
        <w:rPr>
          <w:noProof/>
        </w:rPr>
        <w:t>, 2010)</w:t>
      </w:r>
      <w:r>
        <w:fldChar w:fldCharType="end"/>
      </w:r>
      <w:r>
        <w:t xml:space="preserve">.  Another meta-analysis has found </w:t>
      </w:r>
      <w:proofErr w:type="spellStart"/>
      <w:r>
        <w:t>iCBT</w:t>
      </w:r>
      <w:proofErr w:type="spellEnd"/>
      <w:r>
        <w:t xml:space="preserve"> to be four times more effective with online therapist support, than without any therapist contact </w:t>
      </w:r>
      <w:r>
        <w:fldChar w:fldCharType="begin" w:fldLock="1"/>
      </w:r>
      <w:r>
        <w:instrText>ADDIN CSL_CITATION {"citationItems":[{"id":"ITEM-1","itemData":{"DOI":"10.1017/S0033291706008944","ISBN":"0033-2917 (Print)\\n0033-2917 (Linking)","ISSN":"00332917","PMID":"17112400","abstract":"BACKGROUND: We studied to what extent internet-based cognitive behaviour therapy (CBT) programs for symptoms of depression and anxiety are effective. METHOD: A meta-analysis of 12 randomized controlled trials. RESULTS: The effects of internet-based CBT were compared to control conditions in 13 contrast groups with a total number of 2334 participants. A meta-analysis on treatment contrasts resulted in a moderate to large mean effect size [fixed effects analysis (FEA) d=0.40, mixed effects analysis (MEA) d=0.60] and significant heterogeneity. Therefore, two sets of post hoc subgroup analyses were carried out. Analyses on the type of symptoms revealed that interventions for symptoms of depression had a small mean effect size (FEA d=0.27, MEA d=0.32) and significant heterogeneity. Further analyses showed that one study could be regarded as an outlier. Analyses without this study showed a small mean effect size and moderate, non-significant heterogeneity. Interventions for anxiety had a large mean effect size (FEA and MEA d=0.96) and very low heterogeneity. When examining the second set of subgroups, based on therapist assistance, no significant heterogeneity was found. Interventions with therapist support (n=5) had a large mean effect size, while interventions without therapist support (n=6) had a small mean effect size (FEA d=0.24, MEA d=0.26). CONCLUSIONS: In general, effect sizes of internet-based interventions for symptoms of anxiety were larger than effect sizes for depressive symptoms; however, this might be explained by differences in the amount of therapist support.","author":[{"dropping-particle":"","family":"Spek","given":"Viola","non-dropping-particle":"","parse-names":false,"suffix":""},{"dropping-particle":"","family":"Cuijpers","given":"Pim","non-dropping-particle":"","parse-names":false,"suffix":""},{"dropping-particle":"","family":"NykIíček","given":"Ivan","non-dropping-particle":"","parse-names":false,"suffix":""},{"dropping-particle":"","family":"Riper","given":"Heleen","non-dropping-particle":"","parse-names":false,"suffix":""},{"dropping-particle":"","family":"Keyzer","given":"Jules","non-dropping-particle":"","parse-names":false,"suffix":""},{"dropping-particle":"","family":"Pop","given":"Victor","non-dropping-particle":"","parse-names":false,"suffix":""}],"container-title":"Psychological Medicine","id":"ITEM-1","issue":"3","issued":{"date-parts":[["2007","3","20"]]},"page":"319-328","publisher":"Cambridge University Press","title":"Internet-based cognitive behaviour therapy for symptoms of depression and anxiety: A meta-analysis","type":"article-journal","volume":"37"},"uris":["http://www.mendeley.com/documents/?uuid=5a94b2eb-ed70-4728-a4c7-ba2b8e93c115"]}],"mendeley":{"formattedCitation":"(Spek, Cuijpers, &lt;i&gt;et al.&lt;/i&gt;, 2007)","plainTextFormattedCitation":"(Spek, Cuijpers, et al., 2007)","previouslyFormattedCitation":"(Spek, Cuijpers, &lt;i&gt;et al.&lt;/i&gt;, 2007)"},"properties":{"noteIndex":0},"schema":"https://github.com/citation-style-language/schema/raw/master/csl-citation.json"}</w:instrText>
      </w:r>
      <w:r>
        <w:fldChar w:fldCharType="separate"/>
      </w:r>
      <w:r w:rsidRPr="00D43C5A">
        <w:rPr>
          <w:noProof/>
        </w:rPr>
        <w:t xml:space="preserve">(Spek, Cuijpers, </w:t>
      </w:r>
      <w:r w:rsidRPr="00D43C5A">
        <w:rPr>
          <w:i/>
          <w:noProof/>
        </w:rPr>
        <w:t>et al.</w:t>
      </w:r>
      <w:r w:rsidRPr="00D43C5A">
        <w:rPr>
          <w:noProof/>
        </w:rPr>
        <w:t>, 2007)</w:t>
      </w:r>
      <w:r>
        <w:fldChar w:fldCharType="end"/>
      </w:r>
      <w:r>
        <w:t xml:space="preserve">.  A review has also found that supported computerised interventions for depression yielded better outcomes than unsupported ones </w:t>
      </w:r>
      <w:r>
        <w:fldChar w:fldCharType="begin" w:fldLock="1"/>
      </w:r>
      <w:r>
        <w:instrText>ADDIN CSL_CITATION {"citationItems":[{"id":"ITEM-1","itemData":{"DOI":"10.1002/jclp.20536","ISBN":"0021-9762","ISSN":"00219762","PMID":"19051274","abstract":"Internet-and computer-based cognitive-behavioral treatments have been introduced as novel approaches to deliver standard, quality treatment that may reduce barriers to care. The purpose of this review is to quantitatively summarize the literature examining the treatment effects of Internet- or computer-based treatment (ICT) on anxiety. Nineteen randomized controlled ICT trials were identified and subjected to fixed and random effects meta-analytic techniques. Weighted mean effect sizes (Cohen's d) showed that ICT was superior to waitlist and placebo assignment across outcome measures (ds=.49-1.14). The effects of ICT also were equal to therapist-delivered treatment across anxiety disorders. However, conclusions were limited by small sample sizes, the rare use of placebo controls, and other methodological problems. In addition, the number of available studies limited the opportunity to conduct analyses by diagnostic group; there was preliminary support for the use of ICT for panic disorder and phobia. Large, well-designed, placebo-controlled trials are needed to confirm and extend the results of this meta-analysis.Copyright (c) 2008 Wiley Periodicals, Inc.","author":[{"dropping-particle":"","family":"Reger","given":"Mark A.","non-dropping-particle":"","parse-names":false,"suffix":""},{"dropping-particle":"","family":"Gahm","given":"Gregory A.","non-dropping-particle":"","parse-names":false,"suffix":""}],"container-title":"Journal of Clinical Psychology","id":"ITEM-1","issue":"1","issued":{"date-parts":[["2009","1"]]},"page":"53-75","title":"A meta-analysis of the effects of Internet-and computer-based cognitive-behavioral treatments for anxiety","type":"article-journal","volume":"65"},"uris":["http://www.mendeley.com/documents/?uuid=ba8a9a48-8d78-3634-8bad-e3bf677405c0"]}],"mendeley":{"formattedCitation":"(Reger and Gahm, 2009)","plainTextFormattedCitation":"(Reger and Gahm, 2009)","previouslyFormattedCitation":"(Reger and Gahm, 2009)"},"properties":{"noteIndex":0},"schema":"https://github.com/citation-style-language/schema/raw/master/csl-citation.json"}</w:instrText>
      </w:r>
      <w:r>
        <w:fldChar w:fldCharType="separate"/>
      </w:r>
      <w:r w:rsidRPr="00D43C5A">
        <w:rPr>
          <w:noProof/>
        </w:rPr>
        <w:t>(Reger and Gahm, 2009)</w:t>
      </w:r>
      <w:r>
        <w:fldChar w:fldCharType="end"/>
      </w:r>
      <w:r>
        <w:t>.</w:t>
      </w:r>
      <w:r w:rsidRPr="0066089B">
        <w:t xml:space="preserve"> </w:t>
      </w:r>
      <w:r>
        <w:t>It is worth noting that e</w:t>
      </w:r>
      <w:r>
        <w:noBreakHyphen/>
        <w:t>therapy typologies in this meta-analysis emphasised some therapist contact, but that the contact time was low, with 70% (12 studies of three apps) having less than an hour and half of real time person to person support.  Clearly, an established piece of knowledge now is that low intensity therapies appear to be ‘better enabled’ when supported by human contact and that this should be acknowledged in any future health economic evaluations.</w:t>
      </w:r>
    </w:p>
    <w:p w14:paraId="5830029F" w14:textId="293100D3" w:rsidR="00F1508E" w:rsidRDefault="00F1508E" w:rsidP="00802670">
      <w:r>
        <w:t>Across passive and active post and follow-up comparisons gender was only found to be a significant moderator in the active treatment comparison at follow-up, suggesting that gender does not play a significant role in moderating the effectiveness of NHS recommended e</w:t>
      </w:r>
      <w:r>
        <w:noBreakHyphen/>
        <w:t xml:space="preserve">therapy.  This is an interesting finding given other studies have found that being a female participant was a moderator of better outcomes.  A study by </w:t>
      </w:r>
      <w:r w:rsidRPr="005D0540">
        <w:rPr>
          <w:noProof/>
        </w:rPr>
        <w:t xml:space="preserve">Spek </w:t>
      </w:r>
      <w:r w:rsidRPr="005D0540">
        <w:rPr>
          <w:i/>
          <w:noProof/>
        </w:rPr>
        <w:t>et al.</w:t>
      </w:r>
      <w:r>
        <w:rPr>
          <w:noProof/>
        </w:rPr>
        <w:t xml:space="preserve"> </w:t>
      </w:r>
      <w:r>
        <w:fldChar w:fldCharType="begin" w:fldLock="1"/>
      </w:r>
      <w:r w:rsidR="000B6CC8">
        <w:instrText>ADDIN CSL_CITATION {"citationItems":[{"id":"ITEM-1","itemData":{"DOI":"10.1016/j.jad.2007.05.001","ISBN":"0165-0327","ISSN":"01650327","PMID":"17543392","abstract":"Background: Little is known about which participant characteristics determine the effectiveness of various types of cognitive behavior therapy for sub-threshold depression. The aim of this study was to investigate which characteristics predict treatment outcome of group and internet-based interventions for sub-threshold depression, with a special focus on (i) the five main personality factors, and (ii) their different predictive power in the different types of treatment. Methods: Eighty-five women and 45 men (mean age = 55 years, S.D. = 4.4) were randomly assigned to a group treatment and an internet-based treatment. The outcome measure was the difference between pre-treatment and post-treatment BDI scores. Analyses of Covariance were conducted to examine which participant characteristics could predict outcome for the two different types of treatment. Results: Higher baseline BDI scores (F(1,111) = 52.88, p &lt; .01), female gender (F(1,111) = 6.45, p = .01), and lower neuroticism scores (F(1,111) = 7.24, p = .01) predicted better outcome after both treatments. In the group intervention, participants with higher altruism scores improved significantly more after treatment (F(1,111) = 3.94, p = .05) compared to the internet-based condition. Limitations: Axis-II disorders were not considered; the study assessed personality traits rather than personality disorders. Conclusions: Outcomes of different types of cognitive behavior therapy for sub-threshold depression are partly predicted by different participant characteristics. Neuroticism was associated with worse outcomes in both types of treatment, while altruism seems to be exclusively related to more favorable outcomes in the group treatment. © 2007 Elsevier B.V. All rights reserved.","author":[{"dropping-particle":"","family":"Spek","given":"Viola","non-dropping-particle":"","parse-names":false,"suffix":""},{"dropping-particle":"","family":"Nyklíček","given":"Ivan","non-dropping-particle":"","parse-names":false,"suffix":""},{"dropping-particle":"","family":"Cuijpers","given":"Pim","non-dropping-particle":"","parse-names":false,"suffix":""},{"dropping-particle":"","family":"Pop","given":"Victor","non-dropping-particle":"","parse-names":false,"suffix":""}],"container-title":"Journal of Affective Disorders","id":"ITEM-1","issue":"1-3","issued":{"date-parts":[["2008"]]},"page":"137-145","title":"Predictors of outcome of group and internet-based cognitive behavior therapy","type":"article-journal","volume":"105"},"uris":["http://www.mendeley.com/documents/?uuid=6dcc3839-9cdf-3536-92e1-d636542a9aef"]}],"mendeley":{"formattedCitation":"(Viola Spek &lt;i&gt;et al.&lt;/i&gt;, 2008)","manualFormatting":"(2008)","plainTextFormattedCitation":"(Viola Spek et al., 2008)","previouslyFormattedCitation":"(Viola Spek &lt;i&gt;et al.&lt;/i&gt;, 2008)"},"properties":{"noteIndex":0},"schema":"https://github.com/citation-style-language/schema/raw/master/csl-citation.json"}</w:instrText>
      </w:r>
      <w:r>
        <w:fldChar w:fldCharType="separate"/>
      </w:r>
      <w:r w:rsidRPr="005D0540">
        <w:rPr>
          <w:noProof/>
        </w:rPr>
        <w:t>(2008)</w:t>
      </w:r>
      <w:r>
        <w:fldChar w:fldCharType="end"/>
      </w:r>
      <w:r>
        <w:t xml:space="preserve"> that investigated predictors of group versus internet-based CBT for depression found that higher baseline depression scores, being female and low neuroticism scores predicted better outcome for both groups.  In both passive and active comparisons at post treatment, the </w:t>
      </w:r>
      <w:proofErr w:type="gramStart"/>
      <w:r>
        <w:t>number of sessions delivered were</w:t>
      </w:r>
      <w:proofErr w:type="gramEnd"/>
      <w:r>
        <w:t xml:space="preserve"> not found to be a significant moderator, thus indicating that the number of sessions may not have a direct effect on post treatment benefit</w:t>
      </w:r>
      <w:r w:rsidR="00554CB4">
        <w:t xml:space="preserve">.  </w:t>
      </w:r>
      <w:r>
        <w:t>It is worth noting that all the interventions studied were brief in nature and had a range of 5 to 10 sessions</w:t>
      </w:r>
      <w:r w:rsidR="00554CB4">
        <w:t xml:space="preserve">.  </w:t>
      </w:r>
      <w:r>
        <w:t>Therefore, examining the effect of duration of treatment was limited.</w:t>
      </w:r>
      <w:r w:rsidR="00554CB4">
        <w:t xml:space="preserve">  </w:t>
      </w:r>
      <w:r>
        <w:t xml:space="preserve">However, </w:t>
      </w:r>
      <w:r>
        <w:lastRenderedPageBreak/>
        <w:t>follow-up comparisons for both passive and active were significant suggesting that an increased number of e</w:t>
      </w:r>
      <w:r>
        <w:noBreakHyphen/>
        <w:t>therapy sessions may result in better long-term outcomes.  The e</w:t>
      </w:r>
      <w:r>
        <w:noBreakHyphen/>
        <w:t>therapy outcome literature has not yet progressed to studying the dose-effect relationship for this form of LI intervention</w:t>
      </w:r>
      <w:r w:rsidR="00056473">
        <w:t xml:space="preserve"> </w:t>
      </w:r>
      <w:r w:rsidR="00056473">
        <w:fldChar w:fldCharType="begin" w:fldLock="1"/>
      </w:r>
      <w:r w:rsidR="004B5A66">
        <w:instrText>ADDIN CSL_CITATION {"citationItems":[{"id":"ITEM-1","itemData":{"DOI":"10.1136/bmjopen-2016-012198","ISSN":"20446055","PMID":"28237953","abstract":"© 2018 Elsevier B.V. The overarching aim of this review paper is to investigate the involvement of experts, citizens, and participatory professionals in forest policy decision-making processes. Three interpretations of governance are distinguished to translate the idea of an orchestra to European (forest) policy making processes, referring to Frank Fischer's differentiation between a centralised state guided by administrative and policy experts on the one hand and deliberative governance driven by citizen participation on the other and a form of governance by participation professionals. The review included in total 81 research articles published between 1998 and 2015 addressing participation and expert involvement in forest policy. The results show that governance by participatory professionals is clearly visible in forest policy making processes in Europe mainly involving traditional groups as forest owners. Whether these participation professionals are engaged in a deliberative process with citizens remains unanswered. The results furthermore show a strong involvement of experts though the literature is rather silent as to how this steering of experts evolves in participatory forest processes. Finally the analysis shows that governance by citizen participation is rather neglected in forest policy processes in Europe. It is perceived as difficult to pursue, even at the local level. Therefore this article found nearly no empirical evidence for a so-called citizen's orchestra with the competence to self-align by deliberation. Instead citizens seem to be no part of the orchestra itself, but remain outside as part of the audience.","author":[{"dropping-particle":"","family":"Banerjee","given":"Sushanta K.","non-dropping-particle":"","parse-names":false,"suffix":""},{"dropping-particle":"","family":"Andersen","given":"Kathryn","non-dropping-particle":"","parse-names":false,"suffix":""},{"dropping-particle":"","family":"Pearson","given":"Erin","non-dropping-particle":"","parse-names":false,"suffix":""},{"dropping-particle":"","family":"Warvadekar","given":"Janardan","non-dropping-particle":"","parse-names":false,"suffix":""},{"dropping-particle":"","family":"Khan","given":"Danish U.","non-dropping-particle":"","parse-names":false,"suffix":""},{"dropping-particle":"","family":"Batra","given":"Sangeeta","non-dropping-particle":"","parse-names":false,"suffix":""}],"container-title":"BMJ Open","id":"ITEM-1","issue":"2","issued":{"date-parts":[["2017"]]},"title":"Evaluating the relative effectiveness of high-intensity and low-intensity models of behaviour change communication interventions for abortion care-seeking in Bihar and Jharkhand, India: A cross-sectional study","type":"article-journal","volume":"7"},"uris":["http://www.mendeley.com/documents/?uuid=388388e5-4daa-429b-8a63-4b75eb6ec780"]}],"mendeley":{"formattedCitation":"(Banerjee &lt;i&gt;et al.&lt;/i&gt;, 2017)","plainTextFormattedCitation":"(Banerjee et al., 2017)","previouslyFormattedCitation":"(Banerjee &lt;i&gt;et al.&lt;/i&gt;, 2017)"},"properties":{"noteIndex":0},"schema":"https://github.com/citation-style-language/schema/raw/master/csl-citation.json"}</w:instrText>
      </w:r>
      <w:r w:rsidR="00056473">
        <w:fldChar w:fldCharType="separate"/>
      </w:r>
      <w:r w:rsidR="00056473" w:rsidRPr="00056473">
        <w:rPr>
          <w:noProof/>
        </w:rPr>
        <w:t xml:space="preserve">(Banerjee </w:t>
      </w:r>
      <w:r w:rsidR="00056473" w:rsidRPr="00056473">
        <w:rPr>
          <w:i/>
          <w:noProof/>
        </w:rPr>
        <w:t>et al.</w:t>
      </w:r>
      <w:r w:rsidR="00056473" w:rsidRPr="00056473">
        <w:rPr>
          <w:noProof/>
        </w:rPr>
        <w:t>, 2017)</w:t>
      </w:r>
      <w:r w:rsidR="00056473">
        <w:fldChar w:fldCharType="end"/>
      </w:r>
      <w:r w:rsidRPr="00D834FD">
        <w:t>.</w:t>
      </w:r>
      <w:r>
        <w:t xml:space="preserve">  </w:t>
      </w:r>
      <w:r w:rsidRPr="003B2902">
        <w:rPr>
          <w:noProof/>
        </w:rPr>
        <w:t>Firth, Barkham and Kellett</w:t>
      </w:r>
      <w:r>
        <w:rPr>
          <w:noProof/>
        </w:rPr>
        <w:t xml:space="preserve"> </w:t>
      </w:r>
      <w:r>
        <w:fldChar w:fldCharType="begin" w:fldLock="1"/>
      </w:r>
      <w:r>
        <w:instrText>ADDIN CSL_CITATION {"citationItems":[{"id":"ITEM-1","itemData":{"DOI":"10.1016/J.JAD.2014.08.030","ISSN":"0165-0327","abstract":"BACKGROUND\nStepped care service delivery models involve treatments that become increasingly intense through successive steps, with patients re-assigned via pre-defined decision criteria. This article reviews the clinical effectiveness of stepped care systems for depression in working age adults. \n\nMETHODS\nSystematic literature review of quantitative clinical outcome evidence comprising 14 controlled and uncontrolled studies meeting specified criteria. Principal outcomes were (a) recovery rates, defined as patients no longer meeting clinical cut-off criteria for the specific outcome measure and (b) treatment response rates, defined as a 50% decrease in outcome measure score. \n\nRESULTS\nStepped care systems had recovery rates ranging predominantly between 40% and 60% and response rates approximating 60%. Studies comparing stepped care with usual/enhanced usual care tended to find significant differences favouring stepped care. The median recovery odds ratio was 1.31 (interquartile intervals of 1.05 and 1.66; k=7 studies). The median comparative Cohen׳s d effect size estimate was 0.41 (interquartile intervals 0.25 and 0.45; k=5 studies). \n\nLIMITATIONS\nThe inclusion of uncontrolled studies could be seen as reducing the overall quality of evidence and a meta-analysis was not included due to limitations with the available data. \n\nCONCLUSIONS\nEvidence suggested that stepped care interventions for depression are at least as effective as usual care. However, the clinical and organisational superiority of stepped care is yet to be scientifically verified. Differential benefits of stepped care may ultimately depend on service quality. Further research investigating and comparing the specific components and configurations of stepped care interventions are indicated.","author":[{"dropping-particle":"","family":"Firth","given":"Nick","non-dropping-particle":"","parse-names":false,"suffix":""},{"dropping-particle":"","family":"Barkham","given":"Michael","non-dropping-particle":"","parse-names":false,"suffix":""},{"dropping-particle":"","family":"Kellett","given":"Stephen","non-dropping-particle":"","parse-names":false,"suffix":""}],"container-title":"Journal of Affective Disorders","id":"ITEM-1","issued":{"date-parts":[["2015","1","1"]]},"page":"119-130","publisher":"Elsevier","title":"The clinical effectiveness of stepped care systems for depression in working age adults: A systematic review","type":"article-journal","volume":"170"},"uris":["http://www.mendeley.com/documents/?uuid=6898c65e-cdf1-3f3f-a39b-a2395d48bfaa"]}],"mendeley":{"formattedCitation":"(Firth, Barkham and Kellett, 2015)","manualFormatting":"(2015)","plainTextFormattedCitation":"(Firth, Barkham and Kellett, 2015)","previouslyFormattedCitation":"(Firth, Barkham and Kellett, 2015)"},"properties":{"noteIndex":0},"schema":"https://github.com/citation-style-language/schema/raw/master/csl-citation.json"}</w:instrText>
      </w:r>
      <w:r>
        <w:fldChar w:fldCharType="separate"/>
      </w:r>
      <w:r w:rsidRPr="003B2902">
        <w:rPr>
          <w:noProof/>
        </w:rPr>
        <w:t>(2015)</w:t>
      </w:r>
      <w:r>
        <w:fldChar w:fldCharType="end"/>
      </w:r>
      <w:r w:rsidRPr="00D834FD">
        <w:t xml:space="preserve"> found that when LI therapists went beyond the treatment protocol of 6-8 sessions, then outcomes tended to atrophy, supporting dose-effect relationship.</w:t>
      </w:r>
      <w:r w:rsidR="00554CB4">
        <w:t xml:space="preserve">  </w:t>
      </w:r>
      <w:r>
        <w:t>Examining duration in days as a moderator over passive and active comparisons found only the passive comparison at post to be non-significant.  This may indicate that the longer the period over which e</w:t>
      </w:r>
      <w:r>
        <w:noBreakHyphen/>
        <w:t>therapy was accessed, the more effective the long-term outcome.</w:t>
      </w:r>
    </w:p>
    <w:p w14:paraId="28C8A399" w14:textId="4B05B6B7" w:rsidR="00802670" w:rsidRDefault="00802670" w:rsidP="00802670">
      <w:r>
        <w:t xml:space="preserve">Age as a moderator in passive and active comparisons was significant in all comparisons (bar active follow-up).  </w:t>
      </w:r>
      <w:r w:rsidRPr="008C6309">
        <w:t xml:space="preserve">The </w:t>
      </w:r>
      <w:r>
        <w:t>positive significance</w:t>
      </w:r>
      <w:r w:rsidRPr="008C6309">
        <w:t xml:space="preserve"> effect of age in </w:t>
      </w:r>
      <w:r>
        <w:t xml:space="preserve">the </w:t>
      </w:r>
      <w:r w:rsidRPr="008C6309">
        <w:t>active</w:t>
      </w:r>
      <w:r>
        <w:t xml:space="preserve"> comparison at end of treatment</w:t>
      </w:r>
      <w:r w:rsidRPr="008C6309">
        <w:t xml:space="preserve"> should be taken precaution.  There were only a few studies included in this analysis making the interpretation unreliable.  The </w:t>
      </w:r>
      <w:proofErr w:type="gramStart"/>
      <w:r w:rsidRPr="008C6309">
        <w:t>ra</w:t>
      </w:r>
      <w:r>
        <w:t>n</w:t>
      </w:r>
      <w:r w:rsidRPr="008C6309">
        <w:t>ge of ages in the stud</w:t>
      </w:r>
      <w:r>
        <w:t>ies</w:t>
      </w:r>
      <w:r w:rsidRPr="008C6309">
        <w:t xml:space="preserve"> were</w:t>
      </w:r>
      <w:proofErr w:type="gramEnd"/>
      <w:r w:rsidRPr="008C6309">
        <w:t xml:space="preserve"> relatively narrow (20-39.87), with very little variability (4/5 studies had a mean age within 3 years of each other).  Finally, the study with the largest variability ha</w:t>
      </w:r>
      <w:r>
        <w:t>d</w:t>
      </w:r>
      <w:r w:rsidRPr="008C6309">
        <w:t xml:space="preserve"> participants with a mean age of (20) and a very large effect size in the opposite direction </w:t>
      </w:r>
      <w:r>
        <w:t>to the other 4 studies</w:t>
      </w:r>
      <w:r w:rsidRPr="008C6309">
        <w:t xml:space="preserve">.  Therefore, </w:t>
      </w:r>
      <w:r>
        <w:t>the</w:t>
      </w:r>
      <w:r w:rsidRPr="008C6309">
        <w:t xml:space="preserve"> study is having a large impact on the overall analysis.  Upon removing the study, the whole direction of effect is reversed and the slope changes to a negative relation that is no longer significant.</w:t>
      </w:r>
      <w:r>
        <w:t xml:space="preserve">  Overall the results suggest </w:t>
      </w:r>
      <w:r w:rsidRPr="0074322F">
        <w:rPr>
          <w:color w:val="FF0000"/>
        </w:rPr>
        <w:t xml:space="preserve">that </w:t>
      </w:r>
      <w:r w:rsidR="004D74CE">
        <w:rPr>
          <w:color w:val="FF0000"/>
        </w:rPr>
        <w:t xml:space="preserve">in </w:t>
      </w:r>
      <w:r w:rsidR="0074322F" w:rsidRPr="0074322F">
        <w:rPr>
          <w:color w:val="FF0000"/>
        </w:rPr>
        <w:t>studies where the average age of participants</w:t>
      </w:r>
      <w:r w:rsidR="009159C6">
        <w:rPr>
          <w:color w:val="FF0000"/>
        </w:rPr>
        <w:t xml:space="preserve"> was younger</w:t>
      </w:r>
      <w:r w:rsidR="004D74CE">
        <w:rPr>
          <w:color w:val="FF0000"/>
        </w:rPr>
        <w:t>,</w:t>
      </w:r>
      <w:r w:rsidR="009159C6">
        <w:rPr>
          <w:color w:val="FF0000"/>
        </w:rPr>
        <w:t xml:space="preserve"> digital therapies appear more effective</w:t>
      </w:r>
      <w:r>
        <w:t>.</w:t>
      </w:r>
      <w:r w:rsidR="00554CB4">
        <w:t xml:space="preserve">  </w:t>
      </w:r>
      <w:r>
        <w:t>This outcome may be due to the fact that most studies surrounding NHS e</w:t>
      </w:r>
      <w:r>
        <w:noBreakHyphen/>
        <w:t>therapies have predominantly involved working age adults.  Previous studies with non-NHS recommended e</w:t>
      </w:r>
      <w:r>
        <w:noBreakHyphen/>
        <w:t xml:space="preserve">therapy for depression have been shown to be effective with older adults.  An RCT by </w:t>
      </w:r>
      <w:r w:rsidRPr="003B510F">
        <w:rPr>
          <w:noProof/>
        </w:rPr>
        <w:t xml:space="preserve">Spek </w:t>
      </w:r>
      <w:r w:rsidRPr="00802670">
        <w:rPr>
          <w:i/>
          <w:noProof/>
        </w:rPr>
        <w:t>et al.</w:t>
      </w:r>
      <w:r>
        <w:t xml:space="preserve"> </w:t>
      </w:r>
      <w:r>
        <w:fldChar w:fldCharType="begin" w:fldLock="1"/>
      </w:r>
      <w:r>
        <w:instrText>ADDIN CSL_CITATION {"citationItems":[{"id":"ITEM-1","itemData":{"DOI":"10.1017/S0033291707000542","ISBN":"1469-8978","ISSN":"00332917","PMID":"17466110","abstract":"BACKGROUND: Subthreshold depression is a highly prevalent condition and a risk factor for developing a major depressive episode. Internet-based cognitive behaviour therapy may be a promising approach for the treatment of subthreshold depression. The current study had two aims: (1) to determine whether an internet-based cognitive behaviour therapy intervention and a group cognitive behaviour therapy intervention are more effective than a waiting-list control group; and (2) to determine whether the effect of the internet-based cognitive behaviour therapy differs from the group cognitive behaviour therapy intervention. METHOD: A total of 191 women and 110 men with subthreshold depression were randomized into internet-based treatment, group cognitive behaviour therapy (Lewinsohn's Coping With Depression course), or a waiting-list control condition. The main outcome measure was treatment response after 10 weeks, defined as the difference in pre- and post-treatment scores on the Beck Depression Inventory (BDI). Missing data, a major limitation of this study, were imputed using the Multiple Imputation (MI) procedure Data Augmentation. RESULTS: In the waiting-list control group, we found a pre- to post-improvement effect size of 0.45, which was 0.65 in the group cognitive behaviour therapy condition and 1.00 within the internet-based treatment condition. Helmert contrasts showed a significant difference between the waiting-list condition and the two treatment conditions (p=0.04) and no significant difference between both treatment conditions (p=0.62). CONCLUSIONS: An internet-based intervention may be at least as effective as a commonly used group cognitive behaviour therapy intervention for subthreshold depression in people over 50 years of age.","author":[{"dropping-particle":"","family":"Spek","given":"Viola","non-dropping-particle":"","parse-names":false,"suffix":""},{"dropping-particle":"","family":"Nyklíček","given":"Ivan","non-dropping-particle":"","parse-names":false,"suffix":""},{"dropping-particle":"","family":"Smits","given":"Niels","non-dropping-particle":"","parse-names":false,"suffix":""},{"dropping-particle":"","family":"Cuijpers","given":"Pim","non-dropping-particle":"","parse-names":false,"suffix":""},{"dropping-particle":"","family":"Riper","given":"Heleen","non-dropping-particle":"","parse-names":false,"suffix":""},{"dropping-particle":"","family":"Keyzer","given":"Jules","non-dropping-particle":"","parse-names":false,"suffix":""},{"dropping-particle":"","family":"Pop","given":"Victor","non-dropping-particle":"","parse-names":false,"suffix":""}],"container-title":"Psychological Medicine","id":"ITEM-1","issue":"12","issued":{"date-parts":[["2007","12","30"]]},"page":"1797-1806","title":"Internet-based cognitive behavioural therapy for subthreshold depression in people over 50 years old: A randomized controlled clinical trial","type":"article-journal","volume":"37"},"uris":["http://www.mendeley.com/documents/?uuid=8a3de57c-cc4e-35c3-b243-05d9529fe13c"]}],"mendeley":{"formattedCitation":"(Spek, Nyklíček, &lt;i&gt;et al.&lt;/i&gt;, 2007b)","manualFormatting":"(2007)","plainTextFormattedCitation":"(Spek, Nyklíček, et al., 2007b)","previouslyFormattedCitation":"(Spek, Nyklíček, &lt;i&gt;et al.&lt;/i&gt;, 2007b)"},"properties":{"noteIndex":0},"schema":"https://github.com/citation-style-language/schema/raw/master/csl-citation.json"}</w:instrText>
      </w:r>
      <w:r>
        <w:fldChar w:fldCharType="separate"/>
      </w:r>
      <w:r w:rsidRPr="003B510F">
        <w:rPr>
          <w:noProof/>
        </w:rPr>
        <w:t>(2007)</w:t>
      </w:r>
      <w:r>
        <w:fldChar w:fldCharType="end"/>
      </w:r>
      <w:r>
        <w:t xml:space="preserve"> involving older adults </w:t>
      </w:r>
      <w:r w:rsidRPr="00B82E39">
        <w:t>fr</w:t>
      </w:r>
      <w:r w:rsidRPr="00FA5E82">
        <w:t xml:space="preserve">om the </w:t>
      </w:r>
      <w:r w:rsidRPr="00A73B6C">
        <w:t>Netherlands</w:t>
      </w:r>
      <w:r w:rsidRPr="00B82E39">
        <w:t xml:space="preserve"> </w:t>
      </w:r>
      <w:r>
        <w:t>with subclinical depression found a research developed e</w:t>
      </w:r>
      <w:r>
        <w:noBreakHyphen/>
        <w:t xml:space="preserve">therapy to be effective </w:t>
      </w:r>
      <w:r>
        <w:rPr>
          <w:noProof/>
        </w:rPr>
        <w:t>and a study in routine practice in New Zealand again found e</w:t>
      </w:r>
      <w:r>
        <w:rPr>
          <w:noProof/>
        </w:rPr>
        <w:noBreakHyphen/>
        <w:t xml:space="preserve">therapy to be effective with older adults </w:t>
      </w:r>
      <w:r>
        <w:rPr>
          <w:noProof/>
        </w:rPr>
        <w:fldChar w:fldCharType="begin" w:fldLock="1"/>
      </w:r>
      <w:r>
        <w:rPr>
          <w:noProof/>
        </w:rPr>
        <w:instrText>ADDIN CSL_CITATION {"citationItems":[{"id":"ITEM-1","itemData":{"DOI":"10.1177/0004867412466154","ISBN":"0004-8674 1440-1614","ISSN":"0004-8674","PMID":"23152358","abstract":"BACKGROUND: Depression is an important health issue amongst older adults. Internet-delivered cognitive behaviour therapy (iCBT) may help to reduce barriers and improve access to treatment, but few studies have examined its use with older adults. The present study evaluated the efficacy, acceptability and feasibility of a brief iCBT program, the Managing Your Mood Program, to treat depression amongst adults aged 60 years and older. METHOD: Using an open trial design, 20 participants with elevated symptoms of depression (Patient Health Questionnaire 9-item (PHQ-9) total scores &gt; 10) received access to five educational lessons and homework summaries, additional resources, a moderated discussion forum and weekly telephone or email contact from a clinical psychologist. Eighty percent of the sample met diagnostic criteria for a major depressive episode at pre-treatment. RESULTS: Completion rates and response rates were high, with 16/20 participants completing the five lessons within the 8 weeks, and post-treatment and 3-month follow-up data being collected from 17/20 participants. Participants improved significantly on the PHQ-9 and Geriatric Depression Scale (GDS), with large within-group effect sizes (Cohen's d) at follow-up of 1.41 and 2.04, respectively. The clinician spent a mean time of 73.75 minutes (SD = 36.10 minutes) contacting participants within the trial and the program was rated as highly acceptable by participants. CONCLUSIONS: The results are encouraging and support the potential value of iCBT in the treatment of depressive symptoms amongst older adults.","author":[{"dropping-particle":"","family":"Dear","given":"Blake F","non-dropping-particle":"","parse-names":false,"suffix":""},{"dropping-particle":"","family":"Zou","given":"Judy","non-dropping-particle":"","parse-names":false,"suffix":""},{"dropping-particle":"","family":"Titov","given":"Nickolai","non-dropping-particle":"","parse-names":false,"suffix":""},{"dropping-particle":"","family":"Lorian","given":"Carolyn","non-dropping-particle":"","parse-names":false,"suffix":""},{"dropping-particle":"","family":"Johnston","given":"Luke","non-dropping-particle":"","parse-names":false,"suffix":""},{"dropping-particle":"","family":"Spence","given":"Jay","non-dropping-particle":"","parse-names":false,"suffix":""},{"dropping-particle":"","family":"Anderson","given":"Tracy","non-dropping-particle":"","parse-names":false,"suffix":""},{"dropping-particle":"","family":"Sachdev","given":"Perminder","non-dropping-particle":"","parse-names":false,"suffix":""},{"dropping-particle":"","family":"Brodaty","given":"Henry","non-dropping-particle":"","parse-names":false,"suffix":""},{"dropping-particle":"","family":"Knight","given":"Robert G","non-dropping-particle":"","parse-names":false,"suffix":""}],"container-title":"Australian &amp; New Zealand Journal of Psychiatry","id":"ITEM-1","issue":"2","issued":{"date-parts":[["2013"]]},"note":"The present study evaluated the efficacy, acceptability and feasibility of a brief iCBT program, the Managing Your Mood Program, to treat depression amongst adults aged 60 years and older","page":"169-176","title":"Internet-delivered cognitive behavioural therapy for depression: A feasibility open trial for older adults","type":"article-journal","volume":"47"},"uris":["http://www.mendeley.com/documents/?uuid=355de196-a6f7-4f79-b1bd-29d1f8fe5a8c"]}],"mendeley":{"formattedCitation":"(Dear &lt;i&gt;et al.&lt;/i&gt;, 2013)","plainTextFormattedCitation":"(Dear et al., 2013)","previouslyFormattedCitation":"(Dear &lt;i&gt;et al.&lt;/i&gt;, 2013)"},"properties":{"noteIndex":0},"schema":"https://github.com/citation-style-language/schema/raw/master/csl-citation.json"}</w:instrText>
      </w:r>
      <w:r>
        <w:rPr>
          <w:noProof/>
        </w:rPr>
        <w:fldChar w:fldCharType="separate"/>
      </w:r>
      <w:r w:rsidRPr="003B2902">
        <w:rPr>
          <w:noProof/>
        </w:rPr>
        <w:t xml:space="preserve">(Dear </w:t>
      </w:r>
      <w:r w:rsidRPr="00802670">
        <w:rPr>
          <w:i/>
          <w:noProof/>
        </w:rPr>
        <w:t>et al.</w:t>
      </w:r>
      <w:r w:rsidRPr="003B2902">
        <w:rPr>
          <w:noProof/>
        </w:rPr>
        <w:t>, 2013)</w:t>
      </w:r>
      <w:r>
        <w:rPr>
          <w:noProof/>
        </w:rPr>
        <w:fldChar w:fldCharType="end"/>
      </w:r>
      <w:r>
        <w:rPr>
          <w:noProof/>
        </w:rPr>
        <w:t xml:space="preserve">. </w:t>
      </w:r>
      <w:r>
        <w:t xml:space="preserve">The current findings need to be explored through further studies designed to test whether age is a moderator.  This could be further developed by assessing such potential moderators as </w:t>
      </w:r>
      <w:r w:rsidRPr="0081176C">
        <w:t>fluid intelligence (abstract problem-solving ability), crystallized intelligence (cultural knowledge), computer anxiety, computer efficacy (beliefs about ability to use computers), education</w:t>
      </w:r>
      <w:r>
        <w:t xml:space="preserve"> and</w:t>
      </w:r>
      <w:r w:rsidRPr="0081176C">
        <w:t xml:space="preserve"> ethnicity</w:t>
      </w:r>
      <w:r>
        <w:t xml:space="preserve"> </w:t>
      </w:r>
      <w:r>
        <w:fldChar w:fldCharType="begin" w:fldLock="1"/>
      </w:r>
      <w:r>
        <w:instrText>ADDIN CSL_CITATION {"citationItems":[{"id":"ITEM-1","itemData":{"DOI":"10.1037/0882-7974.21.2.333","ISSN":"0882-7974","PMID":"16768579","abstract":"The successful adoption of technology is becoming increasingly important to functional independence. The present article reports findings from the Center for Research and Education on Aging and Technology Enhancement (CREATE) on the use of technology among community-dwelling adults. The sample included 1,204 individuals ranging in age from 18-91 years. All participants completed a battery that included measures of demographic characteristics, self-rated health, experience with technology, attitudes toward computers, and component cognitive abilities. Findings indicate that the older adults were less likely than younger adults to use technology in general, computers, and the World Wide Web. The results also indicate that computer anxiety, fluid intelligence, and crystallized intelligence were important predictors of the use of technology. The relationship between age and adoption of technology was mediated by cognitive abilities, computer self-efficacy, and computer anxiety. These findings are discussed in terms of training strategies to promote technology adoption.","author":[{"dropping-particle":"","family":"Czaja","given":"Sara J","non-dropping-particle":"","parse-names":false,"suffix":""},{"dropping-particle":"","family":"Charness","given":"Neil","non-dropping-particle":"","parse-names":false,"suffix":""},{"dropping-particle":"","family":"Fisk","given":"Arthur D","non-dropping-particle":"","parse-names":false,"suffix":""},{"dropping-particle":"","family":"Hertzog","given":"Christopher","non-dropping-particle":"","parse-names":false,"suffix":""},{"dropping-particle":"","family":"Nair","given":"Sankaran N","non-dropping-particle":"","parse-names":false,"suffix":""},{"dropping-particle":"","family":"Rogers","given":"Wendy A","non-dropping-particle":"","parse-names":false,"suffix":""},{"dropping-particle":"","family":"Sharit","given":"Joseph","non-dropping-particle":"","parse-names":false,"suffix":""}],"container-title":"Psychology and aging","id":"ITEM-1","issue":"2","issued":{"date-parts":[["2006","6"]]},"page":"333-52","publisher":"NIH Public Access","title":"Factors predicting the use of technology: findings from the Center for Research and Education on Aging and Technology Enhancement (CREATE).","type":"article-journal","volume":"21"},"uris":["http://www.mendeley.com/documents/?uuid=4d35620f-b50a-3194-aa0c-0f24bb839947"]}],"mendeley":{"formattedCitation":"(Czaja &lt;i&gt;et al.&lt;/i&gt;, 2006)","plainTextFormattedCitation":"(Czaja et al., 2006)","previouslyFormattedCitation":"(Czaja &lt;i&gt;et al.&lt;/i&gt;, 2006)"},"properties":{"noteIndex":0},"schema":"https://github.com/citation-style-language/schema/raw/master/csl-citation.json"}</w:instrText>
      </w:r>
      <w:r>
        <w:fldChar w:fldCharType="separate"/>
      </w:r>
      <w:r w:rsidRPr="00D43C5A">
        <w:rPr>
          <w:noProof/>
        </w:rPr>
        <w:t xml:space="preserve">(Czaja </w:t>
      </w:r>
      <w:r w:rsidRPr="00802670">
        <w:rPr>
          <w:i/>
          <w:noProof/>
        </w:rPr>
        <w:t>et al.</w:t>
      </w:r>
      <w:r w:rsidRPr="00D43C5A">
        <w:rPr>
          <w:noProof/>
        </w:rPr>
        <w:t>, 2006)</w:t>
      </w:r>
      <w:r>
        <w:fldChar w:fldCharType="end"/>
      </w:r>
      <w:r>
        <w:t>.</w:t>
      </w:r>
    </w:p>
    <w:p w14:paraId="17C04011" w14:textId="44A81F46" w:rsidR="00F1508E" w:rsidRDefault="00F1508E" w:rsidP="00B27113">
      <w:pPr>
        <w:pStyle w:val="Heading3"/>
      </w:pPr>
      <w:bookmarkStart w:id="296" w:name="_Toc530660518"/>
      <w:bookmarkStart w:id="297" w:name="_Toc3538119"/>
      <w:r>
        <w:t xml:space="preserve">Methodological </w:t>
      </w:r>
      <w:r w:rsidR="008468AC">
        <w:t>L</w:t>
      </w:r>
      <w:r>
        <w:t>essons</w:t>
      </w:r>
      <w:bookmarkEnd w:id="296"/>
      <w:bookmarkEnd w:id="297"/>
    </w:p>
    <w:p w14:paraId="456688CB" w14:textId="64858103" w:rsidR="00F1508E" w:rsidRDefault="00F1508E" w:rsidP="00F1508E">
      <w:r>
        <w:t>Finding studies relating to a specific e</w:t>
      </w:r>
      <w:r>
        <w:noBreakHyphen/>
        <w:t>therapy by searching for its name in academic databases was difficult</w:t>
      </w:r>
      <w:r w:rsidR="00554CB4">
        <w:t xml:space="preserve">.  </w:t>
      </w:r>
      <w:r>
        <w:t>This seems to be due to the fact that, prior to commercialisation, many e</w:t>
      </w:r>
      <w:r>
        <w:noBreakHyphen/>
        <w:t>therapy platforms are known by their initial project name and not their eventual product name.  For example, the commercial “IESO” platform was initially called “</w:t>
      </w:r>
      <w:r w:rsidRPr="00A46E6C">
        <w:t>online CBT</w:t>
      </w:r>
      <w:r>
        <w:t xml:space="preserve">” </w:t>
      </w:r>
      <w:r w:rsidRPr="00A46E6C">
        <w:fldChar w:fldCharType="begin" w:fldLock="1"/>
      </w:r>
      <w:r w:rsidR="00D2488C">
        <w:instrText>ADDIN CSL_CITATION {"citationItems":[{"id":"ITEM-1","itemData":{"DOI":"10.1016/S0140-6736(09)61257-5","ISSN":"1474-547X","PMID":"19700005","abstract":"BACKGROUND: Despite strong evidence for its effectiveness, cognitive-behavioural therapy (CBT) remains difficult to access. Computerised programs have been developed to improve accessibility, but whether these interventions are responsive to individual needs is unknown. We investigated the effectiveness of CBT delivered online in real time by a therapist for patients with depression in primary care. METHODS: In this multicentre, randomised controlled trial, 297 individuals with a score of 14 or more on the Beck depression inventory (BDI) and a confirmed diagnosis of depression were recruited from 55 general practices in Bristol, London, and Warwickshire, UK. Participants were randomly assigned, by a computer-generated code, to online CBT in addition to usual care (intervention; n=149) or to usual care from their general practitioner while on an 8-month waiting list for online CBT (control; n=148). Participants, researchers involved in recruitment, and therapists were masked in advance to allocation. The primary outcome was recovery from depression (BDI score &lt;10) at 4 months. Analysis was by intention to treat. This trial is registered, number ISRCTN 45444578. FINDINGS: 113 participants in the intervention group and 97 in the control group completed 4-month follow-up. 43 (38%) patients recovered from depression (BDI score &lt;10) in the intervention group versus 23 (24%) in the control group at 4 months (odds ratio 2.39, 95% CI 1.23-4.67; p=0.011), and 46 (42%) versus 26 (26%) at 8 months (2.07, 1.11-3.87; p=0.023). INTERPRETATION: CBT seems to be effective when delivered online in real time by a therapist, with benefits maintained over 8 months. This method of delivery could broaden access to CBT. FUNDING: BUPA Foundation.","author":[{"dropping-particle":"","family":"Kessler","given":"David","non-dropping-particle":"","parse-names":false,"suffix":""},{"dropping-particle":"","family":"Lewis","given":"Glyn","non-dropping-particle":"","parse-names":false,"suffix":""},{"dropping-particle":"","family":"Kaur","given":"Surinder","non-dropping-particle":"","parse-names":false,"suffix":""},{"dropping-particle":"","family":"Wiles","given":"Nicola","non-dropping-particle":"","parse-names":false,"suffix":""},{"dropping-particle":"","family":"King","given":"Michael","non-dropping-particle":"","parse-names":false,"suffix":""},{"dropping-particle":"","family":"Weich","given":"Scott","non-dropping-particle":"","parse-names":false,"suffix":""},{"dropping-particle":"","family":"Sharp","given":"Debbie J","non-dropping-particle":"","parse-names":false,"suffix":""},{"dropping-particle":"","family":"Araya","given":"Ricardo","non-dropping-particle":"","parse-names":false,"suffix":""},{"dropping-particle":"","family":"Hollinghurst","given":"Sandra","non-dropping-particle":"","parse-names":false,"suffix":""},{"dropping-particle":"","family":"Peters","given":"Tim J","non-dropping-particle":"","parse-names":false,"suffix":""}],"container-title":"Lancet","id":"ITEM-1","issue":"9690","issued":{"date-parts":[["2009","8","22"]]},"page":"628-34","publisher":"Elsevier Ltd","title":"Therapist-delivered Internet psychotherapy for depression in primary care: a randomised controlled trial.","type":"article-journal","volume":"374"},"uris":["http://www.mendeley.com/documents/?uuid=f23b1723-1727-4adc-bf14-d834ab05b76b"]}],"mendeley":{"formattedCitation":"(Kessler &lt;i&gt;et al.&lt;/i&gt;, 2009)","manualFormatting":"(Kessler et al. 2009)","plainTextFormattedCitation":"(Kessler et al., 2009)","previouslyFormattedCitation":"(Kessler &lt;i&gt;et al.&lt;/i&gt;, 2009)"},"properties":{"noteIndex":0},"schema":"https://github.com/citation-style-language/schema/raw/master/csl-citation.json"}</w:instrText>
      </w:r>
      <w:r w:rsidRPr="00A46E6C">
        <w:fldChar w:fldCharType="separate"/>
      </w:r>
      <w:r w:rsidR="00C252E3">
        <w:rPr>
          <w:noProof/>
        </w:rPr>
        <w:t>(K</w:t>
      </w:r>
      <w:r w:rsidRPr="00A46E6C">
        <w:rPr>
          <w:noProof/>
        </w:rPr>
        <w:t>essler et al. 2009)</w:t>
      </w:r>
      <w:r w:rsidRPr="00A46E6C">
        <w:fldChar w:fldCharType="end"/>
      </w:r>
      <w:r>
        <w:t>.  This evolution presents a problem when attempting to collect a portfolio of evidence for a specific e-therapy from a publication database.  This is because the search has to try to reconstruct the academic and product history of a particular e</w:t>
      </w:r>
      <w:r>
        <w:noBreakHyphen/>
        <w:t>therapy regardless of the changes to its name and format.  This leaves a heavy reliance on either the company developing the software, or the researchers involved in developing the e</w:t>
      </w:r>
      <w:r>
        <w:noBreakHyphen/>
        <w:t>therapy to store their research collectively and make accessing this information an easy task.  There is a risk that developers can resurrect a discredited e</w:t>
      </w:r>
      <w:r>
        <w:noBreakHyphen/>
        <w:t xml:space="preserve">therapy simply by </w:t>
      </w:r>
      <w:r>
        <w:lastRenderedPageBreak/>
        <w:t>‘christening’ and relaunching it under a new name.  One solution to this problem may be to make e</w:t>
      </w:r>
      <w:r>
        <w:noBreakHyphen/>
        <w:t>therapy researchers register their software on a public database with a unique identifier and to reference that identifier within publications</w:t>
      </w:r>
      <w:r w:rsidR="00554CB4">
        <w:t xml:space="preserve">.  </w:t>
      </w:r>
      <w:r>
        <w:t>However, this would require that appropriate mechanisms be put in place, along with incentives for adherence or penalties for non-compliance (such as precluding the NHS from adopting any non-registered e</w:t>
      </w:r>
      <w:r>
        <w:noBreakHyphen/>
        <w:t>therapy).</w:t>
      </w:r>
    </w:p>
    <w:p w14:paraId="099AAB91" w14:textId="77777777" w:rsidR="00F1508E" w:rsidRDefault="00F1508E" w:rsidP="00B27113">
      <w:pPr>
        <w:pStyle w:val="Heading3"/>
      </w:pPr>
      <w:bookmarkStart w:id="298" w:name="_Toc530660519"/>
      <w:bookmarkStart w:id="299" w:name="_Toc3538120"/>
      <w:r w:rsidRPr="008A757A">
        <w:t>Limitations</w:t>
      </w:r>
      <w:bookmarkEnd w:id="298"/>
      <w:bookmarkEnd w:id="299"/>
      <w:r w:rsidRPr="008A757A">
        <w:t xml:space="preserve"> </w:t>
      </w:r>
    </w:p>
    <w:p w14:paraId="0DB488A9" w14:textId="68B7D0B4" w:rsidR="00F1508E" w:rsidRPr="00232ED9" w:rsidRDefault="00F1508E" w:rsidP="00F1508E">
      <w:r>
        <w:t>The present review had several limitations, which usefully highlight how the evidence base could be further developed.  The number of trials conducted underpinning the apps recommended by the NHS were small and therefore some aspects of the meta-analysis were not possible to examine (e.g. t</w:t>
      </w:r>
      <w:r w:rsidRPr="008B65C2">
        <w:t xml:space="preserve">here were </w:t>
      </w:r>
      <w:r>
        <w:t xml:space="preserve">an </w:t>
      </w:r>
      <w:r w:rsidRPr="008B65C2">
        <w:t xml:space="preserve">insufficient number of studies (k &gt;10) to </w:t>
      </w:r>
      <w:r>
        <w:t xml:space="preserve">enable </w:t>
      </w:r>
      <w:r w:rsidRPr="008B65C2">
        <w:t xml:space="preserve">inspection the funnel plot </w:t>
      </w:r>
      <w:r>
        <w:t xml:space="preserve">inspecting for the presence of publication bias </w:t>
      </w:r>
      <w:r w:rsidRPr="008B65C2">
        <w:t xml:space="preserve">for </w:t>
      </w:r>
      <w:r>
        <w:t>e</w:t>
      </w:r>
      <w:r>
        <w:noBreakHyphen/>
        <w:t>therapy</w:t>
      </w:r>
      <w:r w:rsidRPr="008B65C2">
        <w:t xml:space="preserve"> compared with active treatment at </w:t>
      </w:r>
      <w:r>
        <w:t xml:space="preserve">end of treatment and at </w:t>
      </w:r>
      <w:r w:rsidRPr="008B65C2">
        <w:t>follow-up</w:t>
      </w:r>
      <w:r>
        <w:t>).  Using the risk of bias tool on the trials demonstrated a common methodological flaw pertaining to blinding of outcome assessments and so an inflated chance of bias due to performance bias.  Across the studies, the diagnostic status of participants was unclear, outcomes were limited by the use of self-report measures and there was a lack of long-</w:t>
      </w:r>
      <w:r w:rsidRPr="000D747D">
        <w:t>term follow-up.</w:t>
      </w:r>
      <w:r w:rsidRPr="000D747D" w:rsidDel="00E0215A">
        <w:t xml:space="preserve"> </w:t>
      </w:r>
      <w:r w:rsidRPr="000D747D">
        <w:t xml:space="preserve"> </w:t>
      </w:r>
      <w:r w:rsidR="00232ED9" w:rsidRPr="000D747D">
        <w:t xml:space="preserve">There is much discussion about the appropriateness and categorisation of control groups </w:t>
      </w:r>
      <w:r w:rsidR="00232ED9" w:rsidRPr="000D747D">
        <w:fldChar w:fldCharType="begin" w:fldLock="1"/>
      </w:r>
      <w:r w:rsidR="00704FB6" w:rsidRPr="000D747D">
        <w:instrText>ADDIN CSL_CITATION {"citationItems":[{"id":"ITEM-1","itemData":{"DOI":"10.1111/add.12799","ISBN":"1360-0443","ISSN":"13600443","PMID":"25393504","abstract":"Background and Aims\\n\\nA crucial, but under-appreciated, aspect in experimental research on psychosocial treatments of substance use disorders concerns what kinds of control groups are used. This paper examines how the distinction between different control group designs has been handled by the Cochrane and the Campbell Collaborations in their systematic reviews of psychosocial treatments of substance abuse disorders.\\n\\nMethods\\n\\nWe assessed Cochrane and Campbell reviews (n = 8) that were devoted to psychosocial treatments of substance use disorders. We noted what control groups were considered and analysed the extent to which the reviews provided a rationale for chosen comparison conditions. We also analysed whether type of control group in the primary studies influenced how the reviews framed the effects discussed and whether this was related to conclusions drawn.\\n\\nResults\\n\\nThe reviews covered studies involving widely different control conditions. Overall, little attention was paid to the use of different control groups (e.g. head-to-head comparisons vs. untreated controls) and what this implies when interpreting effect sizes. Seven of eight reviews did not provide a rationale for the choice of comparison conditions.\\n\\nConclusions\\n\\nCochrane- and Campbell reviews of the efficacy of psychosocial interventions with substance use disorders seem to underappreciate that use of different control group types yields different effect estimates. Most reviews have not distinguished between different control group designs and therefore have provided a confused picture regarding absolute and relative treatment efficacy. A systematic approach to treating different control group designs in research reviews is necessary for meaningful estimates of treatment efficacy. This article is protected by copyright. All rights reserved.","author":[{"dropping-particle":"","family":"Karlsson","given":"Patrik","non-dropping-particle":"","parse-names":false,"suffix":""},{"dropping-particle":"","family":"Bergmark","given":"Anders","non-dropping-particle":"","parse-names":false,"suffix":""}],"container-title":"Addiction","id":"ITEM-1","issue":"3","issued":{"date-parts":[["2015"]]},"page":"420-428","title":"Compared with what? An analysis of control-group types in Cochrane and Campbell reviews of psychosocial treatment efficacy with substance use disorders","type":"article-journal","volume":"110"},"uris":["http://www.mendeley.com/documents/?uuid=fb21d0e9-3a12-4dd2-a691-40d44f296060"]}],"mendeley":{"formattedCitation":"(Karlsson and Bergmark, 2015)","plainTextFormattedCitation":"(Karlsson and Bergmark, 2015)","previouslyFormattedCitation":"(Karlsson and Bergmark, 2015)"},"properties":{"noteIndex":0},"schema":"https://github.com/citation-style-language/schema/raw/master/csl-citation.json"}</w:instrText>
      </w:r>
      <w:r w:rsidR="00232ED9" w:rsidRPr="000D747D">
        <w:fldChar w:fldCharType="separate"/>
      </w:r>
      <w:r w:rsidR="00232ED9" w:rsidRPr="000D747D">
        <w:t>(</w:t>
      </w:r>
      <w:proofErr w:type="spellStart"/>
      <w:r w:rsidR="00232ED9" w:rsidRPr="000D747D">
        <w:t>Karlsson</w:t>
      </w:r>
      <w:proofErr w:type="spellEnd"/>
      <w:r w:rsidR="00232ED9" w:rsidRPr="000D747D">
        <w:t xml:space="preserve"> </w:t>
      </w:r>
      <w:r w:rsidR="007B0EA5" w:rsidRPr="000D747D">
        <w:t>&amp;</w:t>
      </w:r>
      <w:r w:rsidR="00232ED9" w:rsidRPr="000D747D">
        <w:t xml:space="preserve"> </w:t>
      </w:r>
      <w:proofErr w:type="spellStart"/>
      <w:r w:rsidR="00232ED9" w:rsidRPr="000D747D">
        <w:t>Bergmark</w:t>
      </w:r>
      <w:proofErr w:type="spellEnd"/>
      <w:r w:rsidR="00232ED9" w:rsidRPr="000D747D">
        <w:t>, 2015)</w:t>
      </w:r>
      <w:r w:rsidR="00232ED9" w:rsidRPr="000D747D">
        <w:fldChar w:fldCharType="end"/>
      </w:r>
      <w:r w:rsidR="00232ED9" w:rsidRPr="000D747D">
        <w:t xml:space="preserve"> and this is particularly relevant to mental health where no placebo control is possible.  </w:t>
      </w:r>
      <w:r w:rsidRPr="000D747D">
        <w:t xml:space="preserve">The use of passive control conditions in trials is also fraught with clinical limitations and reduces the external validity of any study.  For example, waitlist controls have shown to inflate treatment effect sizes in comparisons, and TAU conditions are often heterogeneous, reducing the generalizability of findings </w:t>
      </w:r>
      <w:r w:rsidRPr="000D747D">
        <w:fldChar w:fldCharType="begin" w:fldLock="1"/>
      </w:r>
      <w:r w:rsidRPr="000D747D">
        <w:instrText>ADDIN CSL_CITATION {"citationItems":[{"id":"ITEM-1","itemData":{"DOI":"10.1111/acps.12275","ISSN":"0001690X","PMID":"24697518","abstract":"OBJECTIVE Various control conditions have been employed in psychotherapy trials, but there is growing suspicion that they may lead to different effect size estimates. The present study aims to examine the differences among control conditions including waiting list (WL), no treatment (NT) and psychological placebo (PP). METHOD We comprehensively searched for all randomized controlled trials (RCTs) comparing cognitive-behaviour therapies (CBT) against various control conditions in the acute phase treatment of depression, and applied network meta-analysis (NMA) to combine all direct and indirect comparisons among the treatment and control arms. RESULTS We identified 49 RCTs (2730 participants) comparing WL, NT, PP and CBT. This network of evidence was consistent, and the effect size estimates for CBT were substantively different depending on the control condition. The odds ratio of response for NT over WL was statistically significant at 2.9 (95% CI: 1.3-5.7). However, the quality of evidence, including publication bias, was less than ideal and none of the preplanned sensitivity analyses limiting to high-quality studies could be conducted, while findings of significant differences did not persist in post hoc sensitivity analyses trying to adjust for publication bias. CONCLUSION There may be important differences in control conditions currently used in psychotherapy trials.","author":[{"dropping-particle":"","family":"Furukawa","given":"T. A.","non-dropping-particle":"","parse-names":false,"suffix":""},{"dropping-particle":"","family":"Noma","given":"H.","non-dropping-particle":"","parse-names":false,"suffix":""},{"dropping-particle":"","family":"Caldwell","given":"D. M.","non-dropping-particle":"","parse-names":false,"suffix":""},{"dropping-particle":"","family":"Honyashiki","given":"M.","non-dropping-particle":"","parse-names":false,"suffix":""},{"dropping-particle":"","family":"Shinohara","given":"K.","non-dropping-particle":"","parse-names":false,"suffix":""},{"dropping-particle":"","family":"Imai","given":"H.","non-dropping-particle":"","parse-names":false,"suffix":""},{"dropping-particle":"","family":"Chen","given":"P.","non-dropping-particle":"","parse-names":false,"suffix":""},{"dropping-particle":"","family":"Hunot","given":"V.","non-dropping-particle":"","parse-names":false,"suffix":""},{"dropping-particle":"","family":"Churchill","given":"R.","non-dropping-particle":"","parse-names":false,"suffix":""}],"container-title":"Acta Psychiatrica Scandinavica","id":"ITEM-1","issue":"3","issued":{"date-parts":[["2014","9"]]},"page":"181-192","title":"Waiting list may be a nocebo condition in psychotherapy trials: a contribution from network meta-analysis","type":"article-journal","volume":"130"},"uris":["http://www.mendeley.com/documents/?uuid=727e4ab3-db91-3de8-9c31-b1b6368fb597"]}],"mendeley":{"formattedCitation":"(Furukawa &lt;i&gt;et al.&lt;/i&gt;, 2014)","plainTextFormattedCitation":"(Furukawa et al., 2014)","previouslyFormattedCitation":"(Furukawa &lt;i&gt;et al.&lt;/i&gt;, 2014)"},"properties":{"noteIndex":0},"schema":"https://github.com/citation-style-language/schema/raw/master/csl-citation.json"}</w:instrText>
      </w:r>
      <w:r w:rsidRPr="000D747D">
        <w:fldChar w:fldCharType="separate"/>
      </w:r>
      <w:r w:rsidRPr="000D747D">
        <w:t>(Furukawa et al., 2014)</w:t>
      </w:r>
      <w:r w:rsidRPr="000D747D">
        <w:fldChar w:fldCharType="end"/>
      </w:r>
      <w:r w:rsidRPr="000D747D">
        <w:t xml:space="preserve">.  The manner in which adherence to e-therapy (and active control) was not routinely assessed in the studies or there was use of </w:t>
      </w:r>
      <w:proofErr w:type="spellStart"/>
      <w:r w:rsidRPr="000D747D">
        <w:t>unvalidated</w:t>
      </w:r>
      <w:proofErr w:type="spellEnd"/>
      <w:r w:rsidRPr="000D747D">
        <w:t xml:space="preserve"> adherence measures.  There was not a commonly agreed definition of dropout across the studies.  All studies had a mean age below older adult age of 65+ and therefore the efficacy of e-therapies with older adults is still largely under researched.  The RCTs conducted have also neglected to report adverse incident rates.  Therefore, the rate of people patients being harmed (e.g. hospitalised, attempting or committing suicide) whilst accessing an e</w:t>
      </w:r>
      <w:r w:rsidRPr="000D747D">
        <w:noBreakHyphen/>
        <w:t>therapy is still unknown.  Therefore, the safety of e</w:t>
      </w:r>
      <w:r w:rsidRPr="000D747D">
        <w:noBreakHyphen/>
        <w:t xml:space="preserve">therapies in the utility matrix </w:t>
      </w:r>
      <w:r w:rsidRPr="000D747D">
        <w:fldChar w:fldCharType="begin" w:fldLock="1"/>
      </w:r>
      <w:r w:rsidRPr="000D747D">
        <w:instrText>ADDIN CSL_CITATION {"citationItems":[{"id":"ITEM-1","itemData":{"DOI":"10.1093/intqhc/mzl034","ISSN":"1464-3677","author":[{"dropping-particle":"","family":"Smart","given":"Andrew","non-dropping-particle":"","parse-names":false,"suffix":""}],"container-title":"International Journal for Quality in Health Care","id":"ITEM-1","issue":"5","issued":{"date-parts":[["2006","10","1"]]},"page":"377-382","publisher":"Oxford University Press","title":"A multi-dimensional model of clinical utility","type":"article-journal","volume":"18"},"uris":["http://www.mendeley.com/documents/?uuid=ade9a9ee-cc66-35b9-92bc-9ed9f90aff24"]}],"mendeley":{"formattedCitation":"(Smart, 2006)","plainTextFormattedCitation":"(Smart, 2006)","previouslyFormattedCitation":"(Smart, 2006)"},"properties":{"noteIndex":0},"schema":"https://github.com/citation-style-language/schema/raw/master/csl-citation.json"}</w:instrText>
      </w:r>
      <w:r w:rsidRPr="000D747D">
        <w:fldChar w:fldCharType="separate"/>
      </w:r>
      <w:r w:rsidRPr="000D747D">
        <w:t>(Smart, 2006)</w:t>
      </w:r>
      <w:r w:rsidRPr="000D747D">
        <w:fldChar w:fldCharType="end"/>
      </w:r>
      <w:r w:rsidRPr="000D747D">
        <w:t xml:space="preserve"> is still under examined.</w:t>
      </w:r>
      <w:r w:rsidR="00F76600" w:rsidRPr="000D747D">
        <w:t xml:space="preserve">  The low kappa for </w:t>
      </w:r>
      <w:r w:rsidR="004D74CE" w:rsidRPr="000D747D">
        <w:t xml:space="preserve">the </w:t>
      </w:r>
      <w:r w:rsidR="00F76600" w:rsidRPr="000D747D">
        <w:t xml:space="preserve">quality assessments </w:t>
      </w:r>
      <w:r w:rsidR="004D74CE" w:rsidRPr="000D747D">
        <w:t>should be taken into consideration when</w:t>
      </w:r>
      <w:r w:rsidR="00A578EC" w:rsidRPr="000D747D">
        <w:t xml:space="preserve"> </w:t>
      </w:r>
      <w:r w:rsidR="00FE2900" w:rsidRPr="000D747D">
        <w:t xml:space="preserve">reflecting on the study </w:t>
      </w:r>
      <w:r w:rsidR="00A578EC" w:rsidRPr="000D747D">
        <w:t xml:space="preserve">quality </w:t>
      </w:r>
      <w:r w:rsidR="00FE2900" w:rsidRPr="000D747D">
        <w:t>findings.</w:t>
      </w:r>
    </w:p>
    <w:p w14:paraId="61EB6A99" w14:textId="770DB90E" w:rsidR="00F1508E" w:rsidRDefault="00F1508E" w:rsidP="00B27113">
      <w:pPr>
        <w:pStyle w:val="Heading3"/>
        <w:rPr>
          <w:lang w:eastAsia="en-GB"/>
        </w:rPr>
      </w:pPr>
      <w:bookmarkStart w:id="300" w:name="_Toc530660520"/>
      <w:bookmarkStart w:id="301" w:name="_Toc3538121"/>
      <w:r w:rsidRPr="00501424">
        <w:rPr>
          <w:lang w:eastAsia="en-GB"/>
        </w:rPr>
        <w:t xml:space="preserve">Clinical and </w:t>
      </w:r>
      <w:r w:rsidR="008468AC">
        <w:rPr>
          <w:lang w:eastAsia="en-GB"/>
        </w:rPr>
        <w:t>S</w:t>
      </w:r>
      <w:r w:rsidRPr="00501424">
        <w:rPr>
          <w:lang w:eastAsia="en-GB"/>
        </w:rPr>
        <w:t xml:space="preserve">ervice </w:t>
      </w:r>
      <w:r w:rsidR="008468AC">
        <w:rPr>
          <w:lang w:eastAsia="en-GB"/>
        </w:rPr>
        <w:t>I</w:t>
      </w:r>
      <w:r w:rsidRPr="00501424">
        <w:rPr>
          <w:lang w:eastAsia="en-GB"/>
        </w:rPr>
        <w:t>mplications</w:t>
      </w:r>
      <w:bookmarkEnd w:id="300"/>
      <w:bookmarkEnd w:id="301"/>
    </w:p>
    <w:p w14:paraId="1F655A0F" w14:textId="77777777" w:rsidR="00F1508E" w:rsidRDefault="00F1508E" w:rsidP="00F1508E">
      <w:pPr>
        <w:rPr>
          <w:lang w:eastAsia="en-GB"/>
        </w:rPr>
      </w:pPr>
      <w:r>
        <w:rPr>
          <w:lang w:eastAsia="en-GB"/>
        </w:rPr>
        <w:t xml:space="preserve">Several e-therapies included in this study have been developed not to need clinical support and guidance (e.g. </w:t>
      </w:r>
      <w:proofErr w:type="spellStart"/>
      <w:r w:rsidRPr="006E7C2E">
        <w:t>MoodGYM</w:t>
      </w:r>
      <w:proofErr w:type="spellEnd"/>
      <w:r w:rsidRPr="006E7C2E">
        <w:t xml:space="preserve"> and Headspace</w:t>
      </w:r>
      <w:r>
        <w:t>)</w:t>
      </w:r>
      <w:r>
        <w:rPr>
          <w:lang w:eastAsia="en-GB"/>
        </w:rPr>
        <w:t xml:space="preserve">.  Some of these therapies are free to use but do not offer or require guidance.  The e-therapies in this study were seen to outperform passive controls, so it may be of benefit to explore offering e-therapies as a waiting list intervention.  Therefore, rather than sitting passively on a waiting list, a patient could use an app to bridge across the wait-time period.  Whilst there is evidence that wait-list interventions can influence eventual therapy take-up, the methods used tend to be inefficient in terms of time (e.g. offering monthly attendance at seminars </w:t>
      </w:r>
      <w:r>
        <w:rPr>
          <w:lang w:eastAsia="en-GB"/>
        </w:rPr>
        <w:fldChar w:fldCharType="begin" w:fldLock="1"/>
      </w:r>
      <w:r>
        <w:rPr>
          <w:lang w:eastAsia="en-GB"/>
        </w:rPr>
        <w:instrText>ADDIN CSL_CITATION {"citationItems":[{"id":"ITEM-1","itemData":{"DOI":"10.1017/S1352465816000643","ISSN":"1352-4658","PMID":"28229807","abstract":"&lt;p&gt; &lt;bold&gt;Background&lt;/bold&gt; : Pre-treatment role induction interventions have been suggested to potentially enhance attendance and clinical outcomes in psychotherapy. &lt;bold&gt;Aims&lt;/bold&gt; : This study aimed to evaluate the effects of a programme of three transdiagnostic seminars (TDS) for patients with common mental disorders accessing cognitive behavioural therapy (CBT) in primary care. TDS included CBT psychoeducation and role induction. &lt;bold&gt;Method&lt;/bold&gt; : A random sample of patients ( &lt;italic&gt;n&lt;/italic&gt; = 49) participated in TDS followed by CBT (TDS+CBT) and they were compared with matched controls ( &lt;italic&gt;n&lt;/italic&gt; = 49) accessing usual CBT. TDS participants rated the relevance and quality of this intervention using an acceptability questionnaire (AQ). Treatment completion ( &lt;italic&gt;vs&lt;/italic&gt; dropout) rates were compared across groups using chi-square tests. Post-treatment changes in depression (PHQ-9) and anxiety (GAD-7) symptoms were compared between groups using analysis of covariance controlling for potential confounders. Analyses were based on &lt;italic&gt;intention-to-treat&lt;/italic&gt; principles. &lt;bold&gt;Results&lt;/bold&gt; : Mean AQ ratings of the TDS intervention were comparable across diagnostic groups ( &lt;italic&gt;p&lt;/italic&gt; = .05). Treatment completion rates were significantly higher ( &lt;italic&gt;p&lt;/italic&gt; = .02) in the TDS+CBT group (87.8%) by comparison with usual CBT (68.8%). However, no significant differences in post-treatment symptom changes were found for depression ( &lt;italic&gt;p&lt;/italic&gt; = .34) or anxiety measures ( &lt;italic&gt;p&lt;/italic&gt; = .71). &lt;bold&gt;Conclusions&lt;/bold&gt; : Incorporating a psychoeducational role induction prior to CBT significantly improved treatment retention, but not overall symptom reductions. &lt;/p&gt;","author":[{"dropping-particle":"","family":"Delgadillo","given":"Jaime","non-dropping-particle":"","parse-names":false,"suffix":""},{"dropping-particle":"","family":"Groom","given":"Martin","non-dropping-particle":"","parse-names":false,"suffix":""}],"container-title":"Behavioural and Cognitive Psychotherapy","id":"ITEM-1","issue":"02","issued":{"date-parts":[["2017","3","23"]]},"page":"170-184","title":"Using Psychoeducation and Role Induction to Improve Completion Rates in Cognitive Behavioural Therapy","type":"article-journal","volume":"45"},"uris":["http://www.mendeley.com/documents/?uuid=09df33db-e011-3039-895a-6673c001004a"]}],"mendeley":{"formattedCitation":"(Delgadillo and Groom, 2017)","plainTextFormattedCitation":"(Delgadillo and Groom, 2017)","previouslyFormattedCitation":"(Delgadillo and Groom, 2017)"},"properties":{"noteIndex":0},"schema":"https://github.com/citation-style-language/schema/raw/master/csl-citation.json"}</w:instrText>
      </w:r>
      <w:r>
        <w:rPr>
          <w:lang w:eastAsia="en-GB"/>
        </w:rPr>
        <w:fldChar w:fldCharType="separate"/>
      </w:r>
      <w:r w:rsidRPr="00362D30">
        <w:rPr>
          <w:noProof/>
          <w:lang w:eastAsia="en-GB"/>
        </w:rPr>
        <w:t>(Delgadillo and Groom, 2017)</w:t>
      </w:r>
      <w:r>
        <w:rPr>
          <w:lang w:eastAsia="en-GB"/>
        </w:rPr>
        <w:fldChar w:fldCharType="end"/>
      </w:r>
      <w:r>
        <w:rPr>
          <w:lang w:eastAsia="en-GB"/>
        </w:rPr>
        <w:t xml:space="preserve">.  E-therapies have real clinical potential as a support for patients on wait-lists and need to be investigated as to the rate of patients that no longer need </w:t>
      </w:r>
      <w:r>
        <w:rPr>
          <w:lang w:eastAsia="en-GB"/>
        </w:rPr>
        <w:lastRenderedPageBreak/>
        <w:t xml:space="preserve">treatment as a result of accessing e-therapy.  Alternatively, it may be of useful to offer and evaluate e-therapies more as an accompaniment to current NHS IAPT services and this could be investigated via a component clinical trial </w:t>
      </w:r>
      <w:r>
        <w:rPr>
          <w:lang w:eastAsia="en-GB"/>
        </w:rPr>
        <w:fldChar w:fldCharType="begin" w:fldLock="1"/>
      </w:r>
      <w:r>
        <w:rPr>
          <w:lang w:eastAsia="en-GB"/>
        </w:rPr>
        <w:instrText>ADDIN CSL_CITATION {"citationItems":[{"id":"ITEM-1","itemData":{"DOI":"10.1037/a0033004","ISSN":"1939-2117","PMID":"23688145","abstract":"OBJECTIVE Component studies compare standard treatments to treatments with added components or dismantled components. A previous meta-analysis (Ahn &amp; Wampold, 2001) failed to find any differences in outcome between treatments with more components and those with fewer components, leading the authors to conclude that common factors and not specific ingredients account for therapeutic change. METHOD The current random effects model meta-analysis of psychotherapy component studies conducted between 1980 and 2010 included more than 3 times as many studies as Ahn and Wampold's (2001) meta-analysis (k = 66). Unlike the previous meta-analysis, this study conducted separate meta-analyses for additive and dismantling studies and also examined treatment outcomes at follow-up. RESULTS For the dismantling studies, there were no significant differences between the full treatments and the dismantled treatments. For the additive studies, the treatment with the added component yielded a small, but significant, effect at completion (d = 0.14) and a slightly larger effect at follow-up (d = 0.28), but only for the specific problems that were targeted for treatment. Despite the diversity of populations studied, problems treated, and treatments examined, there was little heterogeneity among the results of these studies. CONCLUSION These findings suggest that added specific ingredients may contribute modestly to treatment outcomes.","author":[{"dropping-particle":"","family":"Bell","given":"Erin C.","non-dropping-particle":"","parse-names":false,"suffix":""},{"dropping-particle":"","family":"Marcus","given":"David K.","non-dropping-particle":"","parse-names":false,"suffix":""},{"dropping-particle":"","family":"Goodlad","given":"James K.","non-dropping-particle":"","parse-names":false,"suffix":""}],"container-title":"Journal of Consulting and Clinical Psychology","id":"ITEM-1","issue":"4","issued":{"date-parts":[["2013","8"]]},"page":"722-736","title":"Are the parts as good as the whole? A meta-analysis of component treatment studies.","type":"article-journal","volume":"81"},"uris":["http://www.mendeley.com/documents/?uuid=65b1d100-3f43-34a7-bf23-0cbdbf24b2f9"]}],"mendeley":{"formattedCitation":"(Bell, Marcus and Goodlad, 2013)","plainTextFormattedCitation":"(Bell, Marcus and Goodlad, 2013)","previouslyFormattedCitation":"(Bell, Marcus and Goodlad, 2013)"},"properties":{"noteIndex":0},"schema":"https://github.com/citation-style-language/schema/raw/master/csl-citation.json"}</w:instrText>
      </w:r>
      <w:r>
        <w:rPr>
          <w:lang w:eastAsia="en-GB"/>
        </w:rPr>
        <w:fldChar w:fldCharType="separate"/>
      </w:r>
      <w:r w:rsidRPr="00362D30">
        <w:rPr>
          <w:noProof/>
          <w:lang w:eastAsia="en-GB"/>
        </w:rPr>
        <w:t>(Bell, Marcus and Goodlad, 2013)</w:t>
      </w:r>
      <w:r>
        <w:rPr>
          <w:lang w:eastAsia="en-GB"/>
        </w:rPr>
        <w:fldChar w:fldCharType="end"/>
      </w:r>
      <w:r w:rsidRPr="005C4F0E">
        <w:rPr>
          <w:rFonts w:eastAsia="Times New Roman" w:cstheme="minorHAnsi"/>
        </w:rPr>
        <w:t>.</w:t>
      </w:r>
    </w:p>
    <w:p w14:paraId="0E3CA933" w14:textId="4ACE30DB" w:rsidR="00F1508E" w:rsidRDefault="00F1508E" w:rsidP="00F1508E">
      <w:pPr>
        <w:rPr>
          <w:lang w:eastAsia="en-GB"/>
        </w:rPr>
      </w:pPr>
      <w:r>
        <w:rPr>
          <w:lang w:eastAsia="en-GB"/>
        </w:rPr>
        <w:t xml:space="preserve">Whilst these unguided treatments maybe beneficial to patients waiting for treatment, it is clear from the results of this study and other studies </w:t>
      </w:r>
      <w:r>
        <w:rPr>
          <w:lang w:eastAsia="en-GB"/>
        </w:rPr>
        <w:fldChar w:fldCharType="begin" w:fldLock="1"/>
      </w:r>
      <w:r>
        <w:rPr>
          <w:lang w:eastAsia="en-GB"/>
        </w:rPr>
        <w:instrText>ADDIN CSL_CITATION {"citationItems":[{"id":"ITEM-1","itemData":{"DOI":"10.1586/14737167.7.3.291","ISBN":"1473-7167","ISSN":"14737167","PMID":"20528315","abstract":"Psychiatric problems such as mood and anxiety disorders are highly prevalent and are associated with high societal costs and individual suffering. Evidence-based psychological treatments obtain good results but are not available to the required extent due to the lack of practitioners with adequate training. One way to solve this problem is to provide minimal-contact self-help treatments, for example, with the assistance of computers. Recently, internet-delivered cognitive-behavioral treatment has been tested in a series of controlled trials. However, the interventions come in many forms with different levels and kinds of therapist input, which have implications for the costs of the treatments and possibly their effectiveness. In this review we found evidence for a strong correlation between therapist input and outcome. While emerging evidence attests to the efficacy of internet-delivered treatment when at least minimal therapist guidance is provided, most studies in the field have not included a formal evaluation of cost-effectiveness. Future research needs are discussed.","author":[{"dropping-particle":"","family":"Palmqvist","given":"Björn","non-dropping-particle":"","parse-names":false,"suffix":""},{"dropping-particle":"","family":"Carlbring","given":"Per","non-dropping-particle":"","parse-names":false,"suffix":""},{"dropping-particle":"","family":"Andersson","given":"Gerhard","non-dropping-particle":"","parse-names":false,"suffix":""}],"container-title":"Expert Review of Pharmacoeconomics and Outcomes Research","id":"ITEM-1","issue":"3","issued":{"date-parts":[["2007","6","9"]]},"page":"291-297","title":"Internet-delivered treatments with or without therapist input: Does the therapist factor have implications for efficacy and cost?","type":"article-journal","volume":"7"},"uris":["http://www.mendeley.com/documents/?uuid=6fd1ebb0-781f-3981-876f-be62c8f0be08"]},{"id":"ITEM-2","itemData":{"DOI":"10.1080/16506070802694776","ISBN":"1650-6073","ISSN":"16506073","PMID":"20183688","abstract":"Abstract. Computer-aided psychotherapy (CP) is said to (1) be as effective as face-to-face psychotherapy, while requiring less therapist time, for anxiety disorder sufferers, (2) speed access to care, and (3) save traveling time. CP may be delivered on stand-alone or Internet-linked computers, palmtop computers, phone-interactive voice response, DVDs, and cell phones. The authors performed a meta-analysis of 23 randomised controlled studies (RCTs) that compared CP with non- CP in anxiety disorders: phobias, n510; panic disorder/agoraphobia, n59; PTSD, n53; obsessive– compulsive disorder, n51. Overall mean effect size of CP compared with non-CP was 1.08 (95% confidence interval: 0.84–1.32). CP and face-to-face psychotherapy did not differ significantly from each other (13 comparisons, d520.06). Much caution is needed when interpreting the findings indicating that outcome was unrelated to type of disorder, type of comparison group, mode of CP delivery (Internet, stand-alone PC, palmtop), and recency of the CP system and that effect size decreased when more therapist time was replaced by the computer. Because CP as a whole was as effective as face-to-face psychotherapy, certain forms of CP deserve to be integrated into routine practice.","author":[{"dropping-particle":"","family":"Cuijpers","given":"Pim","non-dropping-particle":"","parse-names":false,"suffix":""},{"dropping-particle":"","family":"Marks","given":"Isaac M.","non-dropping-particle":"","parse-names":false,"suffix":""},{"dropping-particle":"","family":"Straten","given":"Annemieke","non-dropping-particle":"van","parse-names":false,"suffix":""},{"dropping-particle":"","family":"Cavanagh","given":"Kate","non-dropping-particle":"","parse-names":false,"suffix":""},{"dropping-particle":"","family":"Gega","given":"Lina","non-dropping-particle":"","parse-names":false,"suffix":""},{"dropping-particle":"","family":"Andersson","given":"Gerhard","non-dropping-particle":"","parse-names":false,"suffix":""}],"container-title":"Cognitive Behaviour Therapy","id":"ITEM-2","issue":"2","issued":{"date-parts":[["2009","1"]]},"page":"66-82","title":"Computer-aided psychotherapy for anxiety disorders: A meta-analytic review","type":"article-journal","volume":"38"},"uris":["http://www.mendeley.com/documents/?uuid=70e6de36-df9f-436a-8d95-d39320640c2d"]}],"mendeley":{"formattedCitation":"(Palmqvist, Carlbring and Andersson, 2007; Cuijpers &lt;i&gt;et al.&lt;/i&gt;, 2009)","plainTextFormattedCitation":"(Palmqvist, Carlbring and Andersson, 2007; Cuijpers et al., 2009)","previouslyFormattedCitation":"(Palmqvist, Carlbring and Andersson, 2007; Cuijpers &lt;i&gt;et al.&lt;/i&gt;, 2009)"},"properties":{"noteIndex":0},"schema":"https://github.com/citation-style-language/schema/raw/master/csl-citation.json"}</w:instrText>
      </w:r>
      <w:r>
        <w:rPr>
          <w:lang w:eastAsia="en-GB"/>
        </w:rPr>
        <w:fldChar w:fldCharType="separate"/>
      </w:r>
      <w:r w:rsidRPr="00825B37">
        <w:rPr>
          <w:noProof/>
          <w:lang w:eastAsia="en-GB"/>
        </w:rPr>
        <w:t xml:space="preserve">(Palmqvist, Carlbring and Andersson, 2007; Cuijpers </w:t>
      </w:r>
      <w:r w:rsidRPr="00825B37">
        <w:rPr>
          <w:i/>
          <w:noProof/>
          <w:lang w:eastAsia="en-GB"/>
        </w:rPr>
        <w:t>et al.</w:t>
      </w:r>
      <w:r w:rsidRPr="00825B37">
        <w:rPr>
          <w:noProof/>
          <w:lang w:eastAsia="en-GB"/>
        </w:rPr>
        <w:t>, 2009)</w:t>
      </w:r>
      <w:r>
        <w:rPr>
          <w:lang w:eastAsia="en-GB"/>
        </w:rPr>
        <w:fldChar w:fldCharType="end"/>
      </w:r>
      <w:r>
        <w:rPr>
          <w:lang w:eastAsia="en-GB"/>
        </w:rPr>
        <w:t xml:space="preserve"> that some clinician involvement is vital to ensuring good outcomes.  Offering helper support via phone, e-mail, or face-to-face contact has also have been associated with higher adherence and completion rates </w:t>
      </w:r>
      <w:r>
        <w:rPr>
          <w:lang w:eastAsia="en-GB"/>
        </w:rPr>
        <w:fldChar w:fldCharType="begin" w:fldLock="1"/>
      </w:r>
      <w:r>
        <w:rPr>
          <w:lang w:eastAsia="en-GB"/>
        </w:rPr>
        <w:instrText>ADDIN CSL_CITATION {"citationItems":[{"id":"ITEM-1","itemData":{"DOI":"10.1586/14737167.7.3.291","ISBN":"1473-7167","ISSN":"14737167","PMID":"20528315","abstract":"Psychiatric problems such as mood and anxiety disorders are highly prevalent and are associated with high societal costs and individual suffering. Evidence-based psychological treatments obtain good results but are not available to the required extent due to the lack of practitioners with adequate training. One way to solve this problem is to provide minimal-contact self-help treatments, for example, with the assistance of computers. Recently, internet-delivered cognitive-behavioral treatment has been tested in a series of controlled trials. However, the interventions come in many forms with different levels and kinds of therapist input, which have implications for the costs of the treatments and possibly their effectiveness. In this review we found evidence for a strong correlation between therapist input and outcome. While emerging evidence attests to the efficacy of internet-delivered treatment when at least minimal therapist guidance is provided, most studies in the field have not included a formal evaluation of cost-effectiveness. Future research needs are discussed.","author":[{"dropping-particle":"","family":"Palmqvist","given":"Björn","non-dropping-particle":"","parse-names":false,"suffix":""},{"dropping-particle":"","family":"Carlbring","given":"Per","non-dropping-particle":"","parse-names":false,"suffix":""},{"dropping-particle":"","family":"Andersson","given":"Gerhard","non-dropping-particle":"","parse-names":false,"suffix":""}],"container-title":"Expert Review of Pharmacoeconomics and Outcomes Research","id":"ITEM-1","issue":"3","issued":{"date-parts":[["2007","6","9"]]},"page":"291-297","title":"Internet-delivered treatments with or without therapist input: Does the therapist factor have implications for efficacy and cost?","type":"article-journal","volume":"7"},"uris":["http://www.mendeley.com/documents/?uuid=6fd1ebb0-781f-3981-876f-be62c8f0be08"]},{"id":"ITEM-2","itemData":{"DOI":"10.1080/16506070802694776","ISBN":"1650-6073","ISSN":"16506073","PMID":"20183688","abstract":"Abstract. Computer-aided psychotherapy (CP) is said to (1) be as effective as face-to-face psychotherapy, while requiring less therapist time, for anxiety disorder sufferers, (2) speed access to care, and (3) save traveling time. CP may be delivered on stand-alone or Internet-linked computers, palmtop computers, phone-interactive voice response, DVDs, and cell phones. The authors performed a meta-analysis of 23 randomised controlled studies (RCTs) that compared CP with non- CP in anxiety disorders: phobias, n510; panic disorder/agoraphobia, n59; PTSD, n53; obsessive– compulsive disorder, n51. Overall mean effect size of CP compared with non-CP was 1.08 (95% confidence interval: 0.84–1.32). CP and face-to-face psychotherapy did not differ significantly from each other (13 comparisons, d520.06). Much caution is needed when interpreting the findings indicating that outcome was unrelated to type of disorder, type of comparison group, mode of CP delivery (Internet, stand-alone PC, palmtop), and recency of the CP system and that effect size decreased when more therapist time was replaced by the computer. Because CP as a whole was as effective as face-to-face psychotherapy, certain forms of CP deserve to be integrated into routine practice.","author":[{"dropping-particle":"","family":"Cuijpers","given":"Pim","non-dropping-particle":"","parse-names":false,"suffix":""},{"dropping-particle":"","family":"Marks","given":"Isaac M.","non-dropping-particle":"","parse-names":false,"suffix":""},{"dropping-particle":"","family":"Straten","given":"Annemieke","non-dropping-particle":"van","parse-names":false,"suffix":""},{"dropping-particle":"","family":"Cavanagh","given":"Kate","non-dropping-particle":"","parse-names":false,"suffix":""},{"dropping-particle":"","family":"Gega","given":"Lina","non-dropping-particle":"","parse-names":false,"suffix":""},{"dropping-particle":"","family":"Andersson","given":"Gerhard","non-dropping-particle":"","parse-names":false,"suffix":""}],"container-title":"Cognitive Behaviour Therapy","id":"ITEM-2","issue":"2","issued":{"date-parts":[["2009","1"]]},"page":"66-82","title":"Computer-aided psychotherapy for anxiety disorders: A meta-analytic review","type":"article-journal","volume":"38"},"uris":["http://www.mendeley.com/documents/?uuid=70e6de36-df9f-436a-8d95-d39320640c2d"]}],"mendeley":{"formattedCitation":"(Palmqvist, Carlbring and Andersson, 2007; Cuijpers &lt;i&gt;et al.&lt;/i&gt;, 2009)","plainTextFormattedCitation":"(Palmqvist, Carlbring and Andersson, 2007; Cuijpers et al., 2009)","previouslyFormattedCitation":"(Palmqvist, Carlbring and Andersson, 2007; Cuijpers &lt;i&gt;et al.&lt;/i&gt;, 2009)"},"properties":{"noteIndex":0},"schema":"https://github.com/citation-style-language/schema/raw/master/csl-citation.json"}</w:instrText>
      </w:r>
      <w:r>
        <w:rPr>
          <w:lang w:eastAsia="en-GB"/>
        </w:rPr>
        <w:fldChar w:fldCharType="separate"/>
      </w:r>
      <w:r w:rsidRPr="0027090E">
        <w:rPr>
          <w:noProof/>
          <w:lang w:eastAsia="en-GB"/>
        </w:rPr>
        <w:t xml:space="preserve">(Palmqvist, Carlbring and Andersson, 2007; Cuijpers </w:t>
      </w:r>
      <w:r w:rsidRPr="0027090E">
        <w:rPr>
          <w:i/>
          <w:noProof/>
          <w:lang w:eastAsia="en-GB"/>
        </w:rPr>
        <w:t>et al.</w:t>
      </w:r>
      <w:r w:rsidRPr="0027090E">
        <w:rPr>
          <w:noProof/>
          <w:lang w:eastAsia="en-GB"/>
        </w:rPr>
        <w:t>, 2009)</w:t>
      </w:r>
      <w:r>
        <w:rPr>
          <w:lang w:eastAsia="en-GB"/>
        </w:rPr>
        <w:fldChar w:fldCharType="end"/>
      </w:r>
      <w:r>
        <w:rPr>
          <w:lang w:eastAsia="en-GB"/>
        </w:rPr>
        <w:t>.</w:t>
      </w:r>
      <w:r w:rsidR="006406E6">
        <w:rPr>
          <w:lang w:eastAsia="en-GB"/>
        </w:rPr>
        <w:t xml:space="preserve"> </w:t>
      </w:r>
      <w:r>
        <w:rPr>
          <w:lang w:eastAsia="en-GB"/>
        </w:rPr>
        <w:t xml:space="preserve"> However, the optimal level and type of support is still unknown and studies such as </w:t>
      </w:r>
      <w:r w:rsidRPr="00E81116">
        <w:rPr>
          <w:noProof/>
          <w:lang w:eastAsia="en-GB"/>
        </w:rPr>
        <w:t xml:space="preserve">Titov </w:t>
      </w:r>
      <w:r w:rsidRPr="00E81116">
        <w:rPr>
          <w:i/>
          <w:noProof/>
          <w:lang w:eastAsia="en-GB"/>
        </w:rPr>
        <w:t>et al.</w:t>
      </w:r>
      <w:r>
        <w:rPr>
          <w:i/>
          <w:noProof/>
          <w:lang w:eastAsia="en-GB"/>
        </w:rPr>
        <w:t xml:space="preserve"> </w:t>
      </w:r>
      <w:r>
        <w:rPr>
          <w:lang w:eastAsia="en-GB"/>
        </w:rPr>
        <w:fldChar w:fldCharType="begin" w:fldLock="1"/>
      </w:r>
      <w:r>
        <w:rPr>
          <w:lang w:eastAsia="en-GB"/>
        </w:rPr>
        <w:instrText>ADDIN CSL_CITATION {"citationItems":[{"id":"ITEM-1","itemData":{"DOI":"10.1080/00048670903179228","ISSN":"0004-8674","abstract":"Objective: The present study (Shyness 6) compares the benefits and acceptability of two types of guidance on severity of symptoms during Internet treatment for social phobia.Methods: Non-inferiority randomized controlled trial of Internet treatment, supplemented with weekly telephone calls from a technician (computerized cognitive-behavioural treatment (CCBT + Tel), or regular access to a clinician-moderated online discussion forum (CCBT + Forum), was carried out. An intention-to-treat model was used for data analyses. The participants consisted of 82 volunteers with social phobia. The intervention consisted of six lessons of CCBT for social phobia (the Shyness programme) with complex automated reminders. The main outcome measures were the Social Interaction Anxiety Scale and Social Phobia Scale.Results: A total of 79% of CCBT + Tel and 79% of CCBT + Forum group participants completed all six lessons. Large mean within-groups effect sizes (Cohen's d) for the two social phobia measures were found for the C...","author":[{"dropping-particle":"","family":"Titov","given":"Nickolai","non-dropping-particle":"","parse-names":false,"suffix":""},{"dropping-particle":"","family":"Andrews","given":"Gavin","non-dropping-particle":"","parse-names":false,"suffix":""},{"dropping-particle":"","family":"Schwencke","given":"Genevieve","non-dropping-particle":"","parse-names":false,"suffix":""},{"dropping-particle":"","family":"Solley","given":"Karen","non-dropping-particle":"","parse-names":false,"suffix":""},{"dropping-particle":"","family":"Johnston","given":"Luke","non-dropping-particle":"","parse-names":false,"suffix":""},{"dropping-particle":"","family":"Robinson","given":"Emma","non-dropping-particle":"","parse-names":false,"suffix":""}],"container-title":"Australian &amp; New Zealand Journal of Psychiatry","id":"ITEM-1","issue":"10","issued":{"date-parts":[["2009","10","1"]]},"page":"920-926","publisher":"SAGE PublicationsSage UK: London, England","title":"An RCT Comparing Effect of Two Types of Support on Severity of Symptoms for People Completing Internet-Based Cognitive Behaviour Therapy for Social Phobia","type":"article-journal","volume":"43"},"uris":["http://www.mendeley.com/documents/?uuid=7f3b4c84-c437-38ca-9434-196a0b791d6f"]},{"id":"ITEM-2","itemData":{"DOI":"10.1371/journal.pone.0010939","ISSN":"1932-6203","abstract":"Background Internet-based cognitive behavioural therapy (iCBT) for depression is effective when guided by a clinician, less so if unguided. Question: Would guidance from a technician be as effective as guidance from a clinician?  Method Randomized controlled non-inferiority trial comparing three groups: Clinician-assisted vs. technician-assisted vs. delayed treatment. Community-based volunteers applied to the VirtualClinic (www.virtualclinic.org.au) research program, and 141 participants with major depressive disorder were randomized. Participants in the clinician- and technician-assisted groups received access to an iCBT program for depression comprising 6 online lessons, weekly homework assignments, and weekly supportive contact over a treatment period of 8 weeks. Participants in the clinician-assisted group also received access to a moderated online discussion forum. The main outcome measures were the Beck Depression Inventory (BDI-II) and the Patient Health Questionnaire-9 Item (PHQ-9). Completion rates were high, and at post-treatment, both treatment groups reduced scores on the BDI-II (p&lt;0.001) and PHQ-9 (p&lt;0.001) compared to the delayed treatment group but did not differ from each other. Within group effect sizes on the BDI-II were 1.27 and 1.20 for the clinician- and technician-assisted groups respectively, and on the PHQ-9, were 1.54 and 1.60 respectively. At 4-month follow-up participants in the technician group had made further improvements and had significantly lower scores on the PHQ-9 than those in the clinician group. A total of approximately 60 minutes of clinician or technician time was required per participant during the 8-week treatment program.  Conclusions Both clinician- and technician-assisted treatment resulted in large effect sizes and clinically significant improvements comparable to those associated with face-to-face treatment, while a delayed treatment control group did not improve. These results provide support for large scale trials to determine the clinical effectiveness and acceptability of technician-assisted iCBT programs for depression. This form of treatment has potential to increase the capacity of existing mental health services. Trial Registration Australian New Zealand Clinical Trials Registry ACTRN12609000559213","author":[{"dropping-particle":"","family":"Titov","given":"Nickolai","non-dropping-particle":"","parse-names":false,"suffix":""},{"dropping-particle":"","family":"Andrews","given":"Gavin","non-dropping-particle":"","parse-names":false,"suffix":""},{"dropping-particle":"","family":"Davies","given":"Matthew","non-dropping-particle":"","parse-names":false,"suffix":""},{"dropping-particle":"","family":"McIntyre","given":"Karen","non-dropping-particle":"","parse-names":false,"suffix":""},{"dropping-particle":"","family":"Robinson","given":"Emma","non-dropping-particle":"","parse-names":false,"suffix":""},{"dropping-particle":"","family":"Solley","given":"Karen","non-dropping-particle":"","parse-names":false,"suffix":""}],"container-title":"PLoS ONE","editor":[{"dropping-particle":"","family":"García","given":"Antonio Verdejo","non-dropping-particle":"","parse-names":false,"suffix":""}],"id":"ITEM-2","issue":"6","issued":{"date-parts":[["2010","6","8"]]},"page":"e10939","publisher":"Public Library of Science","title":"Internet Treatment for Depression: A Randomized Controlled Trial Comparing Clinician vs. Technician Assistance","type":"article-journal","volume":"5"},"uris":["http://www.mendeley.com/documents/?uuid=c3d3f7a5-f05a-399a-adb8-ccfc2b399cd8"]}],"mendeley":{"formattedCitation":"(Titov &lt;i&gt;et al.&lt;/i&gt;, 2009, 2010)","manualFormatting":"(2009, 2010)","plainTextFormattedCitation":"(Titov et al., 2009, 2010)","previouslyFormattedCitation":"(Titov &lt;i&gt;et al.&lt;/i&gt;, 2009, 2010)"},"properties":{"noteIndex":0},"schema":"https://github.com/citation-style-language/schema/raw/master/csl-citation.json"}</w:instrText>
      </w:r>
      <w:r>
        <w:rPr>
          <w:lang w:eastAsia="en-GB"/>
        </w:rPr>
        <w:fldChar w:fldCharType="separate"/>
      </w:r>
      <w:r w:rsidRPr="00E81116">
        <w:rPr>
          <w:noProof/>
          <w:lang w:eastAsia="en-GB"/>
        </w:rPr>
        <w:t>(2009, 2010)</w:t>
      </w:r>
      <w:r>
        <w:rPr>
          <w:lang w:eastAsia="en-GB"/>
        </w:rPr>
        <w:fldChar w:fldCharType="end"/>
      </w:r>
      <w:r>
        <w:rPr>
          <w:lang w:eastAsia="en-GB"/>
        </w:rPr>
        <w:t xml:space="preserve"> have shown that the involvement provided does not need to be therapy specific and can be technical or practical</w:t>
      </w:r>
      <w:r w:rsidR="00554CB4">
        <w:rPr>
          <w:lang w:eastAsia="en-GB"/>
        </w:rPr>
        <w:t xml:space="preserve">.  </w:t>
      </w:r>
      <w:r>
        <w:rPr>
          <w:lang w:eastAsia="en-GB"/>
        </w:rPr>
        <w:t>It is clear that some human contact seems to mobilise the effectiveness of an e-therapy and therefore designers and services need to bear this in mind in terms of e-therapy development and also e-therapy support to patients.</w:t>
      </w:r>
    </w:p>
    <w:p w14:paraId="4833C266" w14:textId="77777777" w:rsidR="00F1508E" w:rsidRDefault="00F1508E" w:rsidP="00F1508E">
      <w:pPr>
        <w:rPr>
          <w:lang w:eastAsia="en-GB"/>
        </w:rPr>
      </w:pPr>
      <w:r>
        <w:rPr>
          <w:lang w:eastAsia="en-GB"/>
        </w:rPr>
        <w:t xml:space="preserve">E-therapies offer an easily accessible pathway to care with less emphasis on face-to-face contact.  Even with this difference, the same ethical considerations should be applied with additional considerations surrounding anonymity and patient data security because the NHS stored files on clients and their treatment.  One solution to this may be to separate health records from e-therapy treatment enabling personal details and NHS numbers to be excluded from the e-therapy platform.  Patients have reported in studies that e-therapy has helped them to understand their issues and enabled them to build an familiarity with therapeutic principles </w:t>
      </w:r>
      <w:r>
        <w:rPr>
          <w:lang w:eastAsia="en-GB"/>
        </w:rPr>
        <w:fldChar w:fldCharType="begin" w:fldLock="1"/>
      </w:r>
      <w:r>
        <w:rPr>
          <w:lang w:eastAsia="en-GB"/>
        </w:rPr>
        <w:instrText>ADDIN CSL_CITATION {"citationItems":[{"id":"ITEM-1","itemData":{"DOI":"10.1186/1471-244X-11-107","ISSN":"1471-244X","abstract":"Internet-based self-help treatment with minimal therapist contact has been shown to have an effect in treating various conditions. The objective of this study was to explore participants' views of Internet administrated guided self-help treatment for depression. In-depth interviews were conducted with 12 strategically selected participants and qualitative methods with components of both thematic analysis and grounded theory were used in the analyses. Three distinct change processes relating to how participants worked with the treatment material emerged which were categorized as (a) Readers, (b) Strivers, and (c) Doers. These processes dealt with attitudes towards treatment, views on motivational aspects of the treatment, and perceptions of consequences of the treatment. We conclude that the findings correspond with existing theoretical models of face-to-face psychotherapy within qualitative process research. Persons who take responsibility for the treatment and also attribute success to themselves appear to benefit more. Motivation is a crucial aspect of guided self-help in the treatment of depression.","author":[{"dropping-particle":"","family":"Bendelin","given":"Nina","non-dropping-particle":"","parse-names":false,"suffix":""},{"dropping-particle":"","family":"Hesser","given":"Hugo","non-dropping-particle":"","parse-names":false,"suffix":""},{"dropping-particle":"","family":"Dahl","given":"Johan","non-dropping-particle":"","parse-names":false,"suffix":""},{"dropping-particle":"","family":"Carlbring","given":"Per","non-dropping-particle":"","parse-names":false,"suffix":""},{"dropping-particle":"","family":"Nelson","given":"Karin Zetterqvist","non-dropping-particle":"","parse-names":false,"suffix":""},{"dropping-particle":"","family":"Andersson","given":"Gerhard","non-dropping-particle":"","parse-names":false,"suffix":""}],"container-title":"BMC Psychiatry","id":"ITEM-1","issue":"1","issued":{"date-parts":[["2011","12","30"]]},"page":"107","publisher":"BioMed Central","title":"Experiences of guided Internet-based cognitive-behavioural treatment for depression: A qualitative study","type":"article-journal","volume":"11"},"uris":["http://www.mendeley.com/documents/?uuid=15b87fe3-0fca-3ac7-9ad8-3bbc3ccb20b2"]},{"id":"ITEM-2","itemData":{"DOI":"10.1080/10503307.2013.766941","ISSN":"1050-3307","abstract":"Abstract This case series compares patient experiences and therapeutic processes between two modalities of cognitive behaviour therapy (CBT) for depression: computerized CBT (cCBT) and therapist-delivered CBT (tCBT). In a mixed-methods repeated-measures case series, six participants were offered cCBT and tCBT in sequence, with the order of delivery randomized across participants. Questionnaires about patient experiences were administered after each session and a semi-structured interview was completed with each participant at the end of each therapy modality. Therapy expectations, patient experiences and session impact ratings in this study generally favoured tCBT. Participants typically experienced cCBT sessions as less meaningful, less positive and less helpful compared to tCBT sessions in terms of developing understanding, facilitating problem-solving and building a therapeutic relationship.","author":[{"dropping-particle":"","family":"Gega","given":"Lina","non-dropping-particle":"","parse-names":false,"suffix":""},{"dropping-particle":"","family":"Smith","given":"Joanna","non-dropping-particle":"","parse-names":false,"suffix":""},{"dropping-particle":"","family":"Reynolds","given":"Shirley","non-dropping-particle":"","parse-names":false,"suffix":""}],"container-title":"Psychotherapy Research","id":"ITEM-2","issue":"2","issued":{"date-parts":[["2013","3"]]},"page":"218-231","publisher":" Taylor &amp; Francis Group ","title":"Cognitive behaviour therapy (CBT) for depression by computer vs. therapist: Patient experiences and therapeutic processes","type":"article-journal","volume":"23"},"uris":["http://www.mendeley.com/documents/?uuid=8df17f26-72bb-3acf-bbe7-b40da18ac455"]}],"mendeley":{"formattedCitation":"(Bendelin &lt;i&gt;et al.&lt;/i&gt;, 2011; Gega, Smith and Reynolds, 2013)","plainTextFormattedCitation":"(Bendelin et al., 2011; Gega, Smith and Reynolds, 2013)","previouslyFormattedCitation":"(Bendelin &lt;i&gt;et al.&lt;/i&gt;, 2011; Gega, Smith and Reynolds, 2013)"},"properties":{"noteIndex":0},"schema":"https://github.com/citation-style-language/schema/raw/master/csl-citation.json"}</w:instrText>
      </w:r>
      <w:r>
        <w:rPr>
          <w:lang w:eastAsia="en-GB"/>
        </w:rPr>
        <w:fldChar w:fldCharType="separate"/>
      </w:r>
      <w:r w:rsidRPr="00B03271">
        <w:rPr>
          <w:noProof/>
          <w:lang w:eastAsia="en-GB"/>
        </w:rPr>
        <w:t xml:space="preserve">(Bendelin </w:t>
      </w:r>
      <w:r w:rsidRPr="00B03271">
        <w:rPr>
          <w:i/>
          <w:noProof/>
          <w:lang w:eastAsia="en-GB"/>
        </w:rPr>
        <w:t>et al.</w:t>
      </w:r>
      <w:r w:rsidRPr="00B03271">
        <w:rPr>
          <w:noProof/>
          <w:lang w:eastAsia="en-GB"/>
        </w:rPr>
        <w:t>, 2011; Gega, Smith and Reynolds, 2013)</w:t>
      </w:r>
      <w:r>
        <w:rPr>
          <w:lang w:eastAsia="en-GB"/>
        </w:rPr>
        <w:fldChar w:fldCharType="end"/>
      </w:r>
      <w:r>
        <w:rPr>
          <w:lang w:eastAsia="en-GB"/>
        </w:rPr>
        <w:t>.  Better adherence has been attributed to patients having positive expectations of the potential usefulness of the e-therapy</w:t>
      </w:r>
      <w:r w:rsidRPr="00E549F0">
        <w:rPr>
          <w:lang w:eastAsia="en-GB"/>
        </w:rPr>
        <w:t xml:space="preserve"> </w:t>
      </w:r>
      <w:r>
        <w:rPr>
          <w:lang w:eastAsia="en-GB"/>
        </w:rPr>
        <w:t xml:space="preserve">at the start of therapy </w:t>
      </w:r>
      <w:r>
        <w:rPr>
          <w:lang w:eastAsia="en-GB"/>
        </w:rPr>
        <w:fldChar w:fldCharType="begin" w:fldLock="1"/>
      </w:r>
      <w:r>
        <w:rPr>
          <w:lang w:eastAsia="en-GB"/>
        </w:rPr>
        <w:instrText>ADDIN CSL_CITATION {"citationItems":[{"id":"ITEM-1","itemData":{"DOI":"10.1016/J.CHB.2004.11.014","ISSN":"0747-5632","abstract":"BACKGROUND\nWe recently demonstrated the efficacy and feasibility of a novel CD-ROM based cognitive-behavioral multi-media self-help intervention for the treatment of bulimia nervosa. What is not known in CD-ROM treatments is how to best to deliver and support such packages in clinical practice. In particular, it is of great importance to identify to what extent such packages can be offered stand alone, and to what extent additional support from a practitioner is required. \n\nOBJECTIVE\nThe aim of the present study was to examine whether the addition of therapist support to the CD-ROM intervention would improve treatment uptake, adherence and outcome. \n\nMETHOD\nTwo cohorts of patients with full or partial bulimia nervosa referred to a catchment area based eating disorder service were offered an eight session CD-ROM-based cognitive-behavioral self-help treatment (“Overcoming Bulimia”). The first cohort received minimal guidance only and the second cohort were offered three brief focused support sessions with a therapist. The two cohorts were compared on treatment uptake, adherence and outcome. \n\nRESULTS\nPatients in both groups improved significantly. There were no significant differences between the two groups in terms of treatment uptake, adherence or outcome, except that the therapist guidance group more often achieved remission from excessive exercise at follow-up. \n\nDISCUSSION\nThese findings provide further support for the acceptability and efficacy of the CD-ROM intervention for bulimia nervosa. Brief focused therapist guidance did not confer any significant additional benefits. This result has important implications for the widespread adoption of such approaches.","author":[{"dropping-particle":"","family":"Murray","given":"Kathryn","non-dropping-particle":"","parse-names":false,"suffix":""},{"dropping-particle":"","family":"Schmidt","given":"Ulrike","non-dropping-particle":"","parse-names":false,"suffix":""},{"dropping-particle":"","family":"Pombo-Carril","given":"Maria-Guadelupe","non-dropping-particle":"","parse-names":false,"suffix":""},{"dropping-particle":"","family":"Grover","given":"Miriam","non-dropping-particle":"","parse-names":false,"suffix":""},{"dropping-particle":"","family":"Alenya","given":"Joana","non-dropping-particle":"","parse-names":false,"suffix":""},{"dropping-particle":"","family":"Treasure","given":"Janet","non-dropping-particle":"","parse-names":false,"suffix":""},{"dropping-particle":"","family":"Williams","given":"Christopher","non-dropping-particle":"","parse-names":false,"suffix":""}],"container-title":"Computers in Human Behavior","id":"ITEM-1","issue":"1","issued":{"date-parts":[["2007","1","1"]]},"page":"850-859","publisher":"Pergamon","title":"Does therapist guidance improve uptake, adherence and outcome from a CD-ROM based cognitive-behavioral intervention for the treatment of bulimia nervosa?","type":"article-journal","volume":"23"},"uris":["http://www.mendeley.com/documents/?uuid=5df997bc-c7ae-3352-a030-eb99e6a0a726"]},{"id":"ITEM-2","itemData":{"DOI":"10.1017/S0033291707002607","ISSN":"0033-2917","PMID":"18205964","abstract":"BACKGROUND Cognitive behaviour therapy (CBT) is widely used to treat depression. However, CBT is not always available to patients because of a shortage of therapists and long waiting times. Computerized CBT (CCBT) is one of several alternatives currently available to treat patients with depression. Evidence of its clinical effectiveness has led to programs being used increasingly within the UK and elsewhere. However, little information is available regarding the acceptability of CCBT to patients. METHOD A systematic review of sources of information on acceptability to patients of CCBT for depression. RESULTS Sources of information on acceptability included: recruitment rates, patient drop-outs and patient-completed questionnaires. We identified 16 studies of CCBT for the treatment of depression that provided at least some information on these sources. Limited information was provided on patient take-up rates and recruitment methods. Drop-out rates were comparable to other forms of treatment. Take-up rates, when reported, were much lower. Six of the 16 studies included specific questions on patient acceptability or satisfaction although information was only provided for those who had completed treatment. Several studies have reported positive expectancies and high satisfaction in routine care CCBT services for those completing treatment. CONCLUSIONS Trials of CCBT should include more detailed information on patient recruitment methods, drop-out rates and reasons for dropping out. It is important that well-designed surveys and qualitative studies are included alongside trials to determine levels and determinants of patient acceptability.","author":[{"dropping-particle":"","family":"Kaltenthaler","given":"E.","non-dropping-particle":"","parse-names":false,"suffix":""},{"dropping-particle":"","family":"Sutcliffe","given":"P.","non-dropping-particle":"","parse-names":false,"suffix":""},{"dropping-particle":"","family":"Parry","given":"G.","non-dropping-particle":"","parse-names":false,"suffix":""},{"dropping-particle":"","family":"Beverley","given":"C.","non-dropping-particle":"","parse-names":false,"suffix":""},{"dropping-particle":"","family":"Rees","given":"A.","non-dropping-particle":"","parse-names":false,"suffix":""},{"dropping-particle":"","family":"Ferriter","given":"M.","non-dropping-particle":"","parse-names":false,"suffix":""}],"container-title":"Psychological Medicine","id":"ITEM-2","issue":"11","issued":{"date-parts":[["2008","11","21"]]},"page":"1521","title":"The acceptability to patients of computerized cognitive behaviour therapy for depression: a systematic review","type":"article-journal","volume":"38"},"uris":["http://www.mendeley.com/documents/?uuid=598979ad-b5b2-3339-a5cc-e6ea81af9a5f"]}],"mendeley":{"formattedCitation":"(Murray &lt;i&gt;et al.&lt;/i&gt;, 2007; Kaltenthaler &lt;i&gt;et al.&lt;/i&gt;, 2008)","plainTextFormattedCitation":"(Murray et al., 2007; Kaltenthaler et al., 2008)","previouslyFormattedCitation":"(Murray &lt;i&gt;et al.&lt;/i&gt;, 2007; Kaltenthaler &lt;i&gt;et al.&lt;/i&gt;, 2008)"},"properties":{"noteIndex":0},"schema":"https://github.com/citation-style-language/schema/raw/master/csl-citation.json"}</w:instrText>
      </w:r>
      <w:r>
        <w:rPr>
          <w:lang w:eastAsia="en-GB"/>
        </w:rPr>
        <w:fldChar w:fldCharType="separate"/>
      </w:r>
      <w:r w:rsidRPr="00E549F0">
        <w:rPr>
          <w:noProof/>
          <w:lang w:eastAsia="en-GB"/>
        </w:rPr>
        <w:t xml:space="preserve">(Murray </w:t>
      </w:r>
      <w:r w:rsidRPr="00E549F0">
        <w:rPr>
          <w:i/>
          <w:noProof/>
          <w:lang w:eastAsia="en-GB"/>
        </w:rPr>
        <w:t>et al.</w:t>
      </w:r>
      <w:r w:rsidRPr="00E549F0">
        <w:rPr>
          <w:noProof/>
          <w:lang w:eastAsia="en-GB"/>
        </w:rPr>
        <w:t xml:space="preserve">, 2007; Kaltenthaler </w:t>
      </w:r>
      <w:r w:rsidRPr="00E549F0">
        <w:rPr>
          <w:i/>
          <w:noProof/>
          <w:lang w:eastAsia="en-GB"/>
        </w:rPr>
        <w:t>et al.</w:t>
      </w:r>
      <w:r w:rsidRPr="00E549F0">
        <w:rPr>
          <w:noProof/>
          <w:lang w:eastAsia="en-GB"/>
        </w:rPr>
        <w:t>, 2008)</w:t>
      </w:r>
      <w:r>
        <w:rPr>
          <w:lang w:eastAsia="en-GB"/>
        </w:rPr>
        <w:fldChar w:fldCharType="end"/>
      </w:r>
      <w:r>
        <w:rPr>
          <w:lang w:eastAsia="en-GB"/>
        </w:rPr>
        <w:t>.</w:t>
      </w:r>
    </w:p>
    <w:p w14:paraId="04B597BA" w14:textId="0603EEBE" w:rsidR="00F1508E" w:rsidRPr="00501424" w:rsidRDefault="00F1508E" w:rsidP="00B27113">
      <w:pPr>
        <w:pStyle w:val="Heading3"/>
        <w:rPr>
          <w:lang w:eastAsia="en-GB"/>
        </w:rPr>
      </w:pPr>
      <w:bookmarkStart w:id="302" w:name="_Toc530660521"/>
      <w:bookmarkStart w:id="303" w:name="_Toc3538122"/>
      <w:r w:rsidRPr="00501424">
        <w:rPr>
          <w:lang w:eastAsia="en-GB"/>
        </w:rPr>
        <w:t xml:space="preserve">Overall </w:t>
      </w:r>
      <w:r w:rsidR="008468AC">
        <w:rPr>
          <w:lang w:eastAsia="en-GB"/>
        </w:rPr>
        <w:t>C</w:t>
      </w:r>
      <w:r w:rsidRPr="00501424">
        <w:rPr>
          <w:lang w:eastAsia="en-GB"/>
        </w:rPr>
        <w:t>onclusions</w:t>
      </w:r>
      <w:bookmarkEnd w:id="302"/>
      <w:bookmarkEnd w:id="303"/>
    </w:p>
    <w:p w14:paraId="458A77C9" w14:textId="147CFA91" w:rsidR="00F1508E" w:rsidRPr="00DB3C11" w:rsidRDefault="00F1508E" w:rsidP="00F1508E">
      <w:pPr>
        <w:rPr>
          <w:sz w:val="16"/>
          <w:szCs w:val="16"/>
        </w:rPr>
      </w:pPr>
      <w:r>
        <w:rPr>
          <w:shd w:val="clear" w:color="auto" w:fill="FFFFFF"/>
        </w:rPr>
        <w:t>In this meta-analysis of 'gold-standard' clinical trials, e-therapies have been found to be an efficacious as an acute-phase intervention for adults with common mental health problems</w:t>
      </w:r>
      <w:r>
        <w:t xml:space="preserve">, but </w:t>
      </w:r>
      <w:proofErr w:type="gramStart"/>
      <w:r>
        <w:t>does</w:t>
      </w:r>
      <w:proofErr w:type="gramEnd"/>
      <w:r>
        <w:t xml:space="preserve"> not out-perform other active treatments and performs best when supported by a clinician.  The </w:t>
      </w:r>
      <w:proofErr w:type="gramStart"/>
      <w:r>
        <w:t>results of e-therapies in comparison to passive controls particularly raises</w:t>
      </w:r>
      <w:proofErr w:type="gramEnd"/>
      <w:r>
        <w:t xml:space="preserve"> the possibility of e-therapies being used as wait-list initiative.  Nevertheless, results do not provide evidence that e</w:t>
      </w:r>
      <w:r>
        <w:noBreakHyphen/>
        <w:t>therapy is as durable as or more efficacious than active treatments.  There is, therefore, a real need for further sufficiently powered “head-to-head” RCTs (with longer follow-up periods) to be conducted, to enable the comparative efficacy and durability of e</w:t>
      </w:r>
      <w:r>
        <w:noBreakHyphen/>
        <w:t xml:space="preserve">therapy treatment to be firmly established. </w:t>
      </w:r>
      <w:r w:rsidRPr="005371BF">
        <w:t xml:space="preserve"> </w:t>
      </w:r>
      <w:r>
        <w:t>The large sample size demands of equivalence or non-inferiority trials need to be taken into account when planning studies.  Preliminary findings regarding attrition from treatment, and of a relationship between effects for symptoms of depression following e</w:t>
      </w:r>
      <w:r>
        <w:noBreakHyphen/>
        <w:t>therapy, are also important avenues for further research.  It has been reported that uptake and engagement with e</w:t>
      </w:r>
      <w:r>
        <w:noBreakHyphen/>
        <w:t>therapies</w:t>
      </w:r>
      <w:r w:rsidRPr="007E3F24">
        <w:t xml:space="preserve"> in trials may vary to that of data collected in practice </w:t>
      </w:r>
      <w:r w:rsidRPr="007E3F24">
        <w:fldChar w:fldCharType="begin" w:fldLock="1"/>
      </w:r>
      <w:r>
        <w:instrText>ADDIN CSL_CITATION {"citationItems":[{"id":"ITEM-1","itemData":{"DOI":"10.2196/jmir.9275","ISSN":"1438-8871","PMID":"29875089","abstract":"BACKGROUND Digital self-help interventions (including online or computerized programs and apps) for common mental health issues have been shown to be appealing, engaging, and efficacious in randomized controlled trials. They show potential for improving access to therapy and improving population mental health. However, their use in the real world, ie, as implemented (disseminated) outside of research settings, may differ from that reported in trials, and implementation data are seldom reported. OBJECTIVE This study aimed to review peer-reviewed articles reporting user uptake and/or ongoing use, retention, or completion data (hereafter usage data or, for brevity, engagement) from implemented pure self-help (unguided) digital interventions for depression, anxiety, or the enhancement of mood. METHODS We conducted a systematic search of the Scopus, Embase, MEDLINE, and PsychINFO databases for studies reporting user uptake and/or usage data from implemented digital self-help interventions for the treatment or prevention of depression or anxiety, or the enhancement of mood, from 2002 to 2017. Additionally, we screened the reference lists of included articles, citations of these articles, and the titles of articles published in Internet Interventions, Journal of Medical Internet Research (JMIR), and JMIR Mental Health since their inception. We extracted data indicating the number of registrations or downloads and usage of interventions. RESULTS After the removal of duplicates, 970 papers were identified, of which 10 met the inclusion criteria. Hand searching identified 1 additional article. The included articles reported on 7 publicly available interventions. There was little consistency in the measures reported. The number of registrants or downloads ranged widely, from 8 to over 40,000 per month. From 21% to 88% of users engaged in at least minimal use (eg, used the intervention at least once or completed one module or assessment), whereas 7-42% engaged in moderate use (completing between 40% and 60% of modular fixed-length programs or continuing to use apps after 4 weeks). Indications of completion or sustained use (completion of all modules or the last assessment or continuing to use apps after six weeks or more) varied from 0.5% to 28.6%. CONCLUSIONS Available data suggest that uptake and engagement vary widely among the handful of implemented digital self-help apps and programs that have reported this, and that usage may vary from that reported in trials…","author":[{"dropping-particle":"","family":"Fleming","given":"Theresa","non-dropping-particle":"","parse-names":false,"suffix":""},{"dropping-particle":"","family":"Bavin","given":"Lynda","non-dropping-particle":"","parse-names":false,"suffix":""},{"dropping-particle":"","family":"Lucassen","given":"Mathijs","non-dropping-particle":"","parse-names":false,"suffix":""},{"dropping-particle":"","family":"Stasiak","given":"Karolina","non-dropping-particle":"","parse-names":false,"suffix":""},{"dropping-particle":"","family":"Hopkins","given":"Sarah","non-dropping-particle":"","parse-names":false,"suffix":""},{"dropping-particle":"","family":"Merry","given":"Sally","non-dropping-particle":"","parse-names":false,"suffix":""}],"container-title":"Journal of medical Internet research","id":"ITEM-1","issue":"6","issued":{"date-parts":[["2018","6","6"]]},"page":"e199","publisher":"Journal of Medical Internet Research","title":"Beyond the Trial: Systematic Review of Real-World Uptake and Engagement With Digital Self-Help Interventions for Depression, Low Mood, or Anxiety.","type":"article-journal","volume":"20"},"uris":["http://www.mendeley.com/documents/?uuid=80033dad-e4aa-3cf0-86c2-90d4b3c29c42"]}],"mendeley":{"formattedCitation":"(Fleming &lt;i&gt;et al.&lt;/i&gt;, 2018)","plainTextFormattedCitation":"(Fleming et al., 2018)","previouslyFormattedCitation":"(Fleming &lt;i&gt;et al.&lt;/i&gt;, 2018)"},"properties":{"noteIndex":0},"schema":"https://github.com/citation-style-language/schema/raw/master/csl-citation.json"}</w:instrText>
      </w:r>
      <w:r w:rsidRPr="007E3F24">
        <w:fldChar w:fldCharType="separate"/>
      </w:r>
      <w:r w:rsidRPr="00D43C5A">
        <w:rPr>
          <w:noProof/>
        </w:rPr>
        <w:t xml:space="preserve">(Fleming </w:t>
      </w:r>
      <w:r w:rsidRPr="00D43C5A">
        <w:rPr>
          <w:i/>
          <w:noProof/>
        </w:rPr>
        <w:t>et al.</w:t>
      </w:r>
      <w:r w:rsidRPr="00D43C5A">
        <w:rPr>
          <w:noProof/>
        </w:rPr>
        <w:t>, 2018)</w:t>
      </w:r>
      <w:r w:rsidRPr="007E3F24">
        <w:fldChar w:fldCharType="end"/>
      </w:r>
      <w:r w:rsidRPr="007E3F24">
        <w:t xml:space="preserve">.  </w:t>
      </w:r>
      <w:r>
        <w:rPr>
          <w:shd w:val="clear" w:color="auto" w:fill="FFFFFF"/>
        </w:rPr>
        <w:t>This review has been limited to the treatment of common mental health problems with e-therapies and the role and potential of such technologies in supporting and treating patients with chronic and severe mental health problems is yet to be realised </w:t>
      </w:r>
      <w:r>
        <w:rPr>
          <w:shd w:val="clear" w:color="auto" w:fill="FFFFFF"/>
        </w:rPr>
        <w:fldChar w:fldCharType="begin" w:fldLock="1"/>
      </w:r>
      <w:r>
        <w:rPr>
          <w:shd w:val="clear" w:color="auto" w:fill="FFFFFF"/>
        </w:rPr>
        <w:instrText>ADDIN CSL_CITATION {"citationItems":[{"id":"ITEM-1","itemData":{"DOI":"10.1016/j.jad.2014.11.038","ISSN":"01650327","PMID":"25554993","abstract":"BACKGROUND The Internet is used to deliver information on many psychiatric disorders such as bipolar disorder. This paper reports on the results of a 12-months randomised controlled trial, which examined the efficacy of an Internet-based preventive program for bipolar disorder, adjunctive to usual pharmacological management. METHODS Participants were recruited by completing an online screening questionnaire accessed through the Black Dog Institute and Sentiens websites based in Australia. The treatment was predominantly psycho-educational with cognitive behavioral therapy optional elements. The attention control treatment comprised directing subjects to a variety of websites focused on 'healthy living'. Time to recurrence was determined using Kaplan-Meier survival analysis. The main outcome measures were recurrence as defined by: (i) depressive and/or hypomanic symptomatology and functional capacity (using Beck Depression Inventory, Internal State Scale and Sheehan Disability Scale) and (ii) hospitalization. RESULTS Two-hundred-and-thirty-three subjects were randomized to the active or control treatment groups. There were no significant differences between the active and control treatment groups on any of the definitions of recurrence. LIMITATIONS Reliance on an online self-report tool to confirm diagnosis and hospitalization rates may have potentially allowed for inclusion of individuals with other diagnoses such as borderline personality disorder. The 'attention control' treatment may have included more 'active' components than intended. CONCLUSIONS This is the first report examining the efficacy of a randomized controlled web-based psychological intervention in a large sample of subjects with bipolar disorder. The potential reasons for failing to demonstrate a significant difference compared to the active control are discussed.","author":[{"dropping-particle":"","family":"Barnes","given":"Caryl W.","non-dropping-particle":"","parse-names":false,"suffix":""},{"dropping-particle":"","family":"Hadzi-Pavlovic","given":"Dusan","non-dropping-particle":"","parse-names":false,"suffix":""},{"dropping-particle":"","family":"Wilhelm","given":"Kay","non-dropping-particle":"","parse-names":false,"suffix":""},{"dropping-particle":"","family":"Mitchell","given":"Philip B.","non-dropping-particle":"","parse-names":false,"suffix":""}],"container-title":"Journal of Affective Disorders","id":"ITEM-1","issued":{"date-parts":[["2015","3","15"]]},"page":"485-492","title":"A web-based preventive intervention program for bipolar disorder: Outcome of a 12-months randomized controlled trial","type":"article-journal","volume":"174"},"uris":["http://www.mendeley.com/documents/?uuid=5ee3c9df-6a0c-37cb-bf0d-478c328e3187"]}],"mendeley":{"formattedCitation":"(Barnes &lt;i&gt;et al.&lt;/i&gt;, 2015)","plainTextFormattedCitation":"(Barnes et al., 2015)","previouslyFormattedCitation":"(Barnes &lt;i&gt;et al.&lt;/i&gt;, 2015)"},"properties":{"noteIndex":0},"schema":"https://github.com/citation-style-language/schema/raw/master/csl-citation.json"}</w:instrText>
      </w:r>
      <w:r>
        <w:rPr>
          <w:shd w:val="clear" w:color="auto" w:fill="FFFFFF"/>
        </w:rPr>
        <w:fldChar w:fldCharType="separate"/>
      </w:r>
      <w:r w:rsidRPr="00AA7942">
        <w:rPr>
          <w:noProof/>
          <w:shd w:val="clear" w:color="auto" w:fill="FFFFFF"/>
        </w:rPr>
        <w:t xml:space="preserve">(Barnes </w:t>
      </w:r>
      <w:r w:rsidRPr="00AA7942">
        <w:rPr>
          <w:i/>
          <w:noProof/>
          <w:shd w:val="clear" w:color="auto" w:fill="FFFFFF"/>
        </w:rPr>
        <w:t>et al.</w:t>
      </w:r>
      <w:r w:rsidRPr="00AA7942">
        <w:rPr>
          <w:noProof/>
          <w:shd w:val="clear" w:color="auto" w:fill="FFFFFF"/>
        </w:rPr>
        <w:t>, 2015)</w:t>
      </w:r>
      <w:r>
        <w:rPr>
          <w:shd w:val="clear" w:color="auto" w:fill="FFFFFF"/>
        </w:rPr>
        <w:fldChar w:fldCharType="end"/>
      </w:r>
      <w:r>
        <w:rPr>
          <w:shd w:val="clear" w:color="auto" w:fill="FFFFFF"/>
        </w:rPr>
        <w:t>.  </w:t>
      </w:r>
      <w:r>
        <w:t xml:space="preserve">In </w:t>
      </w:r>
      <w:r>
        <w:lastRenderedPageBreak/>
        <w:t>keeping with the third stage of the hourglass model, i</w:t>
      </w:r>
      <w:r w:rsidRPr="007E3F24">
        <w:t xml:space="preserve">t would </w:t>
      </w:r>
      <w:r>
        <w:t xml:space="preserve">now make sense </w:t>
      </w:r>
      <w:r w:rsidRPr="007E3F24">
        <w:t xml:space="preserve">for the NHS to </w:t>
      </w:r>
      <w:r>
        <w:t>invest in large scale dissemination and data collection regarding the effectiveness of e-therapies in routine practice, and particularly emphasise their utility as wait-list management device.</w:t>
      </w:r>
    </w:p>
    <w:p w14:paraId="47F7AC39" w14:textId="77777777" w:rsidR="009159C6" w:rsidRDefault="009159C6">
      <w:pPr>
        <w:spacing w:line="259" w:lineRule="auto"/>
        <w:rPr>
          <w:rFonts w:asciiTheme="majorHAnsi" w:eastAsiaTheme="majorEastAsia" w:hAnsiTheme="majorHAnsi" w:cstheme="majorBidi"/>
          <w:b/>
          <w:bCs/>
          <w:smallCaps/>
          <w:color w:val="000000" w:themeColor="text1"/>
          <w:sz w:val="36"/>
          <w:szCs w:val="36"/>
        </w:rPr>
      </w:pPr>
      <w:bookmarkStart w:id="304" w:name="_Toc530598169"/>
      <w:bookmarkStart w:id="305" w:name="_Toc530660522"/>
      <w:r>
        <w:br w:type="page"/>
      </w:r>
    </w:p>
    <w:p w14:paraId="36A691FD" w14:textId="09FCF2B4" w:rsidR="00366B7A" w:rsidRDefault="00366B7A" w:rsidP="00366B7A">
      <w:pPr>
        <w:pStyle w:val="Heading1"/>
      </w:pPr>
      <w:bookmarkStart w:id="306" w:name="_Toc3538123"/>
      <w:r w:rsidRPr="008215A8">
        <w:lastRenderedPageBreak/>
        <w:t>Usability, Feasibility, and Acceptability of MYLO</w:t>
      </w:r>
      <w:bookmarkEnd w:id="304"/>
      <w:bookmarkEnd w:id="305"/>
      <w:bookmarkEnd w:id="306"/>
      <w:r w:rsidRPr="00366B7A">
        <w:t xml:space="preserve"> </w:t>
      </w:r>
    </w:p>
    <w:p w14:paraId="51844955" w14:textId="77777777" w:rsidR="00111E4D" w:rsidRDefault="00111E4D" w:rsidP="00111E4D">
      <w:pPr>
        <w:pStyle w:val="Heading2"/>
      </w:pPr>
      <w:bookmarkStart w:id="307" w:name="_Toc530598170"/>
      <w:bookmarkStart w:id="308" w:name="_Toc530660523"/>
      <w:bookmarkStart w:id="309" w:name="_Toc3538124"/>
      <w:r>
        <w:t>Introduction</w:t>
      </w:r>
      <w:bookmarkEnd w:id="307"/>
      <w:bookmarkEnd w:id="308"/>
      <w:bookmarkEnd w:id="309"/>
    </w:p>
    <w:p w14:paraId="5AFE2562" w14:textId="5655B49B" w:rsidR="00111E4D" w:rsidRDefault="00111E4D" w:rsidP="00111E4D">
      <w:r>
        <w:t xml:space="preserve">With access to digital technology and use of the internet rapidly growing, a number of psychological interventions have been developed harnessing the internet </w:t>
      </w:r>
      <w:r>
        <w:fldChar w:fldCharType="begin" w:fldLock="1"/>
      </w:r>
      <w:r>
        <w:instrText>ADDIN CSL_CITATION {"citationItems":[{"id":"ITEM-1","itemData":{"DOI":"10.1186/1471-244X-14-147","ISSN":"1471-244X","PMID":"24886179","abstract":"BACKGROUND: Depression is a high prevalence disorder, displaying high rates of lifetime incidence, early age onset, high chronicity, and role impairment. In Ireland 12-month prevalence of depression has been reported to be 10.3%. A large percentage of affected individuals have no medical diagnosis nor seek treatment. Cognitive Behavior Therapy (CBT) has established itself as an option for the treatment of depression. Many Irish adults with depression find it difficult to access evidence-based CBT, this is due to several factors, like stigma and costs. However, systematic factors including the shortage of trained professionals and the relative underdevelopment of services also make access difficult.Stepped-care can increase access to evidence-based CBT. One option is tailored internet-delivered treatment programs. Preliminary research from Ireland needs now to include large-scale studies on effectiveness. Thus the current study seeks to examine the potential of an internet-delivered low-intensity treatment for symptoms of depression in an Irish adult community sample. METHOD/DESIGN: The study is a randomized controlled trial of an online CBT (iCBT) program for the treatment of adults with depressive symptoms. The trial will include an active treatment group and a waiting-list control group. The active condition will consist of 8 weekly modules of iCBT, with post-session feedback support. Participants in the waiting list will receive access to the treatment at week 8. Participants will complete the Beck Depression Inventory (BDI-II) and eligibility criteria will also apply. Primary outcomes are depressive symptoms. Secondary outcomes include quality of life indicators, significant events and satisfaction with online treatment. Data will be collected at baseline and at post-treatment, week 8, and at follow-up week 20 (3-months) and week 32 (6-months). Analysis will be conducted on the intention-to-treat basis. DISCUSSION: The study seeks to evaluate the effectiveness of an online delivered treatment for depression in a community sample of Irish adults with symptoms of depression. The study will be a first contribution and depending on the sample recruited the results may be generalizable to people with similar difficulties in Ireland and may therefore give insight into the potential of low-intensity interventions for Irish people with depressive symptoms. TRIAL REGISTRATION NUMBER: Current Controlled Trials ISRCTN03704676. DOI: 10.1186/ISRCTN03704676.","author":[{"dropping-particle":"","family":"Richards","given":"Derek","non-dropping-particle":"","parse-names":false,"suffix":""},{"dropping-particle":"","family":"Timulak","given":"Ladislav","non-dropping-particle":"","parse-names":false,"suffix":""},{"dropping-particle":"","family":"Doherty","given":"Gavin","non-dropping-particle":"","parse-names":false,"suffix":""},{"dropping-particle":"","family":"Sharry","given":"John","non-dropping-particle":"","parse-names":false,"suffix":""},{"dropping-particle":"","family":"Colla","given":"Amy","non-dropping-particle":"","parse-names":false,"suffix":""},{"dropping-particle":"","family":"Joyce","given":"Ciara","non-dropping-particle":"","parse-names":false,"suffix":""},{"dropping-particle":"","family":"Hayes","given":"Claire","non-dropping-particle":"","parse-names":false,"suffix":""}],"container-title":"BMC psychiatry","id":"ITEM-1","issued":{"date-parts":[["2014","1"]]},"page":"147","title":"Internet-delivered treatment: its potential as a low-intensity community intervention for adults with symptoms of depression: protocol for a randomized controlled trial.","type":"article-journal","volume":"14"},"uris":["http://www.mendeley.com/documents/?uuid=4656b265-ec67-4359-b5b9-1a4b6f818233"]},{"id":"ITEM-2","itemData":{"DOI":"10.1016/S0140-6736(09)61257-5","ISSN":"1474-547X","PMID":"19700005","abstract":"BACKGROUND: Despite strong evidence for its effectiveness, cognitive-behavioural therapy (CBT) remains difficult to access. Computerised programs have been developed to improve accessibility, but whether these interventions are responsive to individual needs is unknown. We investigated the effectiveness of CBT delivered online in real time by a therapist for patients with depression in primary care. METHODS: In this multicentre, randomised controlled trial, 297 individuals with a score of 14 or more on the Beck depression inventory (BDI) and a confirmed diagnosis of depression were recruited from 55 general practices in Bristol, London, and Warwickshire, UK. Participants were randomly assigned, by a computer-generated code, to online CBT in addition to usual care (intervention; n=149) or to usual care from their general practitioner while on an 8-month waiting list for online CBT (control; n=148). Participants, researchers involved in recruitment, and therapists were masked in advance to allocation. The primary outcome was recovery from depression (BDI score &lt;10) at 4 months. Analysis was by intention to treat. This trial is registered, number ISRCTN 45444578. FINDINGS: 113 participants in the intervention group and 97 in the control group completed 4-month follow-up. 43 (38%) patients recovered from depression (BDI score &lt;10) in the intervention group versus 23 (24%) in the control group at 4 months (odds ratio 2.39, 95% CI 1.23-4.67; p=0.011), and 46 (42%) versus 26 (26%) at 8 months (2.07, 1.11-3.87; p=0.023). INTERPRETATION: CBT seems to be effective when delivered online in real time by a therapist, with benefits maintained over 8 months. This method of delivery could broaden access to CBT. FUNDING: BUPA Foundation.","author":[{"dropping-particle":"","family":"Kessler","given":"David","non-dropping-particle":"","parse-names":false,"suffix":""},{"dropping-particle":"","family":"Lewis","given":"Glyn","non-dropping-particle":"","parse-names":false,"suffix":""},{"dropping-particle":"","family":"Kaur","given":"Surinder","non-dropping-particle":"","parse-names":false,"suffix":""},{"dropping-particle":"","family":"Wiles","given":"Nicola","non-dropping-particle":"","parse-names":false,"suffix":""},{"dropping-particle":"","family":"King","given":"Michael","non-dropping-particle":"","parse-names":false,"suffix":""},{"dropping-particle":"","family":"Weich","given":"Scott","non-dropping-particle":"","parse-names":false,"suffix":""},{"dropping-particle":"","family":"Sharp","given":"Debbie J","non-dropping-particle":"","parse-names":false,"suffix":""},{"dropping-particle":"","family":"Araya","given":"Ricardo","non-dropping-particle":"","parse-names":false,"suffix":""},{"dropping-particle":"","family":"Hollinghurst","given":"Sandra","non-dropping-particle":"","parse-names":false,"suffix":""},{"dropping-particle":"","family":"Peters","given":"Tim J","non-dropping-particle":"","parse-names":false,"suffix":""}],"container-title":"Lancet","id":"ITEM-2","issue":"9690","issued":{"date-parts":[["2009","8","22"]]},"page":"628-34","publisher":"Elsevier Ltd","title":"Therapist-delivered Internet psychotherapy for depression in primary care: a randomised controlled trial.","type":"article-journal","volume":"374"},"uris":["http://www.mendeley.com/documents/?uuid=f23b1723-1727-4adc-bf14-d834ab05b76b"]}],"mendeley":{"formattedCitation":"(Kessler &lt;i&gt;et al.&lt;/i&gt;, 2009; Richards &lt;i&gt;et al.&lt;/i&gt;, 2014)","plainTextFormattedCitation":"(Kessler et al., 2009; Richards et al., 2014)","previouslyFormattedCitation":"(Kessler &lt;i&gt;et al.&lt;/i&gt;, 2009; Richards &lt;i&gt;et al.&lt;/i&gt;, 2014)"},"properties":{"noteIndex":0},"schema":"https://github.com/citation-style-language/schema/raw/master/csl-citation.json"}</w:instrText>
      </w:r>
      <w:r>
        <w:fldChar w:fldCharType="separate"/>
      </w:r>
      <w:r w:rsidRPr="009C4413">
        <w:rPr>
          <w:noProof/>
        </w:rPr>
        <w:t xml:space="preserve">(Kessler </w:t>
      </w:r>
      <w:r w:rsidRPr="009C4413">
        <w:rPr>
          <w:i/>
          <w:noProof/>
        </w:rPr>
        <w:t>et al.</w:t>
      </w:r>
      <w:r w:rsidRPr="009C4413">
        <w:rPr>
          <w:noProof/>
        </w:rPr>
        <w:t xml:space="preserve">, 2009; Richards </w:t>
      </w:r>
      <w:r w:rsidRPr="009C4413">
        <w:rPr>
          <w:i/>
          <w:noProof/>
        </w:rPr>
        <w:t>et al.</w:t>
      </w:r>
      <w:r w:rsidRPr="009C4413">
        <w:rPr>
          <w:noProof/>
        </w:rPr>
        <w:t>, 2014)</w:t>
      </w:r>
      <w:r>
        <w:fldChar w:fldCharType="end"/>
      </w:r>
      <w:r>
        <w:t xml:space="preserve"> and there is a growing evidence indicating that e-therapy can be effe</w:t>
      </w:r>
      <w:r w:rsidRPr="00853C23">
        <w:t xml:space="preserve">ctive </w:t>
      </w:r>
      <w:r>
        <w:t xml:space="preserve">as an </w:t>
      </w:r>
      <w:r w:rsidRPr="003C1EC7">
        <w:rPr>
          <w:noProof/>
        </w:rPr>
        <w:t xml:space="preserve">alternative to face-to-face </w:t>
      </w:r>
      <w:r w:rsidRPr="008D698A">
        <w:rPr>
          <w:noProof/>
        </w:rPr>
        <w:t>therapy for mild or moderate anxiety and depression</w:t>
      </w:r>
      <w:r w:rsidRPr="003C1EC7">
        <w:rPr>
          <w:noProof/>
        </w:rPr>
        <w:t xml:space="preserve"> </w:t>
      </w:r>
      <w:r>
        <w:rPr>
          <w:noProof/>
        </w:rPr>
        <w:fldChar w:fldCharType="begin" w:fldLock="1"/>
      </w:r>
      <w:r w:rsidRPr="003C1EC7">
        <w:rPr>
          <w:noProof/>
        </w:rPr>
        <w:instrText>ADDIN CSL_CITATION {"citationItems":[{"id":"ITEM-1","itemData":{"DOI":"10.1016/j.neubiorev.2004.03.008","ISBN":"0149-7634","ISSN":"01497634","PMID":"15225977","abstract":"The rise of consumerism, escalating levels of technological change and increasing demand for better dissemination of psychological treatments signal a transformation in the treatment of mental health problems. Soon health care consumers will have a choice as to whether they wish to consult a clinician in his/her rooms in order to receive a diagnosis, treatment and support, or instead to receive these services electronically, or a combination of both. Some of the online services currently available include structured therapy programs, psychological treatment by email, real-time online counselling, professionally assisted chat rooms, self-help groups, health information and educational modules. This paper reviews the use of computer programs in mental health care and, in particular, for the treatment of anxiety and depression. Issues of feasibility, ethics, and effectiveness are discussed and the future of computer-based treatment programs in mental health is considered. © 2004 Elsevier Ltd. All rights reserved.","author":[{"dropping-particle":"","family":"Proudfoot","given":"Judith G.","non-dropping-particle":"","parse-names":false,"suffix":""}],"container-title":"Neuroscience and Biobehavioral Reviews","id":"ITEM-1","issue":"3","issued":{"date-parts":[["2004"]]},"page":"353-363","title":"Computer-based treatment for anxiety and depression: Is it feasible? Is it effective?","type":"article-journal","volume":"28"},"uris":["http://www.mendeley.com/documents/?uuid=e7e7fcdd-6c76-4b4f-8839-627a5883c452"]}],"mendeley":{"formattedCitation":"(Proudfoot, 2004)","manualFormatting":"(Proudfoot, 2004)","plainTextFormattedCitation":"(Proudfoot, 2004)","previouslyFormattedCitation":"(Proudfoot, 2004)"},"properties":{"noteIndex":0},"schema":"https://github.com/citation-style-language/schema/raw/master/csl-citation.json"}</w:instrText>
      </w:r>
      <w:r>
        <w:rPr>
          <w:noProof/>
        </w:rPr>
        <w:fldChar w:fldCharType="separate"/>
      </w:r>
      <w:r w:rsidRPr="003C1EC7">
        <w:rPr>
          <w:noProof/>
        </w:rPr>
        <w:t>(Proudfoot, 2004</w:t>
      </w:r>
      <w:r w:rsidRPr="00B91634">
        <w:rPr>
          <w:noProof/>
        </w:rPr>
        <w:t>)</w:t>
      </w:r>
      <w:r>
        <w:fldChar w:fldCharType="end"/>
      </w:r>
      <w:r w:rsidRPr="00853C23">
        <w:t xml:space="preserve">.  </w:t>
      </w:r>
      <w:r>
        <w:t xml:space="preserve">There have been a small number of RCTs that have focused on older adults and their results support the potential use of e-therapy as an efficient and cost-effective intervention for older adults with symptoms of depression and anxiety </w:t>
      </w:r>
      <w:r>
        <w:fldChar w:fldCharType="begin" w:fldLock="1"/>
      </w:r>
      <w:r w:rsidR="00277777">
        <w:instrText>ADDIN CSL_CITATION {"citationItems":[{"id":"ITEM-1","itemData":{"DOI":"10.1016/j.beth.2014.09.007","ISBN":"0005-7894","ISSN":"18781888","PMID":"25645169","abstract":"There is preliminary support for internet-delivered cognitive behaviour therapy (iCBT) as a way of improving access to treatment among older adults with anxiety. The aim of this randomized controlled trial (RCT) was to examine the efficacy, long-term outcomes, and cost-effectiveness of an iCBT program for adults over 60. years of age with anxiety. Successful applicants were randomly allocated to either the treatment group (n= 35) or the waitlist control group (n= 37). The online treatment course was delivered over 8. weeks and provided with brief weekly contact with a clinical psychologist via telephone or secure email. Eighty-four percent of participants completed the iCBT course within the 8. weeks and 90% provided data at posttreatment. Significantly lower scores on measures of anxiety (Cohen's d=. 1.43; 95% CI: 0.89 - 1.93) and depression (Cohen's d=. 1.79; 95% CI: 1.21 - 2.32) were found among the treatment group compared to the control group at posttreatment. These lower scores were maintained at 3-month and 12-month follow-up and the treatment group rated the iCBT treatment as acceptable. The treatment group had slightly higher costs ($92.2; 95% CI: $38.7 to $149.2) and Quality-Adjusted Life-Years (QALYs. =. 0.010; 95% CI: 0.003 to 0.018) than the control group at posttreatment and the intervention was found to have a greater than 95% probability of being cost-effective. The results support iCBT as an efficacious and cost-effective treatment option for older adults with symptoms of anxiety.","author":[{"dropping-particle":"","family":"Dear","given":"Blake F.","non-dropping-particle":"","parse-names":false,"suffix":""},{"dropping-particle":"","family":"Zou","given":"Judy B.","non-dropping-particle":"","parse-names":false,"suffix":""},{"dropping-particle":"","family":"Ali","given":"Shehzad","non-dropping-particle":"","parse-names":false,"suffix":""},{"dropping-particle":"","family":"Lorian","given":"Carolyn N.","non-dropping-particle":"","parse-names":false,"suffix":""},{"dropping-particle":"","family":"Johnston","given":"Luke","non-dropping-particle":"","parse-names":false,"suffix":""},{"dropping-particle":"","family":"Sheehan","given":"Joanne","non-dropping-particle":"","parse-names":false,"suffix":""},{"dropping-particle":"","family":"Staples","given":"Lauren G.","non-dropping-particle":"","parse-names":false,"suffix":""},{"dropping-particle":"","family":"Gandy","given":"Milena","non-dropping-particle":"","parse-names":false,"suffix":""},{"dropping-particle":"","family":"Fogliati","given":"Vincent J.","non-dropping-particle":"","parse-names":false,"suffix":""},{"dropping-particle":"","family":"Klein","given":"Britt","non-dropping-particle":"","parse-names":false,"suffix":""},{"dropping-particle":"","family":"Titov","given":"Nickolai","non-dropping-particle":"","parse-names":false,"suffix":""}],"container-title":"Behavior Therapy","id":"ITEM-1","issue":"2","issued":{"date-parts":[["2015"]]},"page":"206-217","publisher":"Elsevier B.V.","title":"Clinical and Cost-Effectiveness of Therapist-Guided Internet-Delivered Cognitive Behavior Therapy for Older Adults With Symptoms of Anxiety: A Randomized Controlled Trial","type":"article-journal","volume":"46"},"uris":["http://www.mendeley.com/documents/?uuid=c821cd16-7046-4134-9f64-be9bd1c44408"]},{"id":"ITEM-2","itemData":{"DOI":"10.1016/j.beth.2014.09.008","ISBN":"0005-7894","ISSN":"18781888","PMID":"25645168","abstract":"Depression is a common and significant health problem among older adults. Unfortunately, while effective psychological treatments exist, few older adults access treatment. The aim of the present randomized controlled trial (RCT) was to examine the efficacy, long-term outcomes, and cost-effectiveness of a therapist-guided internet-delivered cognitive behavior therapy (iCBT) intervention for Australian adults over 60. years of age with symptoms of depression. Participants were randomly allocated to either a treatment group (n= 29) or a delayed-treatment waitlist control group (n=. 25). Twenty-seven treatment group participants started the iCBT treatment and 70% completed the treatment within the 8-week course, with 85% of participants providing data at posttreatment. Treatment comprised an online 5-lesson iCBT course with brief weekly contact with a clinical psychologist, delivered over 8. weeks. The primary outcome measure was the Patient Health Questionnaire-9 Item (PHQ-9), a measure of symptoms and severity of depression. Significantly lower scores on the PHQ-9 (Cohen's d=. 2.08; 95% CI: 1.38 - 2.72) and on a measure of anxiety (Generalized Anxiety Disorder-7 Item) (Cohen's d=. 1.22; 95% CI: 0.61 - 1.79) were observed in the treatment group compared to the control group at posttreatment. The treatment group maintained these lower scores at the 3-month and 12-month follow-up time points and the iCBT treatment was rated as acceptable by participants. The treatment group had slightly higher Quality-Adjusted Life-Years (QALYs) than the control group at posttreatment (estimate: 0.012; 95% CI: 0.004 to 0.020) and, while being a higher cost (estimate $52.9. l 95% CI: -. 23.8 to 128.2), the intervention was cost-effective according to commonly used willingness-to-pay thresholds in Australia. The results support the potential efficacy and cost-effectiveness of therapist-guided iCBT as a treatment for older adults with symptoms of depression.","author":[{"dropping-particle":"","family":"Titov","given":"Nickolai","non-dropping-particle":"","parse-names":false,"suffix":""},{"dropping-particle":"","family":"Dear","given":"Blake F.","non-dropping-particle":"","parse-names":false,"suffix":""},{"dropping-particle":"","family":"Ali","given":"Shehzad","non-dropping-particle":"","parse-names":false,"suffix":""},{"dropping-particle":"","family":"Zou","given":"Judy B.","non-dropping-particle":"","parse-names":false,"suffix":""},{"dropping-particle":"","family":"Lorian","given":"Carolyn N.","non-dropping-particle":"","parse-names":false,"suffix":""},{"dropping-particle":"","family":"Johnston","given":"Luke","non-dropping-particle":"","parse-names":false,"suffix":""},{"dropping-particle":"","family":"Terides","given":"Matthew D.","non-dropping-particle":"","parse-names":false,"suffix":""},{"dropping-particle":"","family":"Kayrouz","given":"Rony","non-dropping-particle":"","parse-names":false,"suffix":""},{"dropping-particle":"","family":"Klein","given":"Britt","non-dropping-particle":"","parse-names":false,"suffix":""},{"dropping-particle":"","family":"Gandy","given":"Milena","non-dropping-particle":"","parse-names":false,"suffix":""},{"dropping-particle":"","family":"Fogliati","given":"Vincent J.","non-dropping-particle":"","parse-names":false,"suffix":""}],"container-title":"Behavior Therapy","id":"ITEM-2","issue":"2","issued":{"date-parts":[["2015"]]},"note":"The present study was designed to examine the\nefficacy, longer-term outcomes, and cost-effectiveness of a new iCBT intervention, the Managing Your Mood Course","page":"193-205","publisher":"Elsevier B.V.","title":"Clinical and Cost-Effectiveness of Therapist-Guided Internet-Delivered Cognitive Behavior Therapy for Older Adults With Symptoms of Depression: A Randomized Controlled Trial","type":"article-journal","volume":"46"},"uris":["http://www.mendeley.com/documents/?uuid=8f40ff72-3e15-4993-9547-eb426e4a2a82"]},{"id":"ITEM-3","itemData":{"DOI":"10.1017/S0033291707000542","ISBN":"1469-8978","ISSN":"00332917","PMID":"17466110","abstract":"BACKGROUND: Subthreshold depression is a highly prevalent condition and a risk factor for developing a major depressive episode. Internet-based cognitive behaviour therapy may be a promising approach for the treatment of subthreshold depression. The current study had two aims: (1) to determine whether an internet-based cognitive behaviour therapy intervention and a group cognitive behaviour therapy intervention are more effective than a waiting-list control group; and (2) to determine whether the effect of the internet-based cognitive behaviour therapy differs from the group cognitive behaviour therapy intervention. METHOD: A total of 191 women and 110 men with subthreshold depression were randomized into internet-based treatment, group cognitive behaviour therapy (Lewinsohn's Coping With Depression course), or a waiting-list control condition. The main outcome measure was treatment response after 10 weeks, defined as the difference in pre- and post-treatment scores on the Beck Depression Inventory (BDI). Missing data, a major limitation of this study, were imputed using the Multiple Imputation (MI) procedure Data Augmentation. RESULTS: In the waiting-list control group, we found a pre- to post-improvement effect size of 0.45, which was 0.65 in the group cognitive behaviour therapy condition and 1.00 within the internet-based treatment condition. Helmert contrasts showed a significant difference between the waiting-list condition and the two treatment conditions (p=0.04) and no significant difference between both treatment conditions (p=0.62). CONCLUSIONS: An internet-based intervention may be at least as effective as a commonly used group cognitive behaviour therapy intervention for subthreshold depression in people over 50 years of age.","author":[{"dropping-particle":"","family":"Spek","given":"Viola","non-dropping-particle":"","parse-names":false,"suffix":""},{"dropping-particle":"","family":"Nyklíček","given":"Ivan","non-dropping-particle":"","parse-names":false,"suffix":""},{"dropping-particle":"","family":"Smits","given":"Niels","non-dropping-particle":"","parse-names":false,"suffix":""},{"dropping-particle":"","family":"Cuijpers","given":"Pim","non-dropping-particle":"","parse-names":false,"suffix":""},{"dropping-particle":"","family":"Riper","given":"Heleen","non-dropping-particle":"","parse-names":false,"suffix":""},{"dropping-particle":"","family":"Keyzer","given":"Jules","non-dropping-particle":"","parse-names":false,"suffix":""},{"dropping-particle":"","family":"Pop","given":"Victor","non-dropping-particle":"","parse-names":false,"suffix":""}],"container-title":"Psychological Medicine","id":"ITEM-3","issue":"12","issued":{"date-parts":[["2007","12"]]},"note":"First, we wanted to determine whether internet-based cognitive behaviour therapy and group cognitive behaviour therapy were more effective than a waiting-list condition. Second, we tested whether the two inter- ventions differed regarding their effectivenes","page":"1797-1806","title":"Internet-based cognitive behavioural therapy for subthreshold depression in people over 50 years old: A randomized controlled clinical trial","type":"article-journal","volume":"37"},"uris":["http://www.mendeley.com/documents/?uuid=e03629d4-ea3a-4776-bf45-aa95bc3dd3dc"]},{"id":"ITEM-4","itemData":{"DOI":"10.1017/S0033291707002590","ISBN":"0033-2917","ISSN":"0033-2917","PMID":"18205965","abstract":"BACKGROUND: Internet-based cognitive behaviour therapy (CBT) is a promising new approach for the treatment of depressive symptoms. The current study had two aims: (1) to determine whether, after 1 year, an internet-based CBT intervention was more effective than a waiting-list control group; and (2) to determine whether the effect of the internet-based CBT differed from the group CBT intervention, 1 year after the start of treatment.\\n\\nMETHOD: A total of 191 women and 110 men (mean age=55 years, s.d.=4.6) with subthreshold depression were randomized into internet-based treatment, group CBT (Lewinsohn's Coping with Depression Course), or a waiting-list control condition. The main outcome measure was treatment response after 1 year, defined as the difference in pretreatment and follow-up scores on the Beck Depression Inventory (BDI). Missing data were imputed using the multiple imputation procedure of data augmentation. Analyses were performed using multiple imputation inference.\\n\\nRESULTS: In the waiting-list control group, we found a pretreatment to follow-up improvement effect size of 0.69, which was 0.62 in the group CBT condition and 1.22 with the internet-based treatment condition. Simple contrasts showed a significant difference between the waiting-list condition and internet-based treatment (p=0.03) and no difference between both treatment conditions (p=0.08).\\n\\nCONCLUSIONS: People aged over 50 years with subthreshold depression can still benefit from internet-based CBT 1 year after the start of treatment.","author":[{"dropping-particle":"","family":"Spek","given":"V.","non-dropping-particle":"","parse-names":false,"suffix":""},{"dropping-particle":"","family":"Cuijpers","given":"P.","non-dropping-particle":"","parse-names":false,"suffix":""},{"dropping-particle":"","family":"Nyklíček","given":"I.","non-dropping-particle":"","parse-names":false,"suffix":""},{"dropping-particle":"","family":"Smits","given":"N.","non-dropping-particle":"","parse-names":false,"suffix":""},{"dropping-particle":"","family":"Riper","given":"H.","non-dropping-particle":"","parse-names":false,"suffix":""},{"dropping-particle":"","family":"Keyzer","given":"J.","non-dropping-particle":"","parse-names":false,"suffix":""},{"dropping-particle":"","family":"Pop","given":"V.","non-dropping-particle":"","parse-names":false,"suffix":""}],"container-title":"Psychological Medicine","id":"ITEM-4","issue":"05","issued":{"date-parts":[["2008"]]},"note":"The current study evaluated the 1-year follow-up\neffects of internet-based CBT for subthreshold de- pression in people aged over 50 years. We compared the effect of internet-based therapy with a waiting-list condition and with group CBT.","page":"635-639","title":"One-year follow-up results of a randomized controlled clinical trial on internet-based cognitive behavioural therapy for subthreshold depression in people over 50 years","type":"article-journal","volume":"38"},"uris":["http://www.mendeley.com/documents/?uuid=de224a8e-ed48-4112-8600-e634a71cccd2"]}],"mendeley":{"formattedCitation":"(Spek, Nyklíček, &lt;i&gt;et al.&lt;/i&gt;, 2007a; V. Spek &lt;i&gt;et al.&lt;/i&gt;, 2008; Dear &lt;i&gt;et al.&lt;/i&gt;, 2015; Titov &lt;i&gt;et al.&lt;/i&gt;, 2015)","manualFormatting":"(Spek, Nyklíček, et al., 2007a;  Spek et al., 2008; Dear et al., 2015; Titov et al., 2015)","plainTextFormattedCitation":"(Spek, Nyklíček, et al., 2007a; V. Spek et al., 2008; Dear et al., 2015; Titov et al., 2015)","previouslyFormattedCitation":"(Spek, Nyklíček, &lt;i&gt;et al.&lt;/i&gt;, 2007a; V. Spek &lt;i&gt;et al.&lt;/i&gt;, 2008; Dear &lt;i&gt;et al.&lt;/i&gt;, 2015; Titov &lt;i&gt;et al.&lt;/i&gt;, 2015)"},"properties":{"noteIndex":0},"schema":"https://github.com/citation-style-language/schema/raw/master/csl-citation.json"}</w:instrText>
      </w:r>
      <w:r>
        <w:fldChar w:fldCharType="separate"/>
      </w:r>
      <w:r w:rsidR="000B6CC8" w:rsidRPr="000B6CC8">
        <w:rPr>
          <w:noProof/>
        </w:rPr>
        <w:t xml:space="preserve">(Spek, Nyklíček, </w:t>
      </w:r>
      <w:r w:rsidR="000B6CC8" w:rsidRPr="000B6CC8">
        <w:rPr>
          <w:i/>
          <w:noProof/>
        </w:rPr>
        <w:t>et al.</w:t>
      </w:r>
      <w:r w:rsidR="000B6CC8" w:rsidRPr="000B6CC8">
        <w:rPr>
          <w:noProof/>
        </w:rPr>
        <w:t xml:space="preserve">, 2007a;  Spek </w:t>
      </w:r>
      <w:r w:rsidR="000B6CC8" w:rsidRPr="000B6CC8">
        <w:rPr>
          <w:i/>
          <w:noProof/>
        </w:rPr>
        <w:t>et al.</w:t>
      </w:r>
      <w:r w:rsidR="000B6CC8" w:rsidRPr="000B6CC8">
        <w:rPr>
          <w:noProof/>
        </w:rPr>
        <w:t xml:space="preserve">, 2008; Dear </w:t>
      </w:r>
      <w:r w:rsidR="000B6CC8" w:rsidRPr="000B6CC8">
        <w:rPr>
          <w:i/>
          <w:noProof/>
        </w:rPr>
        <w:t>et al.</w:t>
      </w:r>
      <w:r w:rsidR="000B6CC8" w:rsidRPr="000B6CC8">
        <w:rPr>
          <w:noProof/>
        </w:rPr>
        <w:t xml:space="preserve">, 2015; Titov </w:t>
      </w:r>
      <w:r w:rsidR="000B6CC8" w:rsidRPr="000B6CC8">
        <w:rPr>
          <w:i/>
          <w:noProof/>
        </w:rPr>
        <w:t>et al.</w:t>
      </w:r>
      <w:r w:rsidR="000B6CC8" w:rsidRPr="000B6CC8">
        <w:rPr>
          <w:noProof/>
        </w:rPr>
        <w:t>, 2015)</w:t>
      </w:r>
      <w:r>
        <w:fldChar w:fldCharType="end"/>
      </w:r>
      <w:r>
        <w:t xml:space="preserve">.  Feasibility and pilot studies, while not concrete proof of efficacy, do indicate that older adults may find the use of e-therapies a satisfying experience </w:t>
      </w:r>
      <w:r>
        <w:fldChar w:fldCharType="begin" w:fldLock="1"/>
      </w:r>
      <w:r>
        <w:instrText>ADDIN CSL_CITATION {"citationItems":[{"id":"ITEM-1","itemData":{"DOI":"10.1089/cpb.2008.0325","ISBN":"1557-8364 (Electronic)\\r1094-9313 (Linking)","ISSN":"1094-9313","PMID":"19445633","abstract":"The Butler Project is a technological e-health platform that uses the Internet to connect various users; it was designed to deliver health care to the elderly. The Butler platform has three levels of implementation: diagnosis (mood monitoring, alert system, management reports), therapy (training in inducing positive moods, memory work), and entertainment (e-mail, chat, video, photo albums, music, friend forums, accessibility to the Internet). The objective of this work is to describe the psychological aspects of the platform and to present data obtained from four users. Results show that after using the system, the participants increased their positive emotions and decreased their negative ones; in addition, they obtained high levels of satisfaction and experienced little difficulty in using the system.","author":[{"dropping-particle":"","family":"Botella","given":"Cristina","non-dropping-particle":"","parse-names":false,"suffix":""},{"dropping-particle":"","family":"Etchemendy","given":"Ernestina","non-dropping-particle":"","parse-names":false,"suffix":""},{"dropping-particle":"","family":"Castilla","given":"Diana","non-dropping-particle":"","parse-names":false,"suffix":""},{"dropping-particle":"","family":"Baños","given":"Rosa María","non-dropping-particle":"","parse-names":false,"suffix":""},{"dropping-particle":"","family":"García-Palacios","given":"Azucena","non-dropping-particle":"","parse-names":false,"suffix":""},{"dropping-particle":"","family":"Quero","given":"Soledad","non-dropping-particle":"","parse-names":false,"suffix":""},{"dropping-particle":"","family":"Alcañiz","given":"Mariano","non-dropping-particle":"","parse-names":false,"suffix":""},{"dropping-particle":"","family":"Lozano","given":"José Antonio","non-dropping-particle":"","parse-names":false,"suffix":""}],"container-title":"Cyberpsychology &amp; behavior : the impact of the Internet, multimedia and virtual reality on behavior and society","id":"ITEM-1","issue":"3","issued":{"date-parts":[["2009"]]},"page":"255-262","title":"An e-health system for the elderly (Butler Project): a pilot study on acceptance and satisfaction","type":"article-journal","volume":"12"},"uris":["http://www.mendeley.com/documents/?uuid=57b77150-b996-4c6b-8874-50b7443dc225"]},{"id":"ITEM-2","itemData":{"DOI":"10.1177/0004867412466154","ISBN":"0004-8674 1440-1614","ISSN":"0004-8674","PMID":"23152358","abstract":"BACKGROUND: Depression is an important health issue amongst older adults. Internet-delivered cognitive behaviour therapy (iCBT) may help to reduce barriers and improve access to treatment, but few studies have examined its use with older adults. The present study evaluated the efficacy, acceptability and feasibility of a brief iCBT program, the Managing Your Mood Program, to treat depression amongst adults aged 60 years and older. METHOD: Using an open trial design, 20 participants with elevated symptoms of depression (Patient Health Questionnaire 9-item (PHQ-9) total scores &gt; 10) received access to five educational lessons and homework summaries, additional resources, a moderated discussion forum and weekly telephone or email contact from a clinical psychologist. Eighty percent of the sample met diagnostic criteria for a major depressive episode at pre-treatment. RESULTS: Completion rates and response rates were high, with 16/20 participants completing the five lessons within the 8 weeks, and post-treatment and 3-month follow-up data being collected from 17/20 participants. Participants improved significantly on the PHQ-9 and Geriatric Depression Scale (GDS), with large within-group effect sizes (Cohen's d) at follow-up of 1.41 and 2.04, respectively. The clinician spent a mean time of 73.75 minutes (SD = 36.10 minutes) contacting participants within the trial and the program was rated as highly acceptable by participants. CONCLUSIONS: The results are encouraging and support the potential value of iCBT in the treatment of depressive symptoms amongst older adults.","author":[{"dropping-particle":"","family":"Dear","given":"Blake F","non-dropping-particle":"","parse-names":false,"suffix":""},{"dropping-particle":"","family":"Zou","given":"Judy","non-dropping-particle":"","parse-names":false,"suffix":""},{"dropping-particle":"","family":"Titov","given":"Nickolai","non-dropping-particle":"","parse-names":false,"suffix":""},{"dropping-particle":"","family":"Lorian","given":"Carolyn","non-dropping-particle":"","parse-names":false,"suffix":""},{"dropping-particle":"","family":"Johnston","given":"Luke","non-dropping-particle":"","parse-names":false,"suffix":""},{"dropping-particle":"","family":"Spence","given":"Jay","non-dropping-particle":"","parse-names":false,"suffix":""},{"dropping-particle":"","family":"Anderson","given":"Tracy","non-dropping-particle":"","parse-names":false,"suffix":""},{"dropping-particle":"","family":"Sachdev","given":"Perminder","non-dropping-particle":"","parse-names":false,"suffix":""},{"dropping-particle":"","family":"Brodaty","given":"Henry","non-dropping-particle":"","parse-names":false,"suffix":""},{"dropping-particle":"","family":"Knight","given":"Robert G","non-dropping-particle":"","parse-names":false,"suffix":""}],"container-title":"Australian &amp; New Zealand Journal of Psychiatry","id":"ITEM-2","issue":"2","issued":{"date-parts":[["2013"]]},"note":"The present study evaluated the efficacy, acceptability and feasibility of a brief iCBT program, the Managing Your Mood Program, to treat depression amongst adults aged 60 years and older","page":"169-176","title":"Internet-delivered cognitive behavioural therapy for depression: A feasibility open trial for older adults","type":"article-journal","volume":"47"},"uris":["http://www.mendeley.com/documents/?uuid=355de196-a6f7-4f79-b1bd-29d1f8fe5a8c"]},{"id":"ITEM-3","itemData":{"DOI":"10.1016/j.janxdis.2012.04.002","ISBN":"0887-6185","ISSN":"08876185","PMID":"22659078","abstract":"This study examined the efficacy of an Internet-delivered cognitive-behavior therapy program developed for older adults. Twenty-two participants with elevated scores (≥8) on the Generalized Anxiety Disorder 7-Item Scale (GAD-7) participated in the course, which consisted of five lessons, homework tasks, additional resources, a moderated discussion forum, and weekly telephone support from a Clinical Psychologist. Ninety-five percent of the sample met diagnostic criteria for an anxiety disorder at pre-treatment. All participants completed the five lessons within the allotted eight weeks. Three-month follow-up data was collected from 95% of participants. Reductions in symptoms of anxiety and stress, with large within-group effect sizes (Cohen's . d) were found on the GAD-7 (. d=. 1.03) and the Depression, Anxiety and Stress Scales - 21 Items (. d=. 0.98) at follow-up. Participants reported high levels of satisfaction with the program. These encouraging results provide tentative support for the online treatment of older adults with anxiety. © 2012 Elsevier Ltd.","author":[{"dropping-particle":"","family":"Zou","given":"Judy B.","non-dropping-particle":"","parse-names":false,"suffix":""},{"dropping-particle":"","family":"Dear","given":"Blake F.","non-dropping-particle":"","parse-names":false,"suffix":""},{"dropping-particle":"","family":"Titov","given":"Nickolai","non-dropping-particle":"","parse-names":false,"suffix":""},{"dropping-particle":"","family":"Lorian","given":"Carolyn N.","non-dropping-particle":"","parse-names":false,"suffix":""},{"dropping-particle":"","family":"Johnston","given":"Luke","non-dropping-particle":"","parse-names":false,"suffix":""},{"dropping-particle":"","family":"Spence","given":"Jay","non-dropping-particle":"","parse-names":false,"suffix":""},{"dropping-particle":"","family":"Knight","given":"Robert G.","non-dropping-particle":"","parse-names":false,"suffix":""},{"dropping-particle":"","family":"Anderson","given":"Tracy","non-dropping-particle":"","parse-names":false,"suffix":""},{"dropping-particle":"","family":"Sachdev","given":"Perminder","non-dropping-particle":"","parse-names":false,"suffix":""}],"container-title":"Journal of Anxiety Disorders","id":"ITEM-3","issue":"6","issued":{"date-parts":[["2012"]]},"note":"Using an open trial design, we explored the efficacy of a brief iCBT program, the Man- aging Stress and Anxiety program that aims to treat symptoms of anxiety in older adults.","page":"650-655","publisher":"Elsevier Ltd","title":"Brief internet-delivered cognitive behavioral therapy for anxiety in older adults: A feasibility trial","type":"article-journal","volume":"26"},"uris":["http://www.mendeley.com/documents/?uuid=1c4c4bef-e465-4df5-902b-afad98021121"]}],"mendeley":{"formattedCitation":"(Botella &lt;i&gt;et al.&lt;/i&gt;, 2009; Zou &lt;i&gt;et al.&lt;/i&gt;, 2012; Dear &lt;i&gt;et al.&lt;/i&gt;, 2013)","plainTextFormattedCitation":"(Botella et al., 2009; Zou et al., 2012; Dear et al., 2013)","previouslyFormattedCitation":"(Botella &lt;i&gt;et al.&lt;/i&gt;, 2009; Zou &lt;i&gt;et al.&lt;/i&gt;, 2012; Dear &lt;i&gt;et al.&lt;/i&gt;, 2013)"},"properties":{"noteIndex":0},"schema":"https://github.com/citation-style-language/schema/raw/master/csl-citation.json"}</w:instrText>
      </w:r>
      <w:r>
        <w:fldChar w:fldCharType="separate"/>
      </w:r>
      <w:r w:rsidRPr="00BF085F">
        <w:rPr>
          <w:noProof/>
        </w:rPr>
        <w:t xml:space="preserve">(Botella </w:t>
      </w:r>
      <w:r w:rsidRPr="00BF085F">
        <w:rPr>
          <w:i/>
          <w:noProof/>
        </w:rPr>
        <w:t>et al.</w:t>
      </w:r>
      <w:r w:rsidRPr="00BF085F">
        <w:rPr>
          <w:noProof/>
        </w:rPr>
        <w:t xml:space="preserve">, 2009; Zou </w:t>
      </w:r>
      <w:r w:rsidRPr="00BF085F">
        <w:rPr>
          <w:i/>
          <w:noProof/>
        </w:rPr>
        <w:t>et al.</w:t>
      </w:r>
      <w:r w:rsidRPr="00BF085F">
        <w:rPr>
          <w:noProof/>
        </w:rPr>
        <w:t xml:space="preserve">, 2012; Dear </w:t>
      </w:r>
      <w:r w:rsidRPr="00BF085F">
        <w:rPr>
          <w:i/>
          <w:noProof/>
        </w:rPr>
        <w:t>et al.</w:t>
      </w:r>
      <w:r w:rsidRPr="00BF085F">
        <w:rPr>
          <w:noProof/>
        </w:rPr>
        <w:t>, 2013)</w:t>
      </w:r>
      <w:r>
        <w:fldChar w:fldCharType="end"/>
      </w:r>
      <w:r>
        <w:t xml:space="preserve">.  A small pilot survey carried out by </w:t>
      </w:r>
      <w:r w:rsidRPr="007C11DF">
        <w:rPr>
          <w:noProof/>
        </w:rPr>
        <w:t xml:space="preserve">Elsegood </w:t>
      </w:r>
      <w:r w:rsidR="00FB4D7C">
        <w:rPr>
          <w:noProof/>
        </w:rPr>
        <w:t>and</w:t>
      </w:r>
      <w:r w:rsidRPr="007C11DF">
        <w:rPr>
          <w:noProof/>
        </w:rPr>
        <w:t xml:space="preserve"> Powell</w:t>
      </w:r>
      <w:r>
        <w:t xml:space="preserve"> </w:t>
      </w:r>
      <w:r>
        <w:fldChar w:fldCharType="begin" w:fldLock="1"/>
      </w:r>
      <w:r>
        <w:instrText>ADDIN CSL_CITATION {"citationItems":[{"id":"ITEM-1","itemData":{"DOI":"10.1080/14733140802163914","ISBN":"1473-3145","ISSN":"1473-3145","abstract":"Objective: The aim of this study was to explore whether older people with depression and/or anxiety were potentially willing to engage with computerised cognitive-behaviour therapy (cCBT). Method: A short questionnaire was sent to 60 service users aged 65+ who were identified as having anxiety and/or depression. Results: There was a 63.3% response rate for the questionnaire. Almost half of the respondents said they would be interested in using cCBT, and would be willing to learn the necessary computer skills. Conclusions: This pilot study suggests that older people with anxiety and/or depression may be willing to engage with cCBT. However, a number of important factors are highlighted that would need to be considered in deciding whether to develop access to cCBT for older people.","author":[{"dropping-particle":"","family":"Elsegood","given":"Kelly","non-dropping-particle":"","parse-names":false,"suffix":""},{"dropping-particle":"","family":"Powell","given":"David","non-dropping-particle":"","parse-names":false,"suffix":""}],"container-title":"Counselling and Psychotherapy Research","id":"ITEM-1","issue":"3","issued":{"date-parts":[["2008","9"]]},"page":"189-192","title":"Computerised cognitive-behaviour therapy (cCBT) and older people: A pilot study to determine factors that influence willingness to engage with cCBT","type":"article-journal","volume":"8"},"uris":["http://www.mendeley.com/documents/?uuid=3fe9761a-7865-429b-b7bc-67c895c469e9"]}],"mendeley":{"formattedCitation":"(Elsegood and Powell, 2008)","manualFormatting":"(2008)","plainTextFormattedCitation":"(Elsegood and Powell, 2008)","previouslyFormattedCitation":"(Elsegood and Powell, 2008)"},"properties":{"noteIndex":0},"schema":"https://github.com/citation-style-language/schema/raw/master/csl-citation.json"}</w:instrText>
      </w:r>
      <w:r>
        <w:fldChar w:fldCharType="separate"/>
      </w:r>
      <w:r w:rsidRPr="007C11DF">
        <w:rPr>
          <w:noProof/>
        </w:rPr>
        <w:t>(2008)</w:t>
      </w:r>
      <w:r>
        <w:fldChar w:fldCharType="end"/>
      </w:r>
      <w:r>
        <w:t xml:space="preserve"> into the opinions of NHS mental health service users aged 65+ suggested a willingness to use e-therapy with 45% indicating an interest compared with 34% who stated they would not be interested.  However, e-therapy is not without its limitations, one particularly prominent issue being that these tools typically require clients to access web-based resources without therapist supervision, meaning the software needs to be designed to be both accessible and straightforward for its users.  One notable finding of the systematic review of e-therapy trials carried out by </w:t>
      </w:r>
      <w:r w:rsidRPr="00792424">
        <w:rPr>
          <w:noProof/>
        </w:rPr>
        <w:t xml:space="preserve">Crabb et al. </w:t>
      </w:r>
      <w:r>
        <w:fldChar w:fldCharType="begin" w:fldLock="1"/>
      </w:r>
      <w:r>
        <w:instrText>ADDIN CSL_CITATION {"citationItems":[{"id":"ITEM-1","itemData":{"DOI":"10.1111/j.2044-8260.2012.02038.x","ISBN":"0144-6657","ISSN":"01446657","PMID":"23078214","abstract":"OBJECTIVE: Computerized cognitive-behavioural therapy (CCBT) may enhance older adults' access to evidence-based depression treatment. Our objective was to determine the extent to which adults aged 65 years and older are represented in existing studies of CCBT for depression and describe available data on recruitment, retention, and outcomes. METHODS: We retrieved all controlled and uncontrolled trials of CCBT for depression published between 2000 and 2010. We obtained data on older adults via the article text or correspondence with authors. RESULTS: Older adults comprised approximately 3% of study participants in reviewed studies. Authors reported that older participants may be less likely than younger adults to drop out, but more likely to experience technical challenges. CONCLUSIONS: Older adults are under-represented in studies of CCBT for depression.","author":[{"dropping-particle":"","family":"Crabb","given":"Rebecca M.","non-dropping-particle":"","parse-names":false,"suffix":""},{"dropping-particle":"","family":"Cavanagh","given":"Kate","non-dropping-particle":"","parse-names":false,"suffix":""},{"dropping-particle":"","family":"Proudfoot","given":"Judy","non-dropping-particle":"","parse-names":false,"suffix":""},{"dropping-particle":"","family":"Learmonth","given":"Despina","non-dropping-particle":"","parse-names":false,"suffix":""},{"dropping-particle":"","family":"Rafie","given":"Samantha","non-dropping-particle":"","parse-names":false,"suffix":""},{"dropping-particle":"","family":"Weingardt","given":"Kenneth R.","non-dropping-particle":"","parse-names":false,"suffix":""}],"container-title":"British Journal of Clinical Psychology","id":"ITEM-1","issue":"4","issued":{"date-parts":[["2012","11"]]},"page":"459-464","title":"Is computerized cognitive-behavioural therapy a treatment option for depression in late-life? A systematic review","type":"article-journal","volume":"51"},"uris":["http://www.mendeley.com/documents/?uuid=ab531bbc-4a54-448f-99e7-f9f53cac7c48"]}],"mendeley":{"formattedCitation":"(Crabb &lt;i&gt;et al.&lt;/i&gt;, 2012)","manualFormatting":"(2012)","plainTextFormattedCitation":"(Crabb et al., 2012)","previouslyFormattedCitation":"(Crabb &lt;i&gt;et al.&lt;/i&gt;, 2012)"},"properties":{"noteIndex":0},"schema":"https://github.com/citation-style-language/schema/raw/master/csl-citation.json"}</w:instrText>
      </w:r>
      <w:r>
        <w:fldChar w:fldCharType="separate"/>
      </w:r>
      <w:r w:rsidRPr="00B91634">
        <w:rPr>
          <w:noProof/>
        </w:rPr>
        <w:t>(2012)</w:t>
      </w:r>
      <w:r>
        <w:fldChar w:fldCharType="end"/>
      </w:r>
      <w:r>
        <w:t xml:space="preserve"> was that, while people over the age of 65 were rarely if ever </w:t>
      </w:r>
      <w:r w:rsidRPr="004A548C">
        <w:t>excluded</w:t>
      </w:r>
      <w:r>
        <w:t xml:space="preserve"> from the reviewed trials, they accounted for a median proportion of only around 3% of participants.  This suggests that the needs of older adults have not been the focus of these studies and are unlikely to be reflected in their findings.</w:t>
      </w:r>
    </w:p>
    <w:p w14:paraId="62ED02D5" w14:textId="06C6A3C4" w:rsidR="00111E4D" w:rsidRPr="004A548C" w:rsidRDefault="00111E4D" w:rsidP="00111E4D">
      <w:r>
        <w:t xml:space="preserve">There are a number of unique barriers and challenges older adults face when using technology that make them a population worthy of separate study.  Around two in five older adults indicate that they have a health condition that makes reading difficult or challenging to them or that they have a disability, handicap or chronic condition.  These health conditions make it unfeasible for older adults to participate in many general daily activities </w:t>
      </w:r>
      <w:r>
        <w:fldChar w:fldCharType="begin" w:fldLock="1"/>
      </w:r>
      <w:r>
        <w:instrText>ADDIN CSL_CITATION {"citationItems":[{"id":"ITEM-1","itemData":{"DOI":"202.419.4500","abstract":"America’s seniors have historically been late adopters to the world of technology compared to their younger compatriots, but their movement into digital life continues to deepen, according to newly released data from the Pew Research Center. In this report, we take advantage of a particularly large survey to conduct a unique exploration not only of technology use between Americans ages 65 or older and the rest of the population, but within the senior population as well.","author":[{"dropping-particle":"","family":"Smith","given":"Aaron","non-dropping-particle":"","parse-names":false,"suffix":""}],"container-title":"Pew Research Center","id":"ITEM-1","issue":"April","issued":{"date-parts":[["2014"]]},"page":"1-26","title":"Older Adults and Technology Use","type":"article-journal"},"uris":["http://www.mendeley.com/documents/?uuid=4e8d47f9-76d8-49cc-acf6-6b60edfb8c25"]}],"mendeley":{"formattedCitation":"(Smith, 2014)","plainTextFormattedCitation":"(Smith, 2014)","previouslyFormattedCitation":"(Smith, 2014)"},"properties":{"noteIndex":0},"schema":"https://github.com/citation-style-language/schema/raw/master/csl-citation.json"}</w:instrText>
      </w:r>
      <w:r>
        <w:fldChar w:fldCharType="separate"/>
      </w:r>
      <w:r w:rsidRPr="002D53CD">
        <w:rPr>
          <w:noProof/>
        </w:rPr>
        <w:t>(Smith, 2014)</w:t>
      </w:r>
      <w:r>
        <w:fldChar w:fldCharType="end"/>
      </w:r>
      <w:r>
        <w:t>: these health problems can also make the use of new technologies more difficult</w:t>
      </w:r>
      <w:r w:rsidR="00554CB4">
        <w:t xml:space="preserve">.  </w:t>
      </w:r>
      <w:r>
        <w:t xml:space="preserve">Another aspect concerns the design of the interface to these technologies.  </w:t>
      </w:r>
      <w:bookmarkStart w:id="310" w:name="_Hlk512785873"/>
      <w:r>
        <w:t xml:space="preserve">A study carried out by </w:t>
      </w:r>
      <w:r w:rsidRPr="009D59A1">
        <w:rPr>
          <w:noProof/>
        </w:rPr>
        <w:t xml:space="preserve">Rogers et al. </w:t>
      </w:r>
      <w:r>
        <w:fldChar w:fldCharType="begin" w:fldLock="1"/>
      </w:r>
      <w:r>
        <w:instrText>ADDIN CSL_CITATION {"citationItems":[{"id":"ITEM-1","itemData":{"DOI":"10.1518/001872098779480613","ISBN":"0018-7208 (Print)\\r0018-7208 (Linking)","ISSN":"00187208","PMID":"9579107","abstract":"We assessed constraints on daily living of 59 healthy, active adults 65-88 years of age in focus group interviews. Individual comments about specific problems were coded along the dimensions of (a) the locus of the problem (motor, visual, auditory, cognitive, external, or health limitations); (b) the activity involved (e.g., transportation, leisure, housekeeping); (c) whether the problem was attributable to task difficulty or the perception of risk; and (d) response to limitations (perseverance, cessation, compensation, or self-improvement). The data provide information about the types of difficulties encountered in everyday activities as well as the way in which individuals respond to such difficulties. Each comment was also coded in terms of whether it was remediable via training, design changes, or some combination of the two. More than half of the problems that were reported had the potential to be improved in some way, thus providing direction for future research in human factors and aging. Actual or potential applications of this research include identifying problems and difficulties that older adults encounter in daily activities such as transportation and leisure; more specifically, determining the degree to which such problems are potentially remediable by human factors solutions. Applications of this research also include understanding the types of systems, products, and technologies that older adults interact with currently, or are interested in learning to use.","author":[{"dropping-particle":"","family":"Rogers","given":"W a","non-dropping-particle":"","parse-names":false,"suffix":""},{"dropping-particle":"","family":"Meyer","given":"B","non-dropping-particle":"","parse-names":false,"suffix":""},{"dropping-particle":"","family":"Walker","given":"N","non-dropping-particle":"","parse-names":false,"suffix":""},{"dropping-particle":"","family":"Fisk","given":"a D","non-dropping-particle":"","parse-names":false,"suffix":""}],"container-title":"Human factors","id":"ITEM-1","issue":"1","issued":{"date-parts":[["1998","3"]]},"page":"111-125","title":"Functional limitations to daily living tasks in the aged: a focus group analysis.","type":"article-journal","volume":"40"},"uris":["http://www.mendeley.com/documents/?uuid=b85bd4b0-f974-4fa4-bd56-b4b61298c74d"]}],"mendeley":{"formattedCitation":"(Rogers &lt;i&gt;et al.&lt;/i&gt;, 1998)","manualFormatting":"(1998)","plainTextFormattedCitation":"(Rogers et al., 1998)","previouslyFormattedCitation":"(Rogers &lt;i&gt;et al.&lt;/i&gt;, 1998)"},"properties":{"noteIndex":0},"schema":"https://github.com/citation-style-language/schema/raw/master/csl-citation.json"}</w:instrText>
      </w:r>
      <w:r>
        <w:fldChar w:fldCharType="separate"/>
      </w:r>
      <w:r w:rsidRPr="009D59A1">
        <w:rPr>
          <w:noProof/>
        </w:rPr>
        <w:t>(1998)</w:t>
      </w:r>
      <w:r>
        <w:fldChar w:fldCharType="end"/>
      </w:r>
      <w:r>
        <w:t xml:space="preserve"> noted that around half of the difficulties older adults face when carrying out daily activities could be improved through a combination of better design of artefacts in general and greater guidance in their use</w:t>
      </w:r>
      <w:r w:rsidR="00554CB4">
        <w:t xml:space="preserve">.  </w:t>
      </w:r>
      <w:r>
        <w:t>There is nothing to suggest that similar difficulties would not be encountered when interacting with e-therapies</w:t>
      </w:r>
      <w:r w:rsidR="00554CB4">
        <w:t xml:space="preserve">.  </w:t>
      </w:r>
      <w:r>
        <w:t>It is reasonable to propose that that better design and greater guidance would improve matters</w:t>
      </w:r>
      <w:r w:rsidR="00554CB4">
        <w:t xml:space="preserve">.  </w:t>
      </w:r>
      <w:r>
        <w:t xml:space="preserve">This naturally leads us to a consideration of </w:t>
      </w:r>
      <w:r>
        <w:rPr>
          <w:i/>
        </w:rPr>
        <w:t>User Experience (UX) design</w:t>
      </w:r>
      <w:r>
        <w:t>, a key contemporary concept in the design of computer interfaces.</w:t>
      </w:r>
    </w:p>
    <w:p w14:paraId="3992843D" w14:textId="77777777" w:rsidR="00111E4D" w:rsidRDefault="00111E4D" w:rsidP="00111E4D">
      <w:pPr>
        <w:pStyle w:val="Heading3"/>
      </w:pPr>
      <w:bookmarkStart w:id="311" w:name="_Toc530598171"/>
      <w:bookmarkStart w:id="312" w:name="_Toc530660524"/>
      <w:bookmarkStart w:id="313" w:name="_Toc3538125"/>
      <w:bookmarkEnd w:id="310"/>
      <w:r>
        <w:lastRenderedPageBreak/>
        <w:t>E-therapy, Usability Testing and Engagement</w:t>
      </w:r>
      <w:bookmarkEnd w:id="311"/>
      <w:bookmarkEnd w:id="312"/>
      <w:bookmarkEnd w:id="313"/>
    </w:p>
    <w:p w14:paraId="44E7F05A" w14:textId="410E7E77" w:rsidR="00111E4D" w:rsidRDefault="00111E4D" w:rsidP="00111E4D">
      <w:r w:rsidRPr="00226F8D">
        <w:t xml:space="preserve">The concept of </w:t>
      </w:r>
      <w:r>
        <w:t>UX</w:t>
      </w:r>
      <w:r w:rsidRPr="00226F8D">
        <w:t xml:space="preserve"> is largely understood as context-dependent</w:t>
      </w:r>
      <w:r>
        <w:t>, subjective</w:t>
      </w:r>
      <w:r w:rsidRPr="00226F8D">
        <w:t xml:space="preserve"> and dynamic</w:t>
      </w:r>
      <w:r>
        <w:t xml:space="preserve"> </w:t>
      </w:r>
      <w:r>
        <w:fldChar w:fldCharType="begin" w:fldLock="1"/>
      </w:r>
      <w:r>
        <w:instrText>ADDIN CSL_CITATION {"citationItems":[{"id":"ITEM-1","itemData":{"DOI":"10.1145/1518701.1518813","ISBN":"9781605582467","author":[{"dropping-particle":"","family":"Law","given":"Effie Lai-Chong","non-dropping-particle":"","parse-names":false,"suffix":""},{"dropping-particle":"","family":"Roto","given":"Virpi","non-dropping-particle":"","parse-names":false,"suffix":""},{"dropping-particle":"","family":"Hassenzahl","given":"Marc","non-dropping-particle":"","parse-names":false,"suffix":""},{"dropping-particle":"","family":"Vermeeren","given":"Arnold P.O.S.","non-dropping-particle":"","parse-names":false,"suffix":""},{"dropping-particle":"","family":"Kort","given":"Joke","non-dropping-particle":"","parse-names":false,"suffix":""}],"container-title":"Proceedings of the 27th international conference on Human factors in computing systems - CHI 09","id":"ITEM-1","issued":{"date-parts":[["2009"]]},"page":"719","publisher":"ACM Press","publisher-place":"New York, New York, USA","title":"Understanding, scoping and defining user experience","type":"paper-conference"},"uris":["http://www.mendeley.com/documents/?uuid=ddcca77c-11a4-3679-a047-3ddf239eda53"]}],"mendeley":{"formattedCitation":"(Law &lt;i&gt;et al.&lt;/i&gt;, 2009)","plainTextFormattedCitation":"(Law et al., 2009)","previouslyFormattedCitation":"(Law &lt;i&gt;et al.&lt;/i&gt;, 2009)"},"properties":{"noteIndex":0},"schema":"https://github.com/citation-style-language/schema/raw/master/csl-citation.json"}</w:instrText>
      </w:r>
      <w:r>
        <w:fldChar w:fldCharType="separate"/>
      </w:r>
      <w:r w:rsidRPr="008C6C3F">
        <w:rPr>
          <w:noProof/>
        </w:rPr>
        <w:t xml:space="preserve">(Law </w:t>
      </w:r>
      <w:r w:rsidRPr="008C6C3F">
        <w:rPr>
          <w:i/>
          <w:noProof/>
        </w:rPr>
        <w:t>et al.</w:t>
      </w:r>
      <w:r w:rsidRPr="008C6C3F">
        <w:rPr>
          <w:noProof/>
        </w:rPr>
        <w:t>, 2009)</w:t>
      </w:r>
      <w:r>
        <w:fldChar w:fldCharType="end"/>
      </w:r>
      <w:r>
        <w:t xml:space="preserve"> and formally defined by the International Organization for Standardization (ISO) as </w:t>
      </w:r>
      <w:r w:rsidRPr="002225AC">
        <w:rPr>
          <w:noProof/>
        </w:rPr>
        <w:t>a “person's perceptions and responses resulting from the use and/or anticipated use of a product, system or service</w:t>
      </w:r>
      <w:r w:rsidRPr="00BD3A10">
        <w:t>”</w:t>
      </w:r>
      <w:r>
        <w:t xml:space="preserve"> </w:t>
      </w:r>
      <w:r>
        <w:fldChar w:fldCharType="begin" w:fldLock="1"/>
      </w:r>
      <w:r w:rsidR="00A65EBD">
        <w:instrText>ADDIN CSL_CITATION {"citationItems":[{"id":"ITEM-1","itemData":{"URL":"https://www.iso.org/obp/ui/fr/#iso:std:iso:9241:-11:ed-2:v1:en","accessed":{"date-parts":[["2018","4","10"]]},"author":[{"dropping-particle":"","family":"ISO","given":"","non-dropping-particle":"","parse-names":false,"suffix":""}],"id":"ITEM-1","issued":{"date-parts":[["2018"]]},"title":"ISO 9241-11:2018(en), Ergonomics of human-system interaction — Part 11: Usability: Definitions and concepts","type":"webpage"},"uris":["http://www.mendeley.com/documents/?uuid=3ab1d37f-7a18-3cb4-8748-92a92807c125"]}],"mendeley":{"formattedCitation":"(ISO, 2018)","manualFormatting":"(ISO, p2.15, 2018)","plainTextFormattedCitation":"(ISO, 2018)","previouslyFormattedCitation":"(ISO, 2018)"},"properties":{"noteIndex":0},"schema":"https://github.com/citation-style-language/schema/raw/master/csl-citation.json"}</w:instrText>
      </w:r>
      <w:r>
        <w:fldChar w:fldCharType="separate"/>
      </w:r>
      <w:r w:rsidRPr="000E56AA">
        <w:rPr>
          <w:noProof/>
        </w:rPr>
        <w:t xml:space="preserve">(ISO, </w:t>
      </w:r>
      <w:r w:rsidR="00A65EBD">
        <w:rPr>
          <w:noProof/>
        </w:rPr>
        <w:t>p</w:t>
      </w:r>
      <w:r w:rsidR="00AF0823">
        <w:rPr>
          <w:noProof/>
        </w:rPr>
        <w:t>2</w:t>
      </w:r>
      <w:r w:rsidR="00A65EBD">
        <w:rPr>
          <w:noProof/>
        </w:rPr>
        <w:t>.1</w:t>
      </w:r>
      <w:r w:rsidR="00AF0823">
        <w:rPr>
          <w:noProof/>
        </w:rPr>
        <w:t xml:space="preserve">5, </w:t>
      </w:r>
      <w:r w:rsidRPr="000E56AA">
        <w:rPr>
          <w:noProof/>
        </w:rPr>
        <w:t>2018)</w:t>
      </w:r>
      <w:r>
        <w:fldChar w:fldCharType="end"/>
      </w:r>
      <w:r>
        <w:t>. The User Experience (UX) is something that should play a large role in the development of e-therapy particularly in the case of older adults.</w:t>
      </w:r>
    </w:p>
    <w:p w14:paraId="10FC7E85" w14:textId="5FA33639" w:rsidR="00111E4D" w:rsidRPr="007E0442" w:rsidRDefault="00111E4D" w:rsidP="00111E4D">
      <w:r w:rsidRPr="007E0442">
        <w:t xml:space="preserve">Usability is a subset of UX, intersecting at the point </w:t>
      </w:r>
      <w:r>
        <w:t>at</w:t>
      </w:r>
      <w:r w:rsidRPr="007E0442">
        <w:t xml:space="preserve"> which UX is affected by a person’s ability to use a system or application.  It </w:t>
      </w:r>
      <w:r w:rsidRPr="003966CD">
        <w:rPr>
          <w:noProof/>
        </w:rPr>
        <w:t>is defined as “The extent to which a product can be used by specified users to achieve specified goals with effectiveness, efficiency and satisfaction in a specified context of use</w:t>
      </w:r>
      <w:r w:rsidRPr="007E0442">
        <w:t xml:space="preserve">” </w:t>
      </w:r>
      <w:r w:rsidRPr="007E0442">
        <w:fldChar w:fldCharType="begin" w:fldLock="1"/>
      </w:r>
      <w:r w:rsidR="00277777">
        <w:instrText>ADDIN CSL_CITATION {"citationItems":[{"id":"ITEM-1","itemData":{"URL":"https://www.iso.org/obp/ui/fr/#iso:std:iso:9241:-11:ed-2:v1:en","accessed":{"date-parts":[["2018","4","10"]]},"author":[{"dropping-particle":"","family":"ISO","given":"","non-dropping-particle":"","parse-names":false,"suffix":""}],"id":"ITEM-1","issued":{"date-parts":[["2018"]]},"title":"ISO 9241-11:2018(en), Ergonomics of human-system interaction — Part 11: Usability: Definitions and concepts","type":"webpage"},"uris":["http://www.mendeley.com/documents/?uuid=3ab1d37f-7a18-3cb4-8748-92a92807c125"]}],"mendeley":{"formattedCitation":"(ISO, 2018)","manualFormatting":"(ISO, p1.1, 2018)","plainTextFormattedCitation":"(ISO, 2018)","previouslyFormattedCitation":"(ISO, 2018)"},"properties":{"noteIndex":0},"schema":"https://github.com/citation-style-language/schema/raw/master/csl-citation.json"}</w:instrText>
      </w:r>
      <w:r w:rsidRPr="007E0442">
        <w:fldChar w:fldCharType="separate"/>
      </w:r>
      <w:r w:rsidRPr="007E0442">
        <w:rPr>
          <w:noProof/>
        </w:rPr>
        <w:t xml:space="preserve">(ISO, </w:t>
      </w:r>
      <w:r w:rsidR="00A65EBD">
        <w:rPr>
          <w:noProof/>
        </w:rPr>
        <w:t>p</w:t>
      </w:r>
      <w:r w:rsidR="00E83EE2">
        <w:rPr>
          <w:noProof/>
        </w:rPr>
        <w:t>1</w:t>
      </w:r>
      <w:r w:rsidR="00A65EBD">
        <w:rPr>
          <w:noProof/>
        </w:rPr>
        <w:t>.</w:t>
      </w:r>
      <w:r w:rsidR="00E83EE2">
        <w:rPr>
          <w:noProof/>
        </w:rPr>
        <w:t xml:space="preserve">1, </w:t>
      </w:r>
      <w:r w:rsidRPr="007E0442">
        <w:rPr>
          <w:noProof/>
        </w:rPr>
        <w:t>2018)</w:t>
      </w:r>
      <w:r w:rsidRPr="007E0442">
        <w:fldChar w:fldCharType="end"/>
      </w:r>
      <w:r w:rsidRPr="007E0442">
        <w:t xml:space="preserve">.  Usability and other technological factors have an impact on the </w:t>
      </w:r>
      <w:r>
        <w:t>maintenance</w:t>
      </w:r>
      <w:r w:rsidRPr="007E0442">
        <w:t xml:space="preserve"> of engagement </w:t>
      </w:r>
      <w:r w:rsidRPr="007E0442">
        <w:fldChar w:fldCharType="begin" w:fldLock="1"/>
      </w:r>
      <w:r>
        <w:instrText>ADDIN CSL_CITATION {"citationItems":[{"id":"ITEM-1","itemData":{"DOI":"10.2196/jmir.7.1.e11","ISSN":"1438-8871","PMID":"15829473","abstract":"In an ongoing effort of this Journal to develop and further the theories, models, and best practices around eHealth research, this paper argues for the need for a \"science of attrition\", that is, a need to develop models for discontinuation of eHealth applications and the related phenomenon of participants dropping out of eHealth trials. What I call \"law of attrition\" here is the observation that in any eHealth trial a substantial proportion of users drop out before completion or stop using the application. This feature of eHealth trials is a distinct characteristic compared to, for example, drug trials. The traditional clinical trial and evidence-based medicine paradigm stipulates that high dropout rates make trials less believable. Consequently eHealth researchers tend to gloss over high dropout rates, or not to publish their study results at all, as they see their studies as failures. However, for many eHealth trials, in particular those conducted on the Internet and in particular with self-help applications, high dropout rates may be a natural and typical feature. Usage metrics and determinants of attrition should be highlighted, measured, analyzed, and discussed. This also includes analyzing and reporting the characteristics of the subpopulation for which the application eventually \"works\", ie, those who stay in the trial and use it. For the question of what works and what does not, such attrition measures are as important to report as pure efficacy measures from intention-to-treat (ITT) analyses. In cases of high dropout rates efficacy measures underestimate the impact of an application on a population which continues to use it. Methods of analyzing attrition curves can be drawn from survival analysis methods, eg, the Kaplan-Meier analysis and proportional hazards regression analysis (Cox model). Measures to be reported include the relative risk of dropping out or of stopping the use of an application, as well as a \"usage half-life\", and prediction models reporting demographic usage discontinuation in a population. Differential dropout or usage rates between two interventions could be a standard metric for the \"usability efficacy\" of a system. A \"run-in and withdrawal\" trial design is suggested as a methodological innovation for Internet-based trials with a high number of initial dropouts/nonusers and a stable group of hardcore users.","author":[{"dropping-particle":"","family":"Eysenbach","given":"Gunther","non-dropping-particle":"","parse-names":false,"suffix":""}],"container-title":"Journal of medical Internet research","id":"ITEM-1","issue":"1","issued":{"date-parts":[["2005","3","31"]]},"page":"e11","publisher":"Journal of Medical Internet Research","title":"The law of attrition.","type":"article-journal","volume":"7"},"uris":["http://www.mendeley.com/documents/?uuid=e42e6c0a-b37e-393c-99c6-7fd4863a675c"]}],"mendeley":{"formattedCitation":"(Eysenbach, 2005)","manualFormatting":"(Eysenbach, 2005)","plainTextFormattedCitation":"(Eysenbach, 2005)","previouslyFormattedCitation":"(Eysenbach, 2005)"},"properties":{"noteIndex":0},"schema":"https://github.com/citation-style-language/schema/raw/master/csl-citation.json"}</w:instrText>
      </w:r>
      <w:r w:rsidRPr="007E0442">
        <w:fldChar w:fldCharType="separate"/>
      </w:r>
      <w:r w:rsidRPr="007E0442">
        <w:rPr>
          <w:noProof/>
        </w:rPr>
        <w:t>(Eysenbach, 2005)</w:t>
      </w:r>
      <w:r w:rsidRPr="007E0442">
        <w:fldChar w:fldCharType="end"/>
      </w:r>
      <w:r w:rsidRPr="007E0442">
        <w:t xml:space="preserve">.  </w:t>
      </w:r>
      <w:r>
        <w:t>E-therapies</w:t>
      </w:r>
      <w:r w:rsidRPr="007E0442">
        <w:t xml:space="preserve"> for mental health are generally tested for </w:t>
      </w:r>
      <w:r>
        <w:t xml:space="preserve">engagement </w:t>
      </w:r>
      <w:r w:rsidRPr="007E0442">
        <w:t>through feasibility and pilot studies measur</w:t>
      </w:r>
      <w:r>
        <w:t>ing</w:t>
      </w:r>
      <w:r w:rsidRPr="007E0442">
        <w:t xml:space="preserve"> for </w:t>
      </w:r>
      <w:r>
        <w:t>treatment satisfaction</w:t>
      </w:r>
      <w:r w:rsidRPr="007E0442">
        <w:t xml:space="preserve">.  </w:t>
      </w:r>
      <w:r>
        <w:t>It is rare to see e-therapy studies using the full array of I</w:t>
      </w:r>
      <w:r w:rsidRPr="007E0442">
        <w:t xml:space="preserve">nternational standards and validated instruments </w:t>
      </w:r>
      <w:r>
        <w:t xml:space="preserve">for usability that are </w:t>
      </w:r>
      <w:r w:rsidRPr="007E0442">
        <w:t xml:space="preserve">readily available and </w:t>
      </w:r>
      <w:r>
        <w:t xml:space="preserve">regularly </w:t>
      </w:r>
      <w:r w:rsidRPr="007E0442">
        <w:t xml:space="preserve">used within the discipline of human-computer interaction (HCI).  </w:t>
      </w:r>
      <w:r>
        <w:t xml:space="preserve">However, recently, large international trials have started to include some usability scales in their measurement batteries </w:t>
      </w:r>
      <w:r>
        <w:fldChar w:fldCharType="begin" w:fldLock="1"/>
      </w:r>
      <w:r>
        <w:instrText>ADDIN CSL_CITATION {"citationItems":[{"id":"ITEM-1","itemData":{"DOI":"10.1016/J.INVENT.2015.10.002","ISSN":"2214-7829","abstract":"BACKGROUND\nDepressive disorder is a major societal challenge. Despite the availability of clinically and cost-effective treatments including Internet interventions, the number of patients receiving treatment is limited. Evidence-based Internet interventions promise wide availability and high efficiency of treatments. However, these interventions often do not enter routine mental healthcare delivery at a large scale. The MasterMind project aims to provide insight into the factors that promote or hinder the uptake and implementation of evidence-based Internet interventions by mental healthcare practice. Internet-based Cognitive Behaviour Therapy (iCBT) and videoconferencing facilitating collaborative care (ccVC) will be implemented in routine mental healthcare. The services will be offered to 5230 depressed adults in 15 European regions. The current paper describes the evaluation protocol for this large-scale implementation project. \n\nDESIGN\nCurrent summative evaluation study follows a naturalistic one-group pretest–posttest design and assesses three distinct stakeholders: patients, mental healthcare professionals, and mental healthcare organisations. The Model for Assessment of Telemedicine applications (MAST) will be employed to structure the implementation and evaluation study. The primary focal points of interest are reach, clinical effect, acceptability, appropriateness, implementation costs, and sustainability of the interventions in practice. Mixed-methods are used to provide an understanding of what (quantitative) the implementation projects have achieved and their meaning to various stakeholders (qualitative). \n\nDISCUSSION\nThe use of Internet interventions in routine practice is limited. MasterMind attempts to bridge the gap between routine practice and effectiveness research by evaluating the implementation of evidence-based Internet interventions for depressive disorders in routine mental healthcare settings in Europe.","author":[{"dropping-particle":"","family":"Vis","given":"Christiaan","non-dropping-particle":"","parse-names":false,"suffix":""},{"dropping-particle":"","family":"Kleiboer","given":"Annet","non-dropping-particle":"","parse-names":false,"suffix":""},{"dropping-particle":"","family":"Prior","given":"Reinhard","non-dropping-particle":"","parse-names":false,"suffix":""},{"dropping-particle":"","family":"Bønes","given":"Erland","non-dropping-particle":"","parse-names":false,"suffix":""},{"dropping-particle":"","family":"Cavallo","given":"Marco","non-dropping-particle":"","parse-names":false,"suffix":""},{"dropping-particle":"","family":"Clark","given":"Stella Anne","non-dropping-particle":"","parse-names":false,"suffix":""},{"dropping-particle":"","family":"Dozeman","given":"Els","non-dropping-particle":"","parse-names":false,"suffix":""},{"dropping-particle":"","family":"Ebert","given":"David","non-dropping-particle":"","parse-names":false,"suffix":""},{"dropping-particle":"","family":"Etzelmueller","given":"Anne","non-dropping-particle":"","parse-names":false,"suffix":""},{"dropping-particle":"","family":"Favaretto","given":"Gerardo","non-dropping-particle":"","parse-names":false,"suffix":""},{"dropping-particle":"","family":"Zabala","given":"Ane Fullaondo","non-dropping-particle":"","parse-names":false,"suffix":""},{"dropping-particle":"","family":"Kolstrup","given":"Nils","non-dropping-particle":"","parse-names":false,"suffix":""},{"dropping-particle":"","family":"Mancin","given":"Silvia","non-dropping-particle":"","parse-names":false,"suffix":""},{"dropping-particle":"","family":"Mathiassen","given":"Kim","non-dropping-particle":"","parse-names":false,"suffix":""},{"dropping-particle":"","family":"Myrbakk","given":"Vemund Nordnes","non-dropping-particle":"","parse-names":false,"suffix":""},{"dropping-particle":"","family":"Mol","given":"Mayke","non-dropping-particle":"","parse-names":false,"suffix":""},{"dropping-particle":"","family":"Jimenez","given":"Jordi Piera","non-dropping-particle":"","parse-names":false,"suffix":""},{"dropping-particle":"","family":"Power","given":"Kevin","non-dropping-particle":"","parse-names":false,"suffix":""},{"dropping-particle":"","family":"Schaik","given":"Anneke","non-dropping-particle":"van","parse-names":false,"suffix":""},{"dropping-particle":"","family":"Wright","given":"Chris","non-dropping-particle":"","parse-names":false,"suffix":""},{"dropping-particle":"","family":"Zanalda","given":"Enrico","non-dropping-particle":"","parse-names":false,"suffix":""},{"dropping-particle":"","family":"Pederson","given":"Claus Duedal","non-dropping-particle":"","parse-names":false,"suffix":""},{"dropping-particle":"","family":"Smit","given":"Jan","non-dropping-particle":"","parse-names":false,"suffix":""},{"dropping-particle":"","family":"Riper","given":"Heleen","non-dropping-particle":"","parse-names":false,"suffix":""}],"container-title":"Internet Interventions","id":"ITEM-1","issue":"4","issued":{"date-parts":[["2015","11","1"]]},"page":"399-409","publisher":"Elsevier","title":"Implementing and up-scaling evidence-based eMental health in Europe: The study protocol for the MasterMind project","type":"article-journal","volume":"2"},"uris":["http://www.mendeley.com/documents/?uuid=536aab09-08d1-30c4-a172-c452487f8e0f"]},{"id":"ITEM-2","itemData":{"DOI":"10.1186/s13063-016-1511-1","ISSN":"1745-6215","abstract":"Effective, accessible, and affordable depression treatment is of high importance considering the large personal and economic burden of depression. Internet-based treatment is considered a promising clinical and cost-effective alternative to current routine depression treatment strategies such as face-to-face psychotherapy. However, it is not clear whether research findings translate to routine clinical practice such as primary or specialized mental health care. The E-COMPARED project aims to gain knowledge on the clinical and cost-effectiveness of blended depression treatment compared to treatment-as-usual in routine care. E-COMPARED will employ a pragmatic, multinational, randomized controlled, non-inferiority trial in eight European countries. Adults diagnosed with major depressive disorder (MDD) will be recruited in primary care (Germany, Poland, Spain, Sweden, and the United Kingdom) or specialized mental health care (France, The Netherlands, and Switzerland). Regular care for depression is compared to “blended” service delivery combining mobile and Internet technologies with face-to-face treatment in one treatment protocol. Participants will be followed up at 3, 6, and 12 months after baseline to determine clinical improvements in symptoms of depression (primary outcome: Patient Health Questionnaire-9), remission of depression, and cost-effectiveness. Main analyses will be conducted on the pooled data from the eight countries (n = 1200 in total, 150 participants in each country). The E-COMPARED project will provide mental health care stakeholders with evidence-based information and recommendations on the clinical and cost-effectiveness of blended depression treatment. France: ClinicalTrials.gov \n                    NCT02542891\n                    \n                  . Registered on 4 September 2015; Germany: German Clinical Trials Register \n                    DRKS00006866\n                    \n                  . Registered on 2 December 2014; The Netherlands: Netherlands Trials Register \n                    NTR4962\n                    \n                  . Registered on 5 January 2015; Poland: ClinicalTrials.Gov \n                    NCT02389660\n                    \n                  . Registered on 18 February 2015; Spain: ClinicalTrials.gov \n                    NCT02361684\n                    \n                  . Registered on 8 January 2015; Sweden: ClinicalTrials.gov \n                    NCT02449447\n                    \n                  . Regist…","author":[{"dropping-particle":"","family":"Kleiboer","given":"Annet","non-dropping-particle":"","parse-names":false,"suffix":""},{"dropping-particle":"","family":"Smit","given":"Jan","non-dropping-particle":"","parse-names":false,"suffix":""},{"dropping-particle":"","family":"Bosmans","given":"Judith","non-dropping-particle":"","parse-names":false,"suffix":""},{"dropping-particle":"","family":"Ruwaard","given":"Jeroen","non-dropping-particle":"","parse-names":false,"suffix":""},{"dropping-particle":"","family":"Andersson","given":"Gerhard","non-dropping-particle":"","parse-names":false,"suffix":""},{"dropping-particle":"","family":"Topooco","given":"Naira","non-dropping-particle":"","parse-names":false,"suffix":""},{"dropping-particle":"","family":"Berger","given":"Thomas","non-dropping-particle":"","parse-names":false,"suffix":""},{"dropping-particle":"","family":"Krieger","given":"Tobias","non-dropping-particle":"","parse-names":false,"suffix":""},{"dropping-particle":"","family":"Botella","given":"Cristina","non-dropping-particle":"","parse-names":false,"suffix":""},{"dropping-particle":"","family":"Baños","given":"Rosa","non-dropping-particle":"","parse-names":false,"suffix":""},{"dropping-particle":"","family":"Chevreul","given":"Karine","non-dropping-particle":"","parse-names":false,"suffix":""},{"dropping-particle":"","family":"Araya","given":"Ricardo","non-dropping-particle":"","parse-names":false,"suffix":""},{"dropping-particle":"","family":"Cerga-Pashoja","given":"Arlinda","non-dropping-particle":"","parse-names":false,"suffix":""},{"dropping-particle":"","family":"Cieślak","given":"Roman","non-dropping-particle":"","parse-names":false,"suffix":""},{"dropping-particle":"","family":"Rogala","given":"Anna","non-dropping-particle":"","parse-names":false,"suffix":""},{"dropping-particle":"","family":"Vis","given":"Christiaan","non-dropping-particle":"","parse-names":false,"suffix":""},{"dropping-particle":"","family":"Draisma","given":"Stasja","non-dropping-particle":"","parse-names":false,"suffix":""},{"dropping-particle":"","family":"Schaik","given":"Anneke","non-dropping-particle":"van","parse-names":false,"suffix":""},{"dropping-particle":"","family":"Kemmeren","given":"Lise","non-dropping-particle":"","parse-names":false,"suffix":""},{"dropping-particle":"","family":"Ebert","given":"David","non-dropping-particle":"","parse-names":false,"suffix":""},{"dropping-particle":"","family":"Berking","given":"Matthias","non-dropping-particle":"","parse-names":false,"suffix":""},{"dropping-particle":"","family":"Funk","given":"Burkhardt","non-dropping-particle":"","parse-names":false,"suffix":""},{"dropping-particle":"","family":"Cuijpers","given":"Pim","non-dropping-particle":"","parse-names":false,"suffix":""},{"dropping-particle":"","family":"Riper","given":"Heleen","non-dropping-particle":"","parse-names":false,"suffix":""}],"container-title":"Trials","id":"ITEM-2","issue":"1","issued":{"date-parts":[["2016","12","3"]]},"page":"387","publisher":"BioMed Central","title":"European COMPARative Effectiveness research on blended Depression treatment versus treatment-as-usual (E-COMPARED): study protocol for a randomized controlled, non-inferiority trial in eight European countries","type":"article-journal","volume":"17"},"uris":["http://www.mendeley.com/documents/?uuid=dd37427c-ff6b-3d62-a674-06d5d743002c"]}],"mendeley":{"formattedCitation":"(Vis &lt;i&gt;et al.&lt;/i&gt;, 2015; Kleiboer &lt;i&gt;et al.&lt;/i&gt;, 2016)","plainTextFormattedCitation":"(Vis et al., 2015; Kleiboer et al., 2016)","previouslyFormattedCitation":"(Vis &lt;i&gt;et al.&lt;/i&gt;, 2015; Kleiboer &lt;i&gt;et al.&lt;/i&gt;, 2016)"},"properties":{"noteIndex":0},"schema":"https://github.com/citation-style-language/schema/raw/master/csl-citation.json"}</w:instrText>
      </w:r>
      <w:r>
        <w:fldChar w:fldCharType="separate"/>
      </w:r>
      <w:r w:rsidRPr="006A69C9">
        <w:rPr>
          <w:noProof/>
        </w:rPr>
        <w:t xml:space="preserve">(Vis </w:t>
      </w:r>
      <w:r w:rsidRPr="006A69C9">
        <w:rPr>
          <w:i/>
          <w:noProof/>
        </w:rPr>
        <w:t>et al.</w:t>
      </w:r>
      <w:r w:rsidRPr="006A69C9">
        <w:rPr>
          <w:noProof/>
        </w:rPr>
        <w:t xml:space="preserve">, 2015; Kleiboer </w:t>
      </w:r>
      <w:r w:rsidRPr="006A69C9">
        <w:rPr>
          <w:i/>
          <w:noProof/>
        </w:rPr>
        <w:t>et al.</w:t>
      </w:r>
      <w:r w:rsidRPr="006A69C9">
        <w:rPr>
          <w:noProof/>
        </w:rPr>
        <w:t>, 2016)</w:t>
      </w:r>
      <w:r>
        <w:fldChar w:fldCharType="end"/>
      </w:r>
      <w:r>
        <w:t xml:space="preserve"> and it has been</w:t>
      </w:r>
      <w:r w:rsidRPr="007E0442">
        <w:t xml:space="preserve"> highlighted that there is a need to establish and optimise potential reach and uptake of these </w:t>
      </w:r>
      <w:r>
        <w:t>e-therapies</w:t>
      </w:r>
      <w:r w:rsidRPr="007E0442">
        <w:t xml:space="preserve"> through the use</w:t>
      </w:r>
      <w:r>
        <w:t xml:space="preserve"> of methods used in</w:t>
      </w:r>
      <w:r w:rsidRPr="00293C62">
        <w:t xml:space="preserve"> engineering and computer science</w:t>
      </w:r>
      <w:r w:rsidRPr="004957FC">
        <w:t xml:space="preserve"> </w:t>
      </w:r>
      <w:r w:rsidRPr="007E0442">
        <w:fldChar w:fldCharType="begin" w:fldLock="1"/>
      </w:r>
      <w:r>
        <w:instrText>ADDIN CSL_CITATION {"citationItems":[{"id":"ITEM-1","itemData":{"DOI":"10.1016/J.AMEPRE.2016.06.008","ISSN":"0749-3797","abstract":"Digital health interventions have enormous potential as scalable tools to improve health and healthcare delivery by improving effectiveness, efficiency, accessibility, safety, and personalization. Achieving these improvements requires a cumulative knowledge base to inform development and deployment of digital health interventions. However, evaluations of digital health interventions present special challenges. This paper aims to examine these challenges and outline an evaluation strategy in terms of the research questions needed to appraise such interventions. As they are at the intersection of biomedical, behavioral, computing, and engineering research, methods drawn from all of these disciplines are required. Relevant research questions include defining the problem and the likely benefit of the digital health intervention, which in turn requires establishing the likely reach and uptake of the intervention, the causal model describing how the intervention will achieve its intended benefit, key components, and how they interact with one another, and estimating overall benefit in terms of effectiveness, cost effectiveness, and harms. Although RCTs are important for evaluation of effectiveness and cost effectiveness, they are best undertaken only when: (1) the intervention and its delivery package are stable; (2) these can be implemented with high fidelity; and (3) there is a reasonable likelihood that the overall benefits will be clinically meaningful (improved outcomes or equivalent outcomes at lower cost). Broadening the portfolio of research questions and evaluation methods will help with developing the necessary knowledge base to inform decisions on policy, practice, and research.","author":[{"dropping-particle":"","family":"Murray","given":"Elizabeth","non-dropping-particle":"","parse-names":false,"suffix":""},{"dropping-particle":"","family":"Hekler","given":"Eric B.","non-dropping-particle":"","parse-names":false,"suffix":""},{"dropping-particle":"","family":"Andersson","given":"Gerhard","non-dropping-particle":"","parse-names":false,"suffix":""},{"dropping-particle":"","family":"Collins","given":"Linda M.","non-dropping-particle":"","parse-names":false,"suffix":""},{"dropping-particle":"","family":"Doherty","given":"Aiden","non-dropping-particle":"","parse-names":false,"suffix":""},{"dropping-particle":"","family":"Hollis","given":"Chris","non-dropping-particle":"","parse-names":false,"suffix":""},{"dropping-particle":"","family":"Rivera","given":"Daniel E.","non-dropping-particle":"","parse-names":false,"suffix":""},{"dropping-particle":"","family":"West","given":"Robert","non-dropping-particle":"","parse-names":false,"suffix":""},{"dropping-particle":"","family":"Wyatt","given":"Jeremy C.","non-dropping-particle":"","parse-names":false,"suffix":""}],"container-title":"American Journal of Preventive Medicine","id":"ITEM-1","issue":"5","issued":{"date-parts":[["2016","11","1"]]},"page":"843-851","publisher":"Elsevier","title":"Evaluating Digital Health Interventions: Key Questions and Approaches","type":"article-journal","volume":"51"},"uris":["http://www.mendeley.com/documents/?uuid=f2002ac8-cdef-3f91-ab64-36bc73a85886"]}],"mendeley":{"formattedCitation":"(Murray &lt;i&gt;et al.&lt;/i&gt;, 2016)","manualFormatting":"(Murray et al., 2016)","plainTextFormattedCitation":"(Murray et al., 2016)","previouslyFormattedCitation":"(Murray &lt;i&gt;et al.&lt;/i&gt;, 2016)"},"properties":{"noteIndex":0},"schema":"https://github.com/citation-style-language/schema/raw/master/csl-citation.json"}</w:instrText>
      </w:r>
      <w:r w:rsidRPr="007E0442">
        <w:fldChar w:fldCharType="separate"/>
      </w:r>
      <w:r w:rsidRPr="007E0442">
        <w:rPr>
          <w:noProof/>
        </w:rPr>
        <w:t xml:space="preserve">(Murray </w:t>
      </w:r>
      <w:r w:rsidRPr="00C40BD1">
        <w:rPr>
          <w:i/>
          <w:noProof/>
        </w:rPr>
        <w:t>et al</w:t>
      </w:r>
      <w:r>
        <w:rPr>
          <w:i/>
          <w:noProof/>
        </w:rPr>
        <w:t>.,</w:t>
      </w:r>
      <w:r w:rsidRPr="007E0442">
        <w:rPr>
          <w:noProof/>
        </w:rPr>
        <w:t xml:space="preserve"> 2016)</w:t>
      </w:r>
      <w:r w:rsidRPr="007E0442">
        <w:fldChar w:fldCharType="end"/>
      </w:r>
      <w:r>
        <w:t>.</w:t>
      </w:r>
    </w:p>
    <w:p w14:paraId="418E7548" w14:textId="2FCBA4B5" w:rsidR="00111E4D" w:rsidRPr="007E0442" w:rsidRDefault="00111E4D" w:rsidP="00111E4D">
      <w:r>
        <w:t>W</w:t>
      </w:r>
      <w:r w:rsidRPr="007E0442">
        <w:t xml:space="preserve">idespread use of International Organisation for Standardization (ISO) guidelines and techniques to guide usability evaluations in </w:t>
      </w:r>
      <w:r>
        <w:t>e-therapies</w:t>
      </w:r>
      <w:r w:rsidRPr="007E0442">
        <w:t xml:space="preserve"> for mental health would enable the usability of </w:t>
      </w:r>
      <w:r>
        <w:t>e-therapies</w:t>
      </w:r>
      <w:r w:rsidRPr="007E0442">
        <w:t xml:space="preserve"> for mental health to become more methodical</w:t>
      </w:r>
      <w:r>
        <w:t xml:space="preserve"> and</w:t>
      </w:r>
      <w:r w:rsidRPr="007E0442">
        <w:t xml:space="preserve"> complete</w:t>
      </w:r>
      <w:r>
        <w:t xml:space="preserve">, enabling </w:t>
      </w:r>
      <w:r w:rsidRPr="001D09AC">
        <w:rPr>
          <w:noProof/>
        </w:rPr>
        <w:t>a science</w:t>
      </w:r>
      <w:r>
        <w:t xml:space="preserve"> to be built around e-therapy</w:t>
      </w:r>
      <w:r w:rsidRPr="007E0442">
        <w:t xml:space="preserve"> usability.</w:t>
      </w:r>
      <w:r>
        <w:t xml:space="preserve">  A more </w:t>
      </w:r>
      <w:r w:rsidRPr="001D09AC">
        <w:rPr>
          <w:noProof/>
        </w:rPr>
        <w:t>regimented</w:t>
      </w:r>
      <w:r>
        <w:t xml:space="preserve"> approach would also enable comparisons between e-therapies to be made.</w:t>
      </w:r>
      <w:r w:rsidR="00554CB4">
        <w:t xml:space="preserve">  </w:t>
      </w:r>
      <w:r>
        <w:t xml:space="preserve">Some researchers have assessed participant ratings of interactive elements and core design choices through custom post-feedback questionnaires such as </w:t>
      </w:r>
      <w:r w:rsidRPr="00106D2E">
        <w:rPr>
          <w:noProof/>
        </w:rPr>
        <w:t xml:space="preserve">Cavanagh </w:t>
      </w:r>
      <w:r w:rsidRPr="00106D2E">
        <w:rPr>
          <w:i/>
          <w:noProof/>
        </w:rPr>
        <w:t>et al.</w:t>
      </w:r>
      <w:r>
        <w:t xml:space="preserve"> </w:t>
      </w:r>
      <w:r>
        <w:fldChar w:fldCharType="begin" w:fldLock="1"/>
      </w:r>
      <w:r w:rsidR="000B6CC8">
        <w:instrText>ADDIN CSL_CITATION {"citationItems":[{"id":"ITEM-1","itemData":{"DOI":"10.1080/16506070802561256","ISSN":"1650-6073","abstract":"The clinical and cost-effectiveness of a computer-aided cognitive behavioural therapy (CCBT) programme, Beating the Blues, is indicated by a number of studies, but relatively little is known about its acceptability for patients with depression, anxiety, or both. This study investigated the acceptability of Beating the Blues offered on eight scheduled clinic visits with brief face-to-face support. Pre and posttreatment measures explored the relationship among programme acceptability, treatment continuation, and outcomes for people accessing the programme in routine care. Two hundred and nineteen patients with depression, anxiety, or both were offered Beating the Blues in 11 primary and secondary care practices. One hundred and ninety-one (87%) completed the pretreatment measures and 84 (38%) completed a treatment feedback questionnaire. Analysis of treatment acceptability for CCBT indicated a positive patient experience with the programme. Pretreatment expectancies predicted CCBT treatment completion but n...","author":[{"dropping-particle":"","family":"Cavanagh","given":"Kate","non-dropping-particle":"","parse-names":false,"suffix":""},{"dropping-particle":"","family":"Shapiro","given":"David Alan","non-dropping-particle":"","parse-names":false,"suffix":""},{"dropping-particle":"","family":"Berg","given":"Susan","non-dropping-particle":"Van Den","parse-names":false,"suffix":""},{"dropping-particle":"","family":"Swain","given":"Sharon","non-dropping-particle":"","parse-names":false,"suffix":""},{"dropping-particle":"","family":"Barkham","given":"Michael","non-dropping-particle":"","parse-names":false,"suffix":""},{"dropping-particle":"","family":"Proudfoot","given":"Judy","non-dropping-particle":"","parse-names":false,"suffix":""}],"container-title":"Cognitive Behaviour Therapy","id":"ITEM-1","issue":"4","issued":{"date-parts":[["2009","12","18"]]},"page":"235-246","publisher":" Taylor &amp; Francis Group ","title":"The Acceptability of Computer-Aided Cognitive Behavioural Therapy: A Pragmatic Study","type":"article-journal","volume":"38"},"uris":["http://www.mendeley.com/documents/?uuid=f2d89cda-0c22-31f1-815e-8ddb4a9960eb"]}],"mendeley":{"formattedCitation":"(Cavanagh &lt;i&gt;et al.&lt;/i&gt;, 2009a)","manualFormatting":"(2009)","plainTextFormattedCitation":"(Cavanagh et al., 2009a)","previouslyFormattedCitation":"(Cavanagh &lt;i&gt;et al.&lt;/i&gt;, 2009a)"},"properties":{"noteIndex":0},"schema":"https://github.com/citation-style-language/schema/raw/master/csl-citation.json"}</w:instrText>
      </w:r>
      <w:r>
        <w:fldChar w:fldCharType="separate"/>
      </w:r>
      <w:r w:rsidRPr="00106D2E">
        <w:rPr>
          <w:noProof/>
        </w:rPr>
        <w:t>(2009)</w:t>
      </w:r>
      <w:r>
        <w:fldChar w:fldCharType="end"/>
      </w:r>
      <w:r>
        <w:t xml:space="preserve"> in which a Posttreatment Feedback Question for Computerised Cognitive Behaviour Therapy (PFQ-CCBT) was implemented to collect feedback data regarding the features, satisfaction, helpfulness of the program.  Out of those who gave feedback, </w:t>
      </w:r>
      <w:r w:rsidRPr="004F0BAC">
        <w:t>89% rated the program as very or quite helpful</w:t>
      </w:r>
      <w:r>
        <w:t>, and women were more positive in their feedback and reported the program as more helpful than men (Cavanagh et al., 2009)</w:t>
      </w:r>
      <w:r w:rsidRPr="004F0BAC">
        <w:t>.</w:t>
      </w:r>
      <w:r>
        <w:t xml:space="preserve">  E-therapy researchers should consider assessing goal achievement through </w:t>
      </w:r>
      <w:r w:rsidRPr="001D09AC">
        <w:rPr>
          <w:noProof/>
        </w:rPr>
        <w:t>long standing</w:t>
      </w:r>
      <w:r>
        <w:t xml:space="preserve"> HCI usability metrics to obtain a more detailed depiction of the usability of e-therapies for mental health.  These HCI usability metrics can then be compared with other</w:t>
      </w:r>
      <w:r w:rsidRPr="007E0442">
        <w:t xml:space="preserve"> factors </w:t>
      </w:r>
      <w:r>
        <w:t xml:space="preserve">of e-therapy via </w:t>
      </w:r>
      <w:r w:rsidRPr="001D09AC">
        <w:rPr>
          <w:noProof/>
        </w:rPr>
        <w:t>psychological</w:t>
      </w:r>
      <w:r>
        <w:t xml:space="preserve"> based metrics of therapeutic credibility, therapeutic expectancy and the therapeutic re</w:t>
      </w:r>
      <w:r w:rsidRPr="007E0442">
        <w:t>lationship</w:t>
      </w:r>
      <w:r>
        <w:t xml:space="preserve"> bridging together the fields of computer science and psychology</w:t>
      </w:r>
      <w:r w:rsidRPr="007E0442">
        <w:t>.</w:t>
      </w:r>
    </w:p>
    <w:p w14:paraId="11361124" w14:textId="77777777" w:rsidR="00111E4D" w:rsidRDefault="00111E4D" w:rsidP="00111E4D">
      <w:pPr>
        <w:pStyle w:val="Heading2"/>
      </w:pPr>
      <w:bookmarkStart w:id="314" w:name="_Toc530598172"/>
      <w:bookmarkStart w:id="315" w:name="_Toc530660525"/>
      <w:bookmarkStart w:id="316" w:name="_Toc3538126"/>
      <w:r w:rsidRPr="00500874">
        <w:t>Measuring Usability</w:t>
      </w:r>
      <w:bookmarkEnd w:id="314"/>
      <w:bookmarkEnd w:id="315"/>
      <w:bookmarkEnd w:id="316"/>
    </w:p>
    <w:p w14:paraId="623C5E94" w14:textId="77777777" w:rsidR="00111E4D" w:rsidRDefault="00111E4D" w:rsidP="00111E4D">
      <w:r w:rsidRPr="00780663">
        <w:rPr>
          <w:noProof/>
        </w:rPr>
        <w:t xml:space="preserve">There are a number of different methods </w:t>
      </w:r>
      <w:r>
        <w:rPr>
          <w:noProof/>
        </w:rPr>
        <w:t>to</w:t>
      </w:r>
      <w:r>
        <w:t xml:space="preserve"> measure usability.</w:t>
      </w:r>
    </w:p>
    <w:p w14:paraId="41053F10" w14:textId="7A6C4680" w:rsidR="00111E4D" w:rsidRPr="00CD5E11" w:rsidRDefault="00111E4D" w:rsidP="00111E4D">
      <w:pPr>
        <w:rPr>
          <w:noProof/>
        </w:rPr>
      </w:pPr>
      <w:r w:rsidRPr="00CC59E3">
        <w:t>The</w:t>
      </w:r>
      <w:r w:rsidR="0044675E">
        <w:t xml:space="preserve"> </w:t>
      </w:r>
      <w:r w:rsidRPr="00CC59E3">
        <w:t xml:space="preserve">ISO/IEC 25022 </w:t>
      </w:r>
      <w:r w:rsidRPr="00CC59E3">
        <w:fldChar w:fldCharType="begin" w:fldLock="1"/>
      </w:r>
      <w:r w:rsidRPr="00CC59E3">
        <w:instrText>ADDIN CSL_CITATION {"citationItems":[{"id":"ITEM-1","itemData":{"abstract":"This International Standard is intended to be used in conjunction with ISO/IEC 25010 and the other parts of the SQuaRE series (ISO/IEC 25000 – ISO/IEC 25099) of standards. ISO/IEC 25010 defines a system and software quality model with terms for the characteristics and subcharacteristics. ISO/IEC 25010, however, does not describe how these subcharacteristics could be measured. This International Standard specifies measures for system quality in use, ISO/IEC 25023 specifies measures for product quality and ISO/IEC 25024 defines specifies measures for data quality.","author":[{"dropping-particle":"","family":"ISO","given":"","non-dropping-particle":"","parse-names":false,"suffix":""}],"id":"ITEM-1","issued":{"date-parts":[["2016"]]},"page":"31-32","title":"Systems and software engineering - Systems and software Quality Requirements and Evaluation ( SQuaRE ) – Measurement of quality in use","type":"article-journal"},"uris":["http://www.mendeley.com/documents/?uuid=626acc1f-15da-4c9b-a180-4eab330e577e"]}],"mendeley":{"formattedCitation":"(ISO, 2016)","plainTextFormattedCitation":"(ISO, 2016)","previouslyFormattedCitation":"(ISO, 2016)"},"properties":{"noteIndex":0},"schema":"https://github.com/citation-style-language/schema/raw/master/csl-citation.json"}</w:instrText>
      </w:r>
      <w:r w:rsidRPr="00CC59E3">
        <w:fldChar w:fldCharType="separate"/>
      </w:r>
      <w:r w:rsidRPr="00CC59E3">
        <w:rPr>
          <w:noProof/>
        </w:rPr>
        <w:t>(ISO, 2016)</w:t>
      </w:r>
      <w:r w:rsidRPr="00CC59E3">
        <w:fldChar w:fldCharType="end"/>
      </w:r>
      <w:r w:rsidR="0044675E">
        <w:t xml:space="preserve"> </w:t>
      </w:r>
      <w:r w:rsidRPr="00CD5E11">
        <w:rPr>
          <w:noProof/>
        </w:rPr>
        <w:t>recommends that usability metrics should include:</w:t>
      </w:r>
    </w:p>
    <w:p w14:paraId="015126DA" w14:textId="6EDDDAE2" w:rsidR="00111E4D" w:rsidRPr="00CD5E11" w:rsidRDefault="00111E4D" w:rsidP="00E31AB0">
      <w:pPr>
        <w:pStyle w:val="ListParagraph"/>
        <w:numPr>
          <w:ilvl w:val="0"/>
          <w:numId w:val="5"/>
        </w:numPr>
        <w:rPr>
          <w:noProof/>
        </w:rPr>
      </w:pPr>
      <w:r w:rsidRPr="00CD5E11">
        <w:rPr>
          <w:noProof/>
        </w:rPr>
        <w:lastRenderedPageBreak/>
        <w:t>Effectiveness:</w:t>
      </w:r>
      <w:r w:rsidR="0044675E">
        <w:rPr>
          <w:noProof/>
        </w:rPr>
        <w:t xml:space="preserve"> </w:t>
      </w:r>
      <w:r w:rsidRPr="00CD5E11">
        <w:rPr>
          <w:noProof/>
        </w:rPr>
        <w:t>The accuracy and completeness with which users achieve specified goals.</w:t>
      </w:r>
    </w:p>
    <w:p w14:paraId="214C2B1A" w14:textId="774A7D1D" w:rsidR="00111E4D" w:rsidRPr="00CD5E11" w:rsidRDefault="00111E4D" w:rsidP="00E31AB0">
      <w:pPr>
        <w:pStyle w:val="ListParagraph"/>
        <w:numPr>
          <w:ilvl w:val="0"/>
          <w:numId w:val="5"/>
        </w:numPr>
        <w:rPr>
          <w:noProof/>
        </w:rPr>
      </w:pPr>
      <w:r w:rsidRPr="00CD5E11">
        <w:rPr>
          <w:noProof/>
        </w:rPr>
        <w:t>Efficiency:</w:t>
      </w:r>
      <w:r w:rsidR="0044675E">
        <w:rPr>
          <w:noProof/>
        </w:rPr>
        <w:t xml:space="preserve"> </w:t>
      </w:r>
      <w:r w:rsidRPr="00CD5E11">
        <w:rPr>
          <w:noProof/>
        </w:rPr>
        <w:t>The resources expended in relation to the accuracy and completeness with which users achieve goals.</w:t>
      </w:r>
    </w:p>
    <w:p w14:paraId="021E36E1" w14:textId="6B7D5A5B" w:rsidR="00111E4D" w:rsidRPr="00F91958" w:rsidRDefault="00111E4D" w:rsidP="00E31AB0">
      <w:pPr>
        <w:pStyle w:val="ListParagraph"/>
        <w:numPr>
          <w:ilvl w:val="0"/>
          <w:numId w:val="5"/>
        </w:numPr>
      </w:pPr>
      <w:r w:rsidRPr="00CD5E11">
        <w:rPr>
          <w:noProof/>
        </w:rPr>
        <w:t>Satisfaction:</w:t>
      </w:r>
      <w:r w:rsidR="0044675E">
        <w:rPr>
          <w:noProof/>
        </w:rPr>
        <w:t xml:space="preserve"> </w:t>
      </w:r>
      <w:r w:rsidRPr="00CD5E11">
        <w:rPr>
          <w:noProof/>
        </w:rPr>
        <w:t>The comfort and acceptability of use.</w:t>
      </w:r>
    </w:p>
    <w:p w14:paraId="5C2BF7B8" w14:textId="325A2254" w:rsidR="00111E4D" w:rsidRDefault="00111E4D" w:rsidP="00111E4D">
      <w:r w:rsidRPr="0076714F">
        <w:t>ISO/IEC 25022</w:t>
      </w:r>
      <w:r>
        <w:t xml:space="preserve"> also details the measures associated with each of the components of usability (see </w:t>
      </w:r>
      <w:r>
        <w:fldChar w:fldCharType="begin"/>
      </w:r>
      <w:r>
        <w:instrText xml:space="preserve"> REF _Ref530484322 \h </w:instrText>
      </w:r>
      <w:r>
        <w:fldChar w:fldCharType="separate"/>
      </w:r>
      <w:r w:rsidR="00574650">
        <w:t xml:space="preserve">Table </w:t>
      </w:r>
      <w:r w:rsidR="00574650">
        <w:rPr>
          <w:noProof/>
        </w:rPr>
        <w:t>5</w:t>
      </w:r>
      <w:r w:rsidR="00574650">
        <w:t>.</w:t>
      </w:r>
      <w:r w:rsidR="00574650">
        <w:rPr>
          <w:noProof/>
        </w:rPr>
        <w:t>1</w:t>
      </w:r>
      <w:r>
        <w:fldChar w:fldCharType="end"/>
      </w:r>
      <w:r>
        <w:t>).</w:t>
      </w:r>
    </w:p>
    <w:p w14:paraId="1504E58E" w14:textId="5B4408B2" w:rsidR="00111E4D" w:rsidRDefault="00111E4D" w:rsidP="00111E4D">
      <w:pPr>
        <w:pStyle w:val="Caption"/>
        <w:keepNext/>
      </w:pPr>
      <w:bookmarkStart w:id="317" w:name="_Ref530484322"/>
      <w:bookmarkStart w:id="318" w:name="_Toc530759491"/>
      <w:proofErr w:type="gramStart"/>
      <w:r>
        <w:t xml:space="preserve">Table </w:t>
      </w:r>
      <w:r w:rsidR="007E7BB7">
        <w:fldChar w:fldCharType="begin"/>
      </w:r>
      <w:r w:rsidR="007E7BB7">
        <w:instrText xml:space="preserve"> STYLEREF 1 \s </w:instrText>
      </w:r>
      <w:r w:rsidR="007E7BB7">
        <w:fldChar w:fldCharType="separate"/>
      </w:r>
      <w:r w:rsidR="00574650">
        <w:rPr>
          <w:noProof/>
        </w:rPr>
        <w:t>5</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r w:rsidR="00574650">
        <w:rPr>
          <w:noProof/>
        </w:rPr>
        <w:t>1</w:t>
      </w:r>
      <w:r w:rsidR="007E7BB7">
        <w:fldChar w:fldCharType="end"/>
      </w:r>
      <w:bookmarkEnd w:id="317"/>
      <w:r>
        <w:t xml:space="preserve"> </w:t>
      </w:r>
      <w:r w:rsidRPr="00DA00E3">
        <w:t>Measures of effectiveness, efficiency and satisfaction</w:t>
      </w:r>
      <w:r>
        <w:t xml:space="preserve"> </w:t>
      </w:r>
      <w:r>
        <w:fldChar w:fldCharType="begin" w:fldLock="1"/>
      </w:r>
      <w:r>
        <w:instrText>ADDIN CSL_CITATION {"citationItems":[{"id":"ITEM-1","itemData":{"abstract":"This International Standard is intended to be used in conjunction with ISO/IEC 25010 and the other parts of the SQuaRE series (ISO/IEC 25000 – ISO/IEC 25099) of standards. ISO/IEC 25010 defines a system and software quality model with terms for the characteristics and subcharacteristics. ISO/IEC 25010, however, does not describe how these subcharacteristics could be measured. This International Standard specifies measures for system quality in use, ISO/IEC 25023 specifies measures for product quality and ISO/IEC 25024 defines specifies measures for data quality.","author":[{"dropping-particle":"","family":"ISO","given":"","non-dropping-particle":"","parse-names":false,"suffix":""}],"id":"ITEM-1","issued":{"date-parts":[["2016"]]},"page":"31-32","title":"Systems and software engineering - Systems and software Quality Requirements and Evaluation ( SQuaRE ) – Measurement of quality in use","type":"article-journal"},"uris":["http://www.mendeley.com/documents/?uuid=626acc1f-15da-4c9b-a180-4eab330e577e"]}],"mendeley":{"formattedCitation":"(ISO, 2016)","plainTextFormattedCitation":"(ISO, 2016)","previouslyFormattedCitation":"(ISO, 2016)"},"properties":{"noteIndex":0},"schema":"https://github.com/citation-style-language/schema/raw/master/csl-citation.json"}</w:instrText>
      </w:r>
      <w:r>
        <w:fldChar w:fldCharType="separate"/>
      </w:r>
      <w:r w:rsidRPr="00175C19">
        <w:rPr>
          <w:noProof/>
        </w:rPr>
        <w:t>(ISO, 2016)</w:t>
      </w:r>
      <w:bookmarkEnd w:id="318"/>
      <w:r>
        <w:fldChar w:fldCharType="end"/>
      </w:r>
    </w:p>
    <w:tbl>
      <w:tblPr>
        <w:tblStyle w:val="TableGrid"/>
        <w:tblW w:w="4942" w:type="pct"/>
        <w:tblInd w:w="108" w:type="dxa"/>
        <w:tblLook w:val="04A0" w:firstRow="1" w:lastRow="0" w:firstColumn="1" w:lastColumn="0" w:noHBand="0" w:noVBand="1"/>
      </w:tblPr>
      <w:tblGrid>
        <w:gridCol w:w="3261"/>
        <w:gridCol w:w="3378"/>
        <w:gridCol w:w="3380"/>
      </w:tblGrid>
      <w:tr w:rsidR="00111E4D" w:rsidRPr="0076714F" w14:paraId="3D543539" w14:textId="77777777" w:rsidTr="00111E4D">
        <w:tc>
          <w:tcPr>
            <w:tcW w:w="1627" w:type="pct"/>
            <w:shd w:val="clear" w:color="auto" w:fill="E7E6E6" w:themeFill="background2"/>
          </w:tcPr>
          <w:p w14:paraId="77E742B0" w14:textId="77777777" w:rsidR="00111E4D" w:rsidRPr="007E0442" w:rsidRDefault="00111E4D" w:rsidP="00111E4D">
            <w:pPr>
              <w:pStyle w:val="NoSpacing"/>
              <w:jc w:val="center"/>
              <w:rPr>
                <w:b/>
              </w:rPr>
            </w:pPr>
            <w:r w:rsidRPr="007E0442">
              <w:rPr>
                <w:b/>
              </w:rPr>
              <w:t>Effectiveness</w:t>
            </w:r>
          </w:p>
        </w:tc>
        <w:tc>
          <w:tcPr>
            <w:tcW w:w="1686" w:type="pct"/>
            <w:shd w:val="clear" w:color="auto" w:fill="E7E6E6" w:themeFill="background2"/>
          </w:tcPr>
          <w:p w14:paraId="7DF64C6D" w14:textId="77777777" w:rsidR="00111E4D" w:rsidRPr="007E0442" w:rsidRDefault="00111E4D" w:rsidP="00111E4D">
            <w:pPr>
              <w:pStyle w:val="NoSpacing"/>
              <w:jc w:val="center"/>
              <w:rPr>
                <w:b/>
              </w:rPr>
            </w:pPr>
            <w:r w:rsidRPr="007E0442">
              <w:rPr>
                <w:b/>
              </w:rPr>
              <w:t>Efficiency</w:t>
            </w:r>
          </w:p>
        </w:tc>
        <w:tc>
          <w:tcPr>
            <w:tcW w:w="1687" w:type="pct"/>
            <w:shd w:val="clear" w:color="auto" w:fill="E7E6E6" w:themeFill="background2"/>
          </w:tcPr>
          <w:p w14:paraId="6CDEE06A" w14:textId="77777777" w:rsidR="00111E4D" w:rsidRPr="007E0442" w:rsidRDefault="00111E4D" w:rsidP="00111E4D">
            <w:pPr>
              <w:pStyle w:val="NoSpacing"/>
              <w:jc w:val="center"/>
              <w:rPr>
                <w:b/>
              </w:rPr>
            </w:pPr>
            <w:r w:rsidRPr="007E0442">
              <w:rPr>
                <w:b/>
              </w:rPr>
              <w:t>Satisfaction</w:t>
            </w:r>
          </w:p>
        </w:tc>
      </w:tr>
      <w:tr w:rsidR="00111E4D" w:rsidRPr="0076714F" w14:paraId="7E6BC74B" w14:textId="77777777" w:rsidTr="00111E4D">
        <w:trPr>
          <w:trHeight w:val="3162"/>
        </w:trPr>
        <w:tc>
          <w:tcPr>
            <w:tcW w:w="1627" w:type="pct"/>
          </w:tcPr>
          <w:p w14:paraId="628AA924" w14:textId="77777777" w:rsidR="00111E4D" w:rsidRPr="007E0442" w:rsidRDefault="00111E4D" w:rsidP="00E31AB0">
            <w:pPr>
              <w:pStyle w:val="NoSpacing"/>
              <w:numPr>
                <w:ilvl w:val="0"/>
                <w:numId w:val="4"/>
              </w:numPr>
            </w:pPr>
            <w:r w:rsidRPr="007E0442">
              <w:t xml:space="preserve">Tasks completed </w:t>
            </w:r>
          </w:p>
          <w:p w14:paraId="7C87B752" w14:textId="77777777" w:rsidR="00111E4D" w:rsidRPr="007E0442" w:rsidRDefault="00111E4D" w:rsidP="00E31AB0">
            <w:pPr>
              <w:pStyle w:val="NoSpacing"/>
              <w:numPr>
                <w:ilvl w:val="0"/>
                <w:numId w:val="4"/>
              </w:numPr>
            </w:pPr>
            <w:r w:rsidRPr="007E0442">
              <w:t xml:space="preserve">Objectives achieved </w:t>
            </w:r>
          </w:p>
          <w:p w14:paraId="7D90BE8B" w14:textId="77777777" w:rsidR="00111E4D" w:rsidRPr="007E0442" w:rsidRDefault="00111E4D" w:rsidP="00E31AB0">
            <w:pPr>
              <w:pStyle w:val="NoSpacing"/>
              <w:numPr>
                <w:ilvl w:val="0"/>
                <w:numId w:val="4"/>
              </w:numPr>
            </w:pPr>
            <w:r w:rsidRPr="007E0442">
              <w:t xml:space="preserve">Errors in a task </w:t>
            </w:r>
          </w:p>
          <w:p w14:paraId="34EAE125" w14:textId="77777777" w:rsidR="00111E4D" w:rsidRPr="007E0442" w:rsidRDefault="00111E4D" w:rsidP="00E31AB0">
            <w:pPr>
              <w:pStyle w:val="NoSpacing"/>
              <w:numPr>
                <w:ilvl w:val="0"/>
                <w:numId w:val="4"/>
              </w:numPr>
            </w:pPr>
            <w:r w:rsidRPr="007E0442">
              <w:t xml:space="preserve">Tasks with errors </w:t>
            </w:r>
          </w:p>
          <w:p w14:paraId="31CC0BA7" w14:textId="77777777" w:rsidR="00111E4D" w:rsidRPr="007E0442" w:rsidRDefault="00111E4D" w:rsidP="00E31AB0">
            <w:pPr>
              <w:pStyle w:val="NoSpacing"/>
              <w:numPr>
                <w:ilvl w:val="0"/>
                <w:numId w:val="4"/>
              </w:numPr>
            </w:pPr>
            <w:r w:rsidRPr="007E0442">
              <w:t>Task error intensity</w:t>
            </w:r>
          </w:p>
        </w:tc>
        <w:tc>
          <w:tcPr>
            <w:tcW w:w="1686" w:type="pct"/>
          </w:tcPr>
          <w:p w14:paraId="7BE7DCE2" w14:textId="77777777" w:rsidR="00111E4D" w:rsidRPr="007E0442" w:rsidRDefault="00111E4D" w:rsidP="00E31AB0">
            <w:pPr>
              <w:pStyle w:val="NoSpacing"/>
              <w:numPr>
                <w:ilvl w:val="0"/>
                <w:numId w:val="4"/>
              </w:numPr>
            </w:pPr>
            <w:r w:rsidRPr="007E0442">
              <w:t>Task time</w:t>
            </w:r>
          </w:p>
          <w:p w14:paraId="0911B46E" w14:textId="77777777" w:rsidR="00111E4D" w:rsidRPr="007E0442" w:rsidRDefault="00111E4D" w:rsidP="00E31AB0">
            <w:pPr>
              <w:pStyle w:val="NoSpacing"/>
              <w:numPr>
                <w:ilvl w:val="0"/>
                <w:numId w:val="4"/>
              </w:numPr>
            </w:pPr>
            <w:r w:rsidRPr="007E0442">
              <w:t xml:space="preserve">Time efficiency </w:t>
            </w:r>
          </w:p>
          <w:p w14:paraId="074389DA" w14:textId="77777777" w:rsidR="00111E4D" w:rsidRPr="007E0442" w:rsidRDefault="00111E4D" w:rsidP="00E31AB0">
            <w:pPr>
              <w:pStyle w:val="NoSpacing"/>
              <w:numPr>
                <w:ilvl w:val="0"/>
                <w:numId w:val="4"/>
              </w:numPr>
            </w:pPr>
            <w:r w:rsidRPr="007E0442">
              <w:t xml:space="preserve">Cost-effectiveness </w:t>
            </w:r>
          </w:p>
          <w:p w14:paraId="450C11EA" w14:textId="77777777" w:rsidR="00111E4D" w:rsidRDefault="00111E4D" w:rsidP="00E31AB0">
            <w:pPr>
              <w:pStyle w:val="NoSpacing"/>
              <w:numPr>
                <w:ilvl w:val="0"/>
                <w:numId w:val="4"/>
              </w:numPr>
            </w:pPr>
            <w:r w:rsidRPr="007E0442">
              <w:t xml:space="preserve">Productive time ratio </w:t>
            </w:r>
          </w:p>
          <w:p w14:paraId="7B180DCE" w14:textId="77777777" w:rsidR="00111E4D" w:rsidRPr="007E0442" w:rsidRDefault="00111E4D" w:rsidP="00E31AB0">
            <w:pPr>
              <w:pStyle w:val="NoSpacing"/>
              <w:numPr>
                <w:ilvl w:val="0"/>
                <w:numId w:val="4"/>
              </w:numPr>
            </w:pPr>
            <w:r w:rsidRPr="007E0442">
              <w:t xml:space="preserve">Unnecessary actions </w:t>
            </w:r>
          </w:p>
          <w:p w14:paraId="64D682D5" w14:textId="77777777" w:rsidR="00111E4D" w:rsidRPr="007E0442" w:rsidRDefault="00111E4D" w:rsidP="00E31AB0">
            <w:pPr>
              <w:pStyle w:val="NoSpacing"/>
              <w:numPr>
                <w:ilvl w:val="0"/>
                <w:numId w:val="4"/>
              </w:numPr>
            </w:pPr>
            <w:r w:rsidRPr="007E0442">
              <w:t>Fatigue</w:t>
            </w:r>
          </w:p>
        </w:tc>
        <w:tc>
          <w:tcPr>
            <w:tcW w:w="1687" w:type="pct"/>
          </w:tcPr>
          <w:p w14:paraId="14660DE8" w14:textId="77777777" w:rsidR="00111E4D" w:rsidRPr="007E0442" w:rsidRDefault="00111E4D" w:rsidP="00E31AB0">
            <w:pPr>
              <w:pStyle w:val="NoSpacing"/>
              <w:numPr>
                <w:ilvl w:val="0"/>
                <w:numId w:val="4"/>
              </w:numPr>
            </w:pPr>
            <w:r w:rsidRPr="007E0442">
              <w:t xml:space="preserve">Overall satisfaction </w:t>
            </w:r>
          </w:p>
          <w:p w14:paraId="2A303FAB" w14:textId="77777777" w:rsidR="00111E4D" w:rsidRPr="007E0442" w:rsidRDefault="00111E4D" w:rsidP="00E31AB0">
            <w:pPr>
              <w:pStyle w:val="NoSpacing"/>
              <w:numPr>
                <w:ilvl w:val="0"/>
                <w:numId w:val="4"/>
              </w:numPr>
            </w:pPr>
            <w:r w:rsidRPr="007E0442">
              <w:t>Satisfaction with features Discretionary usage</w:t>
            </w:r>
          </w:p>
          <w:p w14:paraId="18075A6A" w14:textId="77777777" w:rsidR="00111E4D" w:rsidRPr="007E0442" w:rsidRDefault="00111E4D" w:rsidP="00E31AB0">
            <w:pPr>
              <w:pStyle w:val="NoSpacing"/>
              <w:numPr>
                <w:ilvl w:val="0"/>
                <w:numId w:val="4"/>
              </w:numPr>
            </w:pPr>
            <w:r w:rsidRPr="007E0442">
              <w:t xml:space="preserve">Feature </w:t>
            </w:r>
            <w:r w:rsidRPr="0015546D">
              <w:t>utilisation</w:t>
            </w:r>
          </w:p>
          <w:p w14:paraId="6D245F6F" w14:textId="77777777" w:rsidR="00111E4D" w:rsidRPr="007E0442" w:rsidRDefault="00111E4D" w:rsidP="00E31AB0">
            <w:pPr>
              <w:pStyle w:val="NoSpacing"/>
              <w:numPr>
                <w:ilvl w:val="0"/>
                <w:numId w:val="4"/>
              </w:numPr>
            </w:pPr>
            <w:r w:rsidRPr="007E0442">
              <w:t xml:space="preserve">Proportion of users complaining </w:t>
            </w:r>
          </w:p>
          <w:p w14:paraId="276E17BE" w14:textId="77777777" w:rsidR="00111E4D" w:rsidRPr="007E0442" w:rsidRDefault="00111E4D" w:rsidP="00E31AB0">
            <w:pPr>
              <w:pStyle w:val="NoSpacing"/>
              <w:numPr>
                <w:ilvl w:val="0"/>
                <w:numId w:val="4"/>
              </w:numPr>
            </w:pPr>
            <w:r w:rsidRPr="007E0442">
              <w:t xml:space="preserve">Proportion of user complaints about a particular feature </w:t>
            </w:r>
          </w:p>
          <w:p w14:paraId="45919596" w14:textId="77777777" w:rsidR="00111E4D" w:rsidRPr="007E0442" w:rsidRDefault="00111E4D" w:rsidP="00E31AB0">
            <w:pPr>
              <w:pStyle w:val="NoSpacing"/>
              <w:numPr>
                <w:ilvl w:val="0"/>
                <w:numId w:val="4"/>
              </w:numPr>
            </w:pPr>
            <w:r w:rsidRPr="007E0442">
              <w:t xml:space="preserve">User trust </w:t>
            </w:r>
          </w:p>
          <w:p w14:paraId="7D2472DB" w14:textId="77777777" w:rsidR="00111E4D" w:rsidRPr="007E0442" w:rsidRDefault="00111E4D" w:rsidP="00E31AB0">
            <w:pPr>
              <w:pStyle w:val="NoSpacing"/>
              <w:numPr>
                <w:ilvl w:val="0"/>
                <w:numId w:val="4"/>
              </w:numPr>
            </w:pPr>
            <w:r w:rsidRPr="007E0442">
              <w:t xml:space="preserve">User pleasure </w:t>
            </w:r>
          </w:p>
          <w:p w14:paraId="7A5733D1" w14:textId="77777777" w:rsidR="00111E4D" w:rsidRPr="007E0442" w:rsidRDefault="00111E4D" w:rsidP="00E31AB0">
            <w:pPr>
              <w:pStyle w:val="NoSpacing"/>
              <w:numPr>
                <w:ilvl w:val="0"/>
                <w:numId w:val="4"/>
              </w:numPr>
            </w:pPr>
            <w:r w:rsidRPr="007E0442">
              <w:t>Physical comfort</w:t>
            </w:r>
          </w:p>
        </w:tc>
      </w:tr>
    </w:tbl>
    <w:p w14:paraId="07C97785" w14:textId="055207BB" w:rsidR="00111E4D" w:rsidRDefault="00111E4D" w:rsidP="00111E4D">
      <w:r>
        <w:br/>
        <w:t xml:space="preserve">A quantitative method for determining usability is outlined in </w:t>
      </w:r>
      <w:r w:rsidRPr="00956E66">
        <w:t>ISO 9241-11</w:t>
      </w:r>
      <w:r>
        <w:t xml:space="preserve"> and consists of specific metrics regarding how well a user fulfils specific goals (</w:t>
      </w:r>
      <w:r>
        <w:fldChar w:fldCharType="begin"/>
      </w:r>
      <w:r>
        <w:instrText xml:space="preserve"> REF _Ref530428267 \h </w:instrText>
      </w:r>
      <w:r>
        <w:fldChar w:fldCharType="separate"/>
      </w:r>
      <w:r w:rsidR="00574650">
        <w:t xml:space="preserve">Figure </w:t>
      </w:r>
      <w:r w:rsidR="00574650">
        <w:rPr>
          <w:noProof/>
        </w:rPr>
        <w:t>5</w:t>
      </w:r>
      <w:r w:rsidR="00574650">
        <w:t>.</w:t>
      </w:r>
      <w:r w:rsidR="00574650">
        <w:rPr>
          <w:noProof/>
        </w:rPr>
        <w:t>1</w:t>
      </w:r>
      <w:r>
        <w:fldChar w:fldCharType="end"/>
      </w:r>
      <w:r>
        <w:t>;</w:t>
      </w:r>
      <w:r>
        <w:fldChar w:fldCharType="begin" w:fldLock="1"/>
      </w:r>
      <w:r>
        <w:instrText>ADDIN CSL_CITATION {"citationItems":[{"id":"ITEM-1","itemData":{"URL":"https://www.iso.org/obp/ui/fr/#iso:std:iso:9241:-11:ed-2:v1:en","accessed":{"date-parts":[["2018","4","10"]]},"author":[{"dropping-particle":"","family":"ISO","given":"","non-dropping-particle":"","parse-names":false,"suffix":""}],"id":"ITEM-1","issued":{"date-parts":[["2018"]]},"title":"ISO 9241-11:2018(en), Ergonomics of human-system interaction — Part 11: Usability: Definitions and concepts","type":"webpage"},"uris":["http://www.mendeley.com/documents/?uuid=3ab1d37f-7a18-3cb4-8748-92a92807c125"]}],"mendeley":{"formattedCitation":"(ISO, 2018)","manualFormatting":" ISO, 2018)","plainTextFormattedCitation":"(ISO, 2018)","previouslyFormattedCitation":"(ISO, 2018)"},"properties":{"noteIndex":0},"schema":"https://github.com/citation-style-language/schema/raw/master/csl-citation.json"}</w:instrText>
      </w:r>
      <w:r>
        <w:fldChar w:fldCharType="separate"/>
      </w:r>
      <w:r>
        <w:rPr>
          <w:noProof/>
        </w:rPr>
        <w:t xml:space="preserve"> </w:t>
      </w:r>
      <w:r w:rsidRPr="00575276">
        <w:rPr>
          <w:noProof/>
        </w:rPr>
        <w:t>ISO, 2018)</w:t>
      </w:r>
      <w:r>
        <w:fldChar w:fldCharType="end"/>
      </w:r>
      <w:r>
        <w:t xml:space="preserve">.  The method incorporates users early on </w:t>
      </w:r>
      <w:r w:rsidRPr="00956E66">
        <w:t>and often throughout all steps of the design and development process.</w:t>
      </w:r>
    </w:p>
    <w:p w14:paraId="56FAD2C0" w14:textId="4BEA94AD" w:rsidR="00111E4D" w:rsidRDefault="00111E4D" w:rsidP="00111E4D">
      <w:pPr>
        <w:pStyle w:val="Caption"/>
        <w:keepNext/>
      </w:pPr>
      <w:bookmarkStart w:id="319" w:name="_Ref530428267"/>
      <w:bookmarkStart w:id="320" w:name="_Toc530684660"/>
      <w:proofErr w:type="gramStart"/>
      <w:r>
        <w:t xml:space="preserve">Figure </w:t>
      </w:r>
      <w:r w:rsidR="00371DCC">
        <w:fldChar w:fldCharType="begin"/>
      </w:r>
      <w:r w:rsidR="00371DCC">
        <w:instrText xml:space="preserve"> STYLEREF 1 \s </w:instrText>
      </w:r>
      <w:r w:rsidR="00371DCC">
        <w:fldChar w:fldCharType="separate"/>
      </w:r>
      <w:r w:rsidR="00574650">
        <w:rPr>
          <w:noProof/>
        </w:rPr>
        <w:t>5</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1</w:t>
      </w:r>
      <w:r w:rsidR="00371DCC">
        <w:fldChar w:fldCharType="end"/>
      </w:r>
      <w:bookmarkEnd w:id="319"/>
      <w:r>
        <w:t xml:space="preserve"> </w:t>
      </w:r>
      <w:r w:rsidRPr="000D0FA9">
        <w:t xml:space="preserve">Usability framework </w:t>
      </w:r>
      <w:r>
        <w:t>defined in</w:t>
      </w:r>
      <w:r w:rsidRPr="000D0FA9">
        <w:t xml:space="preserve"> ISO 9241–11.</w:t>
      </w:r>
      <w:bookmarkEnd w:id="320"/>
    </w:p>
    <w:p w14:paraId="6F73FABF" w14:textId="77777777" w:rsidR="00111E4D" w:rsidRDefault="00111E4D" w:rsidP="00111E4D">
      <w:r>
        <w:rPr>
          <w:noProof/>
          <w:lang w:eastAsia="en-GB"/>
        </w:rPr>
        <w:drawing>
          <wp:inline distT="0" distB="0" distL="0" distR="0" wp14:anchorId="1747D0F5" wp14:editId="39280259">
            <wp:extent cx="4430287" cy="2308860"/>
            <wp:effectExtent l="0" t="0" r="889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_ocv099f1p.png"/>
                    <pic:cNvPicPr/>
                  </pic:nvPicPr>
                  <pic:blipFill>
                    <a:blip r:embed="rId28"/>
                    <a:stretch>
                      <a:fillRect/>
                    </a:stretch>
                  </pic:blipFill>
                  <pic:spPr>
                    <a:xfrm>
                      <a:off x="0" y="0"/>
                      <a:ext cx="4463396" cy="2326115"/>
                    </a:xfrm>
                    <a:prstGeom prst="rect">
                      <a:avLst/>
                    </a:prstGeom>
                  </pic:spPr>
                </pic:pic>
              </a:graphicData>
            </a:graphic>
          </wp:inline>
        </w:drawing>
      </w:r>
    </w:p>
    <w:p w14:paraId="4F6759E9" w14:textId="77777777" w:rsidR="00111E4D" w:rsidRDefault="00111E4D" w:rsidP="00111E4D">
      <w:r w:rsidRPr="008A2E26">
        <w:t xml:space="preserve">ISO 9241-11 </w:t>
      </w:r>
      <w:r>
        <w:t xml:space="preserve">details in depth how users should interact with a product and applies </w:t>
      </w:r>
      <w:r w:rsidRPr="008A2E26">
        <w:t xml:space="preserve">hands-on methods to indicate </w:t>
      </w:r>
      <w:r>
        <w:t>a products</w:t>
      </w:r>
      <w:r w:rsidRPr="008A2E26">
        <w:t xml:space="preserve"> overall usability</w:t>
      </w:r>
      <w:r>
        <w:t xml:space="preserve"> </w:t>
      </w:r>
      <w:r>
        <w:fldChar w:fldCharType="begin" w:fldLock="1"/>
      </w:r>
      <w:r>
        <w:instrText>ADDIN CSL_CITATION {"citationItems":[{"id":"ITEM-1","itemData":{"URL":"https://www.iso.org/obp/ui/fr/#iso:std:iso:9241:-11:ed-2:v1:en","accessed":{"date-parts":[["2018","4","10"]]},"author":[{"dropping-particle":"","family":"ISO","given":"","non-dropping-particle":"","parse-names":false,"suffix":""}],"id":"ITEM-1","issued":{"date-parts":[["2018"]]},"title":"ISO 9241-11:2018(en), Ergonomics of human-system interaction — Part 11: Usability: Definitions and concepts","type":"webpage"},"uris":["http://www.mendeley.com/documents/?uuid=3ab1d37f-7a18-3cb4-8748-92a92807c125"]}],"mendeley":{"formattedCitation":"(ISO, 2018)","plainTextFormattedCitation":"(ISO, 2018)","previouslyFormattedCitation":"(ISO, 2018)"},"properties":{"noteIndex":0},"schema":"https://github.com/citation-style-language/schema/raw/master/csl-citation.json"}</w:instrText>
      </w:r>
      <w:r>
        <w:fldChar w:fldCharType="separate"/>
      </w:r>
      <w:r w:rsidRPr="00575276">
        <w:rPr>
          <w:noProof/>
        </w:rPr>
        <w:t>(ISO, 2018)</w:t>
      </w:r>
      <w:r>
        <w:fldChar w:fldCharType="end"/>
      </w:r>
      <w:r w:rsidRPr="008A2E26">
        <w:t>.</w:t>
      </w:r>
      <w:r>
        <w:t xml:space="preserve">  A common technique that is used in this process is to record users as they perform representative tasks during interactions </w:t>
      </w:r>
      <w:r>
        <w:fldChar w:fldCharType="begin" w:fldLock="1"/>
      </w:r>
      <w:r>
        <w:instrText>ADDIN CSL_CITATION {"citationItems":[{"id":"ITEM-1","itemData":{"URL":"https://www.iso.org/obp/ui/fr/#iso:std:iso:9241:-11:ed-2:v1:en","accessed":{"date-parts":[["2018","4","10"]]},"author":[{"dropping-particle":"","family":"ISO","given":"","non-dropping-particle":"","parse-names":false,"suffix":""}],"id":"ITEM-1","issued":{"date-parts":[["2018"]]},"title":"ISO 9241-11:2018(en), Ergonomics of human-system interaction — Part 11: Usability: Definitions and concepts","type":"webpage"},"uris":["http://www.mendeley.com/documents/?uuid=3ab1d37f-7a18-3cb4-8748-92a92807c125"]}],"mendeley":{"formattedCitation":"(ISO, 2018)","plainTextFormattedCitation":"(ISO, 2018)","previouslyFormattedCitation":"(ISO, 2018)"},"properties":{"noteIndex":0},"schema":"https://github.com/citation-style-language/schema/raw/master/csl-citation.json"}</w:instrText>
      </w:r>
      <w:r>
        <w:fldChar w:fldCharType="separate"/>
      </w:r>
      <w:r w:rsidRPr="00575276">
        <w:rPr>
          <w:noProof/>
        </w:rPr>
        <w:t>(ISO, 2018)</w:t>
      </w:r>
      <w:r>
        <w:fldChar w:fldCharType="end"/>
      </w:r>
      <w:r w:rsidRPr="008A2E26">
        <w:t>.</w:t>
      </w:r>
      <w:r>
        <w:t xml:space="preserve">  When measures of effectiveness, efficiency, and satisfaction are adequately fulfilled the product can then be deemed to have reached an acceptable level of usability </w:t>
      </w:r>
      <w:r>
        <w:fldChar w:fldCharType="begin" w:fldLock="1"/>
      </w:r>
      <w:r>
        <w:instrText>ADDIN CSL_CITATION {"citationItems":[{"id":"ITEM-1","itemData":{"URL":"https://www.iso.org/obp/ui/fr/#iso:std:iso:9241:-11:ed-2:v1:en","accessed":{"date-parts":[["2018","4","10"]]},"author":[{"dropping-particle":"","family":"ISO","given":"","non-dropping-particle":"","parse-names":false,"suffix":""}],"id":"ITEM-1","issued":{"date-parts":[["2018"]]},"title":"ISO 9241-11:2018(en), Ergonomics of human-system interaction — Part 11: Usability: Definitions and concepts","type":"webpage"},"uris":["http://www.mendeley.com/documents/?uuid=3ab1d37f-7a18-3cb4-8748-92a92807c125"]}],"mendeley":{"formattedCitation":"(ISO, 2018)","plainTextFormattedCitation":"(ISO, 2018)","previouslyFormattedCitation":"(ISO, 2018)"},"properties":{"noteIndex":0},"schema":"https://github.com/citation-style-language/schema/raw/master/csl-citation.json"}</w:instrText>
      </w:r>
      <w:r>
        <w:fldChar w:fldCharType="separate"/>
      </w:r>
      <w:r w:rsidRPr="00575276">
        <w:rPr>
          <w:noProof/>
        </w:rPr>
        <w:t>(ISO, 2018)</w:t>
      </w:r>
      <w:r>
        <w:fldChar w:fldCharType="end"/>
      </w:r>
      <w:r>
        <w:t>.</w:t>
      </w:r>
    </w:p>
    <w:p w14:paraId="4AF12878" w14:textId="210743DE" w:rsidR="00111E4D" w:rsidRDefault="00111E4D" w:rsidP="00111E4D">
      <w:pPr>
        <w:rPr>
          <w:noProof/>
        </w:rPr>
      </w:pPr>
      <w:r>
        <w:lastRenderedPageBreak/>
        <w:t xml:space="preserve">Standards such as </w:t>
      </w:r>
      <w:r w:rsidRPr="008A2E26">
        <w:t xml:space="preserve">ISO 9241-11 </w:t>
      </w:r>
      <w:r>
        <w:t>could be adapted and applied to e-therapies for mental health</w:t>
      </w:r>
      <w:r w:rsidRPr="008A2E26">
        <w:t>.</w:t>
      </w:r>
      <w:r w:rsidR="00554CB4">
        <w:t xml:space="preserve">  </w:t>
      </w:r>
      <w:r>
        <w:t xml:space="preserve">This notion is further reinforced by </w:t>
      </w:r>
      <w:r w:rsidRPr="00BB67C2">
        <w:rPr>
          <w:noProof/>
        </w:rPr>
        <w:t>Bevan</w:t>
      </w:r>
      <w:r>
        <w:t xml:space="preserve"> </w:t>
      </w:r>
      <w:r>
        <w:fldChar w:fldCharType="begin" w:fldLock="1"/>
      </w:r>
      <w:r>
        <w:instrText>ADDIN CSL_CITATION {"citationItems":[{"id":"ITEM-1","itemData":{"abstract":"Despite the authoritative nature of international standards for usability, many of them are not widely used. This paper explains both the benefits and some of the potential problems in using usability standards in areas including user interface design, usability assurance, software quality, and usability process improvement.","author":[{"dropping-particle":"","family":"Bevan","given":"Nigel","non-dropping-particle":"","parse-names":false,"suffix":""}],"container-title":"Journal of Usability Studies","id":"ITEM-1","issue":"3","issued":{"date-parts":[["2009"]]},"page":"106-113","title":"International Standards for Usability Should Be More Widely Used","type":"article-journal","volume":"4"},"uris":["http://www.mendeley.com/documents/?uuid=e2f6cb90-c9c6-32d6-ae5a-e6f85dc37727"]}],"mendeley":{"formattedCitation":"(Bevan, 2009)","manualFormatting":"(2009)","plainTextFormattedCitation":"(Bevan, 2009)","previouslyFormattedCitation":"(Bevan, 2009)"},"properties":{"noteIndex":0},"schema":"https://github.com/citation-style-language/schema/raw/master/csl-citation.json"}</w:instrText>
      </w:r>
      <w:r>
        <w:fldChar w:fldCharType="separate"/>
      </w:r>
      <w:r w:rsidRPr="00BB67C2">
        <w:rPr>
          <w:noProof/>
        </w:rPr>
        <w:t>(2009)</w:t>
      </w:r>
      <w:r>
        <w:fldChar w:fldCharType="end"/>
      </w:r>
      <w:r>
        <w:t xml:space="preserve">, who </w:t>
      </w:r>
      <w:r w:rsidRPr="008A2E26">
        <w:t>concludes that these standards should be used more frequently in usability work as they define good practice, are objective, can ensure</w:t>
      </w:r>
      <w:r>
        <w:t xml:space="preserve"> consistency and provide target benchmarks for intervention designers</w:t>
      </w:r>
      <w:r w:rsidRPr="008A2E26">
        <w:t>.</w:t>
      </w:r>
    </w:p>
    <w:p w14:paraId="20AA61DB" w14:textId="77777777" w:rsidR="00111E4D" w:rsidRDefault="00111E4D" w:rsidP="00111E4D">
      <w:pPr>
        <w:pStyle w:val="Heading3"/>
      </w:pPr>
      <w:bookmarkStart w:id="321" w:name="_Toc530598173"/>
      <w:bookmarkStart w:id="322" w:name="_Toc530660526"/>
      <w:bookmarkStart w:id="323" w:name="_Toc3538127"/>
      <w:r w:rsidRPr="00F67512">
        <w:t>Measuring Effectiveness and Efficiency</w:t>
      </w:r>
      <w:bookmarkEnd w:id="321"/>
      <w:bookmarkEnd w:id="322"/>
      <w:bookmarkEnd w:id="323"/>
    </w:p>
    <w:p w14:paraId="4378D55E" w14:textId="77777777" w:rsidR="00111E4D" w:rsidRDefault="00111E4D" w:rsidP="00111E4D">
      <w:r>
        <w:t>Effectiveness is generally measured by the successful completion of a task in addition to the sum of errors recorded while performing an interaction.  Efficiency encapsulates the level of effort and the resource used by a user to achieve usability goal(s).  This is typically measured by timing each task and averaging times across users and/or tasks.</w:t>
      </w:r>
    </w:p>
    <w:p w14:paraId="0D9E4394" w14:textId="77777777" w:rsidR="00111E4D" w:rsidRDefault="00111E4D" w:rsidP="00111E4D">
      <w:pPr>
        <w:pStyle w:val="Heading3"/>
      </w:pPr>
      <w:bookmarkStart w:id="324" w:name="_Toc530598174"/>
      <w:bookmarkStart w:id="325" w:name="_Toc530660527"/>
      <w:bookmarkStart w:id="326" w:name="_Toc3538128"/>
      <w:r>
        <w:t>Measuring Satisfaction</w:t>
      </w:r>
      <w:bookmarkEnd w:id="324"/>
      <w:bookmarkEnd w:id="325"/>
      <w:bookmarkEnd w:id="326"/>
    </w:p>
    <w:p w14:paraId="0B9342BC" w14:textId="77777777" w:rsidR="00111E4D" w:rsidRDefault="00111E4D" w:rsidP="00111E4D">
      <w:r>
        <w:t xml:space="preserve">User satisfaction can be measured subjectively through standardised </w:t>
      </w:r>
      <w:r w:rsidRPr="00CF5C52">
        <w:rPr>
          <w:noProof/>
        </w:rPr>
        <w:t>satisfaction questionnaires.</w:t>
      </w:r>
      <w:r>
        <w:rPr>
          <w:noProof/>
        </w:rPr>
        <w:t xml:space="preserve">  These questionnaires can be administered before each task </w:t>
      </w:r>
      <w:r w:rsidRPr="00CF5C52">
        <w:rPr>
          <w:noProof/>
        </w:rPr>
        <w:t xml:space="preserve">or after </w:t>
      </w:r>
      <w:r>
        <w:rPr>
          <w:noProof/>
        </w:rPr>
        <w:t>a</w:t>
      </w:r>
      <w:r w:rsidRPr="00CF5C52">
        <w:rPr>
          <w:noProof/>
        </w:rPr>
        <w:t xml:space="preserve"> usability test session</w:t>
      </w:r>
      <w:r>
        <w:rPr>
          <w:noProof/>
        </w:rPr>
        <w:t xml:space="preserve"> </w:t>
      </w:r>
      <w:r>
        <w:rPr>
          <w:noProof/>
        </w:rPr>
        <w:fldChar w:fldCharType="begin" w:fldLock="1"/>
      </w:r>
      <w:r>
        <w:rPr>
          <w:noProof/>
        </w:rPr>
        <w:instrText>ADDIN CSL_CITATION {"citationItems":[{"id":"ITEM-1","itemData":{"URL":"https://usabilitygeek.com/usability-metrics-a-guide-to-quantify-system-usability/","accessed":{"date-parts":[["2018","10","26"]]},"author":[{"dropping-particle":"","family":"Mifsud","given":"Justin","non-dropping-particle":"","parse-names":false,"suffix":""}],"container-title":"UsabilityGeek","id":"ITEM-1","issued":{"date-parts":[["2015"]]},"title":"Usability Metrics - A Guide To Quantify The Usability Of Any System - Usability Geek","type":"webpage"},"uris":["http://www.mendeley.com/documents/?uuid=63a91813-04d4-3211-ab0e-d38550bb9039"]}],"mendeley":{"formattedCitation":"(Mifsud, 2015)","plainTextFormattedCitation":"(Mifsud, 2015)","previouslyFormattedCitation":"(Mifsud, 2015)"},"properties":{"noteIndex":0},"schema":"https://github.com/citation-style-language/schema/raw/master/csl-citation.json"}</w:instrText>
      </w:r>
      <w:r>
        <w:rPr>
          <w:noProof/>
        </w:rPr>
        <w:fldChar w:fldCharType="separate"/>
      </w:r>
      <w:r w:rsidRPr="00734033">
        <w:rPr>
          <w:noProof/>
        </w:rPr>
        <w:t>(Mifsud, 2015)</w:t>
      </w:r>
      <w:r>
        <w:rPr>
          <w:noProof/>
        </w:rPr>
        <w:fldChar w:fldCharType="end"/>
      </w:r>
      <w:r w:rsidRPr="00CF5C52">
        <w:rPr>
          <w:noProof/>
        </w:rPr>
        <w:t>.</w:t>
      </w:r>
    </w:p>
    <w:p w14:paraId="2B73E217" w14:textId="6A78F320" w:rsidR="00111E4D" w:rsidRPr="0019516F" w:rsidRDefault="00111E4D" w:rsidP="00111E4D">
      <w:pPr>
        <w:pStyle w:val="Heading4"/>
        <w:numPr>
          <w:ilvl w:val="0"/>
          <w:numId w:val="0"/>
        </w:numPr>
        <w:ind w:left="864" w:hanging="864"/>
      </w:pPr>
      <w:r w:rsidRPr="0019516F">
        <w:t xml:space="preserve">Task </w:t>
      </w:r>
      <w:r w:rsidR="00C92D97">
        <w:t>L</w:t>
      </w:r>
      <w:r w:rsidRPr="0019516F">
        <w:t>evel</w:t>
      </w:r>
      <w:r w:rsidR="00C92D97">
        <w:t xml:space="preserve"> S</w:t>
      </w:r>
      <w:r w:rsidRPr="0019516F">
        <w:t>atisfaction</w:t>
      </w:r>
    </w:p>
    <w:p w14:paraId="17B56440" w14:textId="11A58B62" w:rsidR="00111E4D" w:rsidRDefault="00111E4D" w:rsidP="00111E4D">
      <w:r>
        <w:t xml:space="preserve">After users attempt a task and irrespective of if they achieve its goal or not, they should immediately be given a questionnaire to measure how difficult they found the task to carry out.  This type of measure is generally comprised of no more than 5 questions and often takes the form of Likert scale ratings.  The goal of the questionnaire is to provide insight into the task difficulty as seen from participants’ perspective.  There are multiple post-test questionnaires available such as the After Scenario Questionnaire </w:t>
      </w:r>
      <w:r>
        <w:fldChar w:fldCharType="begin" w:fldLock="1"/>
      </w:r>
      <w:r w:rsidR="00E3694B">
        <w:instrText>ADDIN CSL_CITATION {"citationItems":[{"id":"ITEM-1","itemData":{"DOI":"10.1145/122672.122692","ISBN":"0736-6906","ISSN":"07366906","abstract":"A three-item after-scenario questionnaire wa s used in three related usability tests in differen t areas of the United States . The studies had eigh t scenarios in common . After participants finished a scenario, they completed the After - Scenario Questionnaire (the ASQ) . A factor analysis of the responses to the ASQ item s revealed that an eight-factor solution explaine d 94 percent of the variability of the 24 (eigh t scenarios by three items per scenario) items . The varimax-rotated factor pattern showed tha t these eight factors were clearly associated with the eight scenarios . The benefit of this researc h to system designers is that this three-item questionnaire has acceptable psychometri c properties of reliability, sensitivity, an d concurrent validity, and may be used with confidence in other, similar usability studies .","author":[{"dropping-particle":"","family":"Lewis","given":"James R","non-dropping-particle":"","parse-names":false,"suffix":""}],"container-title":"SIGCHI Bulletin","id":"ITEM-1","issue":"I","issued":{"date-parts":[["1991"]]},"page":"78-81","title":"Psychometric Evaluation of an After-Scenario Questionnaire for ComputerR Usability Studies: the ASQ","type":"article-journal","volume":"23"},"uris":["http://www.mendeley.com/documents/?uuid=6a64fcf9-3091-3331-81d6-6d2bf72e7001"]}],"mendeley":{"formattedCitation":"(Lewis, 1991)","manualFormatting":"(ASQ; Lewis, 1991)","plainTextFormattedCitation":"(Lewis, 1991)","previouslyFormattedCitation":"(Lewis, 1991)"},"properties":{"noteIndex":0},"schema":"https://github.com/citation-style-language/schema/raw/master/csl-citation.json"}</w:instrText>
      </w:r>
      <w:r>
        <w:fldChar w:fldCharType="separate"/>
      </w:r>
      <w:r w:rsidRPr="007E0442">
        <w:rPr>
          <w:noProof/>
        </w:rPr>
        <w:t>(</w:t>
      </w:r>
      <w:r>
        <w:rPr>
          <w:noProof/>
        </w:rPr>
        <w:t xml:space="preserve">ASQ; </w:t>
      </w:r>
      <w:r w:rsidRPr="007E0442">
        <w:rPr>
          <w:noProof/>
        </w:rPr>
        <w:t>Lewis, 1991)</w:t>
      </w:r>
      <w:r>
        <w:fldChar w:fldCharType="end"/>
      </w:r>
      <w:r>
        <w:t xml:space="preserve"> and the Subjective Mental Effort Questionnaire </w:t>
      </w:r>
      <w:r>
        <w:fldChar w:fldCharType="begin" w:fldLock="1"/>
      </w:r>
      <w:r>
        <w:instrText>ADDIN CSL_CITATION {"citationItems":[{"id":"ITEM-1","itemData":{"DOI":"10.1145/1518701.1518946","ISBN":"9781605582467","abstract":"Post-task ratings of difficulty in a usability test have the potential to provide diagnostic information and be an additional measure of user satisfaction. But the ratings need to be reliable as well as easy to use for both respondents and researchers. Three one-question rating types were compared in a study with 26 participants who attempted the same five tasks with two software applications. The types were a Likert scale, a Usability Magnitude Estimation (UME) judgment, and a Subjective Mental Effort Question (SMEQ). All three types could distinguish between the applications with 26 participants, but the Likert and SMEQ types were more sensitive with small sample sizes. Both the Likert and SMEQ types were easy to learn and quick to execute. The online version of the SMEQ question was highly correlated with other measures and had equal sensitivity to the Likert question type.","author":[{"dropping-particle":"","family":"Sauro","given":"Jeff","non-dropping-particle":"","parse-names":false,"suffix":""},{"dropping-particle":"","family":"Dumas","given":"Joseph S.","non-dropping-particle":"","parse-names":false,"suffix":""}],"container-title":"Proceedings of the 27th international conference on Human factors in computing systems - CHI 09","id":"ITEM-1","issued":{"date-parts":[["2009"]]},"page":"1599","title":"Comparison of three one-question, post-task usability questionnaires","type":"article-journal"},"uris":["http://www.mendeley.com/documents/?uuid=cacec5c8-0c5b-3b56-97d0-e89c0e01a63e"]}],"mendeley":{"formattedCitation":"(Sauro and Dumas, 2009)","manualFormatting":"(SMEQ; Sauro &amp; Dumas, 2009)","plainTextFormattedCitation":"(Sauro and Dumas, 2009)","previouslyFormattedCitation":"(Sauro and Dumas, 2009)"},"properties":{"noteIndex":0},"schema":"https://github.com/citation-style-language/schema/raw/master/csl-citation.json"}</w:instrText>
      </w:r>
      <w:r>
        <w:fldChar w:fldCharType="separate"/>
      </w:r>
      <w:r w:rsidRPr="00372C9E">
        <w:rPr>
          <w:noProof/>
        </w:rPr>
        <w:t>(</w:t>
      </w:r>
      <w:r>
        <w:rPr>
          <w:noProof/>
        </w:rPr>
        <w:t xml:space="preserve">SMEQ; </w:t>
      </w:r>
      <w:r w:rsidRPr="00372C9E">
        <w:rPr>
          <w:noProof/>
        </w:rPr>
        <w:t xml:space="preserve">Sauro </w:t>
      </w:r>
      <w:r>
        <w:rPr>
          <w:noProof/>
        </w:rPr>
        <w:t>&amp;</w:t>
      </w:r>
      <w:r w:rsidRPr="00372C9E">
        <w:rPr>
          <w:noProof/>
        </w:rPr>
        <w:t xml:space="preserve"> Dumas, 2009)</w:t>
      </w:r>
      <w:r>
        <w:fldChar w:fldCharType="end"/>
      </w:r>
      <w:r>
        <w:t>.</w:t>
      </w:r>
    </w:p>
    <w:p w14:paraId="24D3A133" w14:textId="0D5467EB" w:rsidR="00111E4D" w:rsidRPr="0019516F" w:rsidRDefault="00111E4D" w:rsidP="00111E4D">
      <w:pPr>
        <w:pStyle w:val="Heading4"/>
        <w:numPr>
          <w:ilvl w:val="0"/>
          <w:numId w:val="0"/>
        </w:numPr>
        <w:ind w:left="864" w:hanging="864"/>
      </w:pPr>
      <w:r w:rsidRPr="0019516F">
        <w:t xml:space="preserve">Test </w:t>
      </w:r>
      <w:r w:rsidR="00C92D97">
        <w:t>L</w:t>
      </w:r>
      <w:r w:rsidRPr="0019516F">
        <w:t xml:space="preserve">evel </w:t>
      </w:r>
      <w:r w:rsidR="00C92D97">
        <w:t>S</w:t>
      </w:r>
      <w:r w:rsidRPr="0019516F">
        <w:t>atisfaction</w:t>
      </w:r>
    </w:p>
    <w:p w14:paraId="65DBF2F9" w14:textId="633521FD" w:rsidR="00111E4D" w:rsidRDefault="00111E4D" w:rsidP="00111E4D">
      <w:r>
        <w:t>Test level satisfaction is measured by giving participants a standardised questionnaire at the end of the test session.  The measure serves as a method of capturing a participant’s overall ease of use of the system being tested</w:t>
      </w:r>
      <w:r w:rsidR="00554CB4">
        <w:t xml:space="preserve">.  </w:t>
      </w:r>
      <w:r>
        <w:t xml:space="preserve">A popular example of a test level satisfaction questionnaire is the System Usability Scale (SUS; </w:t>
      </w:r>
      <w:r>
        <w:fldChar w:fldCharType="begin" w:fldLock="1"/>
      </w:r>
      <w:r w:rsidR="00C55FD9">
        <w:instrText>ADDIN CSL_CITATION {"citationItems":[{"id":"ITEM-1","itemData":{"ISBN":"0748404600","abstract":"This book provides a variety of answers in its description and discussion of new, sometimes radical approaches to `usability evaluation', now an increasingly common business tool. It contains new thinking of the subject of usability evaluation in industry. Contributions come from those involved in the practice of industry-based usability evaluation as well as those involved in related research activity. The chapters are derived from and developed from presentations and discussions at the invited international seminar `Usability Evaluation in Industry', and give a leading edge overview of current usability practice in industry - identifying those issues of concern and approaches to tackling these.Key Features:* Provides a comprehensive overview of current practice* International examples * Contains practical examples of ergonomics at work and gives clear ideas of what does and doesn't work under industrial constraints","author":[{"dropping-particle":"","family":"Brooke","given":"John","non-dropping-particle":"","parse-names":false,"suffix":""}],"container-title":"Usability evaluation in industry","editor":[{"dropping-particle":"","family":"Jordan","given":"Patrick W.","non-dropping-particle":"","parse-names":false,"suffix":""},{"dropping-particle":"","family":"Thomas","given":"Bruce.","non-dropping-particle":"","parse-names":false,"suffix":""},{"dropping-particle":"","family":"Weerdmeester","given":"Bernard A.","non-dropping-particle":"","parse-names":false,"suffix":""},{"dropping-particle":"","family":"McClelland","given":"Ian L.","non-dropping-particle":"","parse-names":false,"suffix":""}],"id":"ITEM-1","issued":{"date-parts":[["1996"]]},"number-of-pages":"189-194","publisher":"CRC Press","title":"SUS: A 'Quick and Dirty' Usability Scale","type":"book"},"uris":["http://www.mendeley.com/documents/?uuid=f8a7178e-4094-42bc-9b43-663f8b55ee55"]}],"mendeley":{"formattedCitation":"(Brooke, 1996)","manualFormatting":"Brooke, 1996","plainTextFormattedCitation":"(Brooke, 1996)","previouslyFormattedCitation":"(Brooke, 1996)"},"properties":{"noteIndex":0},"schema":"https://github.com/citation-style-language/schema/raw/master/csl-citation.json"}</w:instrText>
      </w:r>
      <w:r>
        <w:fldChar w:fldCharType="separate"/>
      </w:r>
      <w:r w:rsidRPr="00AB09F3">
        <w:rPr>
          <w:noProof/>
        </w:rPr>
        <w:t>Brooke</w:t>
      </w:r>
      <w:r>
        <w:rPr>
          <w:noProof/>
        </w:rPr>
        <w:t>,</w:t>
      </w:r>
      <w:r w:rsidR="005D2D06">
        <w:rPr>
          <w:noProof/>
        </w:rPr>
        <w:t xml:space="preserve"> </w:t>
      </w:r>
      <w:r w:rsidRPr="00AB09F3">
        <w:rPr>
          <w:noProof/>
        </w:rPr>
        <w:t>1996</w:t>
      </w:r>
      <w:r>
        <w:fldChar w:fldCharType="end"/>
      </w:r>
      <w:r>
        <w:t xml:space="preserve">). </w:t>
      </w:r>
      <w:r w:rsidR="006406E6">
        <w:t xml:space="preserve"> </w:t>
      </w:r>
      <w:r w:rsidRPr="00DB62A7">
        <w:t xml:space="preserve">The SUS scale is an industry standard metric of perceived usability that has been used in over 1,200 publications </w:t>
      </w:r>
      <w:r w:rsidRPr="00DB62A7">
        <w:fldChar w:fldCharType="begin" w:fldLock="1"/>
      </w:r>
      <w:r>
        <w:instrText>ADDIN CSL_CITATION {"citationItems":[{"id":"ITEM-1","itemData":{"author":[{"dropping-particle":"","family":"Brooke","given":"John","non-dropping-particle":"","parse-names":false,"suffix":""}],"id":"ITEM-1","issue":"2","issued":{"date-parts":[["2013"]]},"page":"29-40","title":"SUS: A Retrospective","type":"article-journal","volume":"8"},"uris":["http://www.mendeley.com/documents/?uuid=199211bc-3390-3b6b-a207-281e5ac0820e"]}],"mendeley":{"formattedCitation":"(Brooke, 2013)","plainTextFormattedCitation":"(Brooke, 2013)","previouslyFormattedCitation":"(Brooke, 2013)"},"properties":{"noteIndex":0},"schema":"https://github.com/citation-style-language/schema/raw/master/csl-citation.json"}</w:instrText>
      </w:r>
      <w:r w:rsidRPr="00DB62A7">
        <w:fldChar w:fldCharType="separate"/>
      </w:r>
      <w:r w:rsidRPr="00DB62A7">
        <w:rPr>
          <w:noProof/>
        </w:rPr>
        <w:t>(Brooke, 2013)</w:t>
      </w:r>
      <w:r w:rsidRPr="00DB62A7">
        <w:fldChar w:fldCharType="end"/>
      </w:r>
      <w:r w:rsidRPr="00DB62A7">
        <w:t>.</w:t>
      </w:r>
    </w:p>
    <w:p w14:paraId="4205254E" w14:textId="34765754" w:rsidR="00111E4D" w:rsidRPr="0019516F" w:rsidRDefault="00111E4D" w:rsidP="00111E4D">
      <w:pPr>
        <w:pStyle w:val="Heading2"/>
      </w:pPr>
      <w:bookmarkStart w:id="327" w:name="_Toc530598175"/>
      <w:bookmarkStart w:id="328" w:name="_Toc530660528"/>
      <w:bookmarkStart w:id="329" w:name="_Toc3538129"/>
      <w:r w:rsidRPr="0019516F">
        <w:t>Self-</w:t>
      </w:r>
      <w:r w:rsidR="002C1C1E">
        <w:t>H</w:t>
      </w:r>
      <w:r w:rsidRPr="0019516F">
        <w:t xml:space="preserve">elp </w:t>
      </w:r>
      <w:r w:rsidR="002C1C1E">
        <w:t>C</w:t>
      </w:r>
      <w:r w:rsidRPr="0019516F">
        <w:t xml:space="preserve">onversational </w:t>
      </w:r>
      <w:r w:rsidR="002C1C1E">
        <w:t>A</w:t>
      </w:r>
      <w:r w:rsidRPr="0019516F">
        <w:t>gents</w:t>
      </w:r>
      <w:bookmarkEnd w:id="327"/>
      <w:bookmarkEnd w:id="328"/>
      <w:bookmarkEnd w:id="329"/>
    </w:p>
    <w:p w14:paraId="5A74FBEC" w14:textId="0865DE59" w:rsidR="00111E4D" w:rsidRDefault="00111E4D" w:rsidP="00111E4D">
      <w:r>
        <w:t xml:space="preserve">A </w:t>
      </w:r>
      <w:r w:rsidRPr="00BE7034">
        <w:t>limitation of full</w:t>
      </w:r>
      <w:r>
        <w:t>y</w:t>
      </w:r>
      <w:r w:rsidRPr="00BE7034">
        <w:t xml:space="preserve"> automated </w:t>
      </w:r>
      <w:r>
        <w:t>e-therapy</w:t>
      </w:r>
      <w:r w:rsidRPr="00BE7034">
        <w:t xml:space="preserve"> is that despite its proven benefits</w:t>
      </w:r>
      <w:r>
        <w:t>,</w:t>
      </w:r>
      <w:r w:rsidRPr="00BE7034">
        <w:t xml:space="preserve"> adherence</w:t>
      </w:r>
      <w:r>
        <w:t xml:space="preserve"> can be low</w:t>
      </w:r>
      <w:r w:rsidRPr="00BE7034">
        <w:t xml:space="preserve"> </w:t>
      </w:r>
      <w:r>
        <w:fldChar w:fldCharType="begin" w:fldLock="1"/>
      </w:r>
      <w:r>
        <w:instrText>ADDIN CSL_CITATION {"citationItems":[{"id":"ITEM-1","itemData":{"DOI":"10.1080/17439761003790948","ISSN":"1743-9760","abstract":"Positive psychologists have developed a variety of techniques to increase well-being. This study explored whether preferences for some interventions are linked to preferences for other interventions. A total of 792 participants received up to six positive psychology exercises. After each exercise, participants indicated their preference for each exercise and how often they engaged in it. A factor analysis of these scores revealed three groupings of subjective preferences: active-constructive responding and savoring; blessings and life summary; and gratitude visit and strengths. Individuals who had high preference for an exercise were more likely to complete the exercise. Implications for application of positive psychology exercises and future recommendations are discussed including the use of such a framework for tailoring custom programs of interventions.","author":[{"dropping-particle":"","family":"Schueller","given":"Stephen M.","non-dropping-particle":"","parse-names":false,"suffix":""}],"container-title":"The Journal of Positive Psychology","id":"ITEM-1","issue":"3","issued":{"date-parts":[["2010","5"]]},"page":"192-203","publisher":" Routledge ","title":"Preferences for positive psychology exercises","type":"article-journal","volume":"5"},"uris":["http://www.mendeley.com/documents/?uuid=1582e8b2-2a35-3607-adb8-949346e54e88"]},{"id":"ITEM-2","itemData":{"DOI":"10.2196/jmir.1194","ISSN":"1438-8871","PMID":"19403466","abstract":"BACKGROUND: Open access websites which deliver cognitive and behavioral interventions for anxiety and depression are characterised by poor adherence. We need to understand more about adherence in order to maximize the impact of Internet-based interventions on the disease burden associated with common mental disorders.\n\nOBJECTIVE: The aims of this paper are to review briefly the adherence literature with respect to Internet interventions and to investigate the rates of dropout and compliance in randomized controlled trials of anxiety and depression Web studies.\n\nMETHODS: A systematic review of randomized controlled trials using Internet interventions for anxiety and depression was conducted, and data was collected on dropout and adherence, predictors of adherence, and reasons for dropout.\n\nRESULTS: Relative to reported rates of dropout from open access sites, the present study found that the rates of attrition in randomized controlled trials were lower, ranging from approximately 1 - 50%. Predictors of adherence included disease severity, treatment length, and chronicity. Very few studies formally examined reasons for dropout, and most studies failed to use appropriate statistical techniques to analyze missing data.\n\nCONCLUSIONS: Dropout rates from randomized controlled trials of Web interventions are low relative to dropout from open access websites. The development of theoretical models of adherence is as important in the area of Internet intervention research as it is in the behavioral health literature. Disease-based factors in anxiety and depression need further investigation.","author":[{"dropping-particle":"","family":"Christensen","given":"Helen","non-dropping-particle":"","parse-names":false,"suffix":""},{"dropping-particle":"","family":"Griffiths","given":"Kathleen M","non-dropping-particle":"","parse-names":false,"suffix":""},{"dropping-particle":"","family":"Farrer","given":"Louise","non-dropping-particle":"","parse-names":false,"suffix":""}],"container-title":"Journal of medical Internet research","id":"ITEM-2","issue":"2","issued":{"date-parts":[["2009","1"]]},"page":"e13","title":"Adherence in internet interventions for anxiety and depression.","type":"article-journal","volume":"11"},"uris":["http://www.mendeley.com/documents/?uuid=9e4fc4e9-b05e-4c9f-b24d-35b06389a3a9"]}],"mendeley":{"formattedCitation":"(Christensen, Griffiths and Farrer, 2009; Schueller, 2010)","manualFormatting":"(Christensen, Griffiths &amp; Farrer, 2009; Schueller, 2010; Cavanagh, 2015)","plainTextFormattedCitation":"(Christensen, Griffiths and Farrer, 2009; Schueller, 2010)","previouslyFormattedCitation":"(Christensen, Griffiths and Farrer, 2009; Schueller, 2010)"},"properties":{"noteIndex":0},"schema":"https://github.com/citation-style-language/schema/raw/master/csl-citation.json"}</w:instrText>
      </w:r>
      <w:r>
        <w:fldChar w:fldCharType="separate"/>
      </w:r>
      <w:r w:rsidRPr="007812C5">
        <w:rPr>
          <w:noProof/>
        </w:rPr>
        <w:t xml:space="preserve">(Christensen, Griffiths </w:t>
      </w:r>
      <w:r>
        <w:rPr>
          <w:noProof/>
        </w:rPr>
        <w:t>&amp;</w:t>
      </w:r>
      <w:r w:rsidRPr="007812C5">
        <w:rPr>
          <w:noProof/>
        </w:rPr>
        <w:t xml:space="preserve"> </w:t>
      </w:r>
      <w:r w:rsidRPr="00A7293C">
        <w:rPr>
          <w:noProof/>
        </w:rPr>
        <w:t>Farrer</w:t>
      </w:r>
      <w:r w:rsidRPr="007812C5">
        <w:rPr>
          <w:noProof/>
        </w:rPr>
        <w:t>, 2009; Schueller, 2010</w:t>
      </w:r>
      <w:r>
        <w:rPr>
          <w:noProof/>
        </w:rPr>
        <w:t xml:space="preserve">; </w:t>
      </w:r>
      <w:r w:rsidRPr="00A7293C">
        <w:rPr>
          <w:noProof/>
        </w:rPr>
        <w:t>Cavanagh, 2015</w:t>
      </w:r>
      <w:r w:rsidRPr="007812C5">
        <w:rPr>
          <w:noProof/>
        </w:rPr>
        <w:t>)</w:t>
      </w:r>
      <w:r>
        <w:fldChar w:fldCharType="end"/>
      </w:r>
      <w:r w:rsidRPr="00BE7034">
        <w:t xml:space="preserve">. </w:t>
      </w:r>
      <w:r w:rsidR="006406E6">
        <w:t xml:space="preserve"> </w:t>
      </w:r>
      <w:r w:rsidRPr="00BE7034">
        <w:t xml:space="preserve">While </w:t>
      </w:r>
      <w:r>
        <w:t>involving some degree of</w:t>
      </w:r>
      <w:r w:rsidRPr="00BE7034">
        <w:t xml:space="preserve"> therapist support </w:t>
      </w:r>
      <w:r>
        <w:t>in some instances overcomes this issue</w:t>
      </w:r>
      <w:r w:rsidRPr="00BE7034">
        <w:t xml:space="preserve"> </w:t>
      </w:r>
      <w:r>
        <w:fldChar w:fldCharType="begin" w:fldLock="1"/>
      </w:r>
      <w:r>
        <w:instrText>ADDIN CSL_CITATION {"citationItems":[{"id":"ITEM-1","itemData":{"DOI":"10.1146/annurev-clinpsy-021815-093006","ISBN":"1548-5943","ISSN":"1548-5943","PMID":"26652054","abstract":"During the past 15 years, much progress has been made in developing and testing Internet-delivered psychological treatments. In particular, therapist-guided Internet treatments have been found to be effective for a wide range of psychiatric and somatic conditions in well over 100 controlled trials. These treatments require (a) a secure web platform, (b) robust assessment procedures, (c) treatment contents that can be text based or offered in other formats, and (d) a therapist role that differs from that in face-to-face therapy. Studies suggest that guided Internet treatments can be as effective as face-to-face treatments, lead to sustained improvements, work in clinically representative conditions, and probably are cost-effective. Despite these research findings, Internet treatment is not yet disseminated in most places, and clinical psychologists should consider using modern information technology and evidence-based treatment programs as a complement to their other services, even though there will always...","author":[{"dropping-particle":"","family":"Andersson","given":"Gerhard","non-dropping-particle":"","parse-names":false,"suffix":""}],"container-title":"Annual Review of Clinical Psychology","id":"ITEM-1","issue":"1","issued":{"date-parts":[["2016"]]},"page":"157-179","title":"Internet-Delivered Psychological Treatments","type":"article-journal","volume":"12"},"uris":["http://www.mendeley.com/documents/?uuid=b928c2ea-29f4-44fe-b839-e791bf2125d3"]}],"mendeley":{"formattedCitation":"(Andersson, 2016)","plainTextFormattedCitation":"(Andersson, 2016)","previouslyFormattedCitation":"(Andersson, 2016)"},"properties":{"noteIndex":0},"schema":"https://github.com/citation-style-language/schema/raw/master/csl-citation.json"}</w:instrText>
      </w:r>
      <w:r>
        <w:fldChar w:fldCharType="separate"/>
      </w:r>
      <w:r w:rsidRPr="00A5745D">
        <w:rPr>
          <w:noProof/>
        </w:rPr>
        <w:t>(Andersson, 2016)</w:t>
      </w:r>
      <w:r>
        <w:fldChar w:fldCharType="end"/>
      </w:r>
      <w:r>
        <w:t>, increasing</w:t>
      </w:r>
      <w:r w:rsidRPr="00BE7034">
        <w:t xml:space="preserve"> adherence </w:t>
      </w:r>
      <w:r>
        <w:t xml:space="preserve">to </w:t>
      </w:r>
      <w:r w:rsidRPr="00BE7034">
        <w:t>fully automated self-help interventions</w:t>
      </w:r>
      <w:r>
        <w:t xml:space="preserve"> remains a research priority.  Another possible method to increase adherence is the use of </w:t>
      </w:r>
      <w:r w:rsidRPr="00702A2E">
        <w:t>conversational agent</w:t>
      </w:r>
      <w:r>
        <w:t xml:space="preserve">s, </w:t>
      </w:r>
      <w:r w:rsidRPr="00702A2E">
        <w:t>software program</w:t>
      </w:r>
      <w:r>
        <w:t>s</w:t>
      </w:r>
      <w:r w:rsidRPr="00702A2E">
        <w:t xml:space="preserve"> which </w:t>
      </w:r>
      <w:r w:rsidRPr="00FD0EDB">
        <w:rPr>
          <w:noProof/>
        </w:rPr>
        <w:t xml:space="preserve">interpret and reply to </w:t>
      </w:r>
      <w:r>
        <w:rPr>
          <w:noProof/>
        </w:rPr>
        <w:t>lines of everyday normal language that are made by users.</w:t>
      </w:r>
    </w:p>
    <w:p w14:paraId="54F17DBA" w14:textId="77777777" w:rsidR="00111E4D" w:rsidRDefault="00111E4D" w:rsidP="00111E4D">
      <w:r w:rsidRPr="00795884">
        <w:t xml:space="preserve">The earliest recorded attempt to develop </w:t>
      </w:r>
      <w:r>
        <w:t xml:space="preserve">a self-help conversational agent </w:t>
      </w:r>
      <w:r w:rsidRPr="00795884">
        <w:t xml:space="preserve">was by Joseph </w:t>
      </w:r>
      <w:proofErr w:type="spellStart"/>
      <w:r w:rsidRPr="00795884">
        <w:t>Weizenbaum</w:t>
      </w:r>
      <w:proofErr w:type="spellEnd"/>
      <w:r w:rsidRPr="00795884">
        <w:t xml:space="preserve"> in 1966.  His program, known as ‘</w:t>
      </w:r>
      <w:r>
        <w:t>ELIZA’</w:t>
      </w:r>
      <w:r w:rsidRPr="00795884">
        <w:t xml:space="preserve">, was designed to </w:t>
      </w:r>
      <w:r>
        <w:t>parody a</w:t>
      </w:r>
      <w:r w:rsidRPr="00795884">
        <w:t xml:space="preserve"> conversation with a Rogerian psychologist.  </w:t>
      </w:r>
      <w:bookmarkStart w:id="330" w:name="_Hlk485909990"/>
      <w:r>
        <w:t xml:space="preserve">Rogers </w:t>
      </w:r>
      <w:r w:rsidRPr="009A12D4">
        <w:lastRenderedPageBreak/>
        <w:t>developed a person-centred approach to psychotherapy based on humanistic principles</w:t>
      </w:r>
      <w:r>
        <w:t xml:space="preserve"> </w:t>
      </w:r>
      <w:r>
        <w:fldChar w:fldCharType="begin" w:fldLock="1"/>
      </w:r>
      <w:r>
        <w:instrText>ADDIN CSL_CITATION {"citationItems":[{"id":"ITEM-1","itemData":{"ISBN":"9780547524443","abstract":"A Way of Being was written in the early 1980s, near the end of Carl Rogers's career, and serves as a coda to his classic On Becoming a Person. More personal and philosophical than his earlier writings, it traces his professional and personal development and ends with a person-centered prophecy, in which he predicts a future changing in the direction of more humaneness. Now, fifteen years later, the psychiatrist and best-selling author Dr. Irvin Yalom revisits A Way of Being, offering a contemporary view of this remarkable work. \"\"Front Cover\"\"; \"\"Front Matter\"\"; \"\"Half Title\"\"; \"\"Title\"\"; \"\"Copyright\"\"; \"\"Contents\"\"; \"\"Introduction by Irvin D. Yalom\"\"; \"\"Preface\"\"; \"\"PART I: PERSONAL EXPERIENCES AND PERSPECTIVES\"\"; \"\"1: Experiences in Communication\"\"; \"\"2: My Philosophy of Interpersonal Relationships and How It Grew\"\"; \"\"3: In Retrospect: Forty-Six Years\"\"; \"\"4: Growing Old: Or Older and Growing?\"\"; \"\"5: Do We Need \"\"A\"\" Reality?\"\"; \"\"PART II: ASPECTS OF A PERSON. CENTERED APPROACH\"\"; \"\"6: The Foundations of a Person-Centered Approach\"\"; \"\"7: Empathic: An Unappreciated Way of Being\"\" \"\"8: Ellen Westâ€?And Loneliness\"\"\"\"9: Building Person-Centered Communities: The Implications for the Future\"\"; \"\"10: Six Vignettes\"\"; \"\"11: Some New Challenges to the Helping Professions\"\"; \"\"PART III: THE PROCESS OF EDUCATION AND ITS FUTURE\"\"; \"\"12: Can Learning Encompass both Ideas and Feelings?\"\"; \"\"13: Beyond the Watershed: And Where Now?\"\"; \"\"14: Learnings in Large Groups: Their Implications for the Future\"\"; \"\"PART IV: LOOKING AHEAD: A PERSON-CENTERED SCENARIO\"\"; \"\"15: The World of Tomorrow, and the Person of Tomorrow\"\"; \"\"Back Matter\"\" \"\"Appendix: A Chronological Bibliography of the Publications of Carl R. Rogers, 1930-1980\"\"\"\"Acknowledgments\"\"; \"\"Index\"\"","author":[{"dropping-particle":"","family":"Rogers","given":"Carl R. (Carl Ransom)","non-dropping-particle":"","parse-names":false,"suffix":""}],"id":"ITEM-1","issued":{"date-parts":[["1995"]]},"number-of-pages":"395","publisher":"Houghton Mifflin Co","title":"A way of being","type":"book"},"uris":["http://www.mendeley.com/documents/?uuid=d25cbd1b-1522-38c3-b12d-e81e0e8c0f24"]}],"mendeley":{"formattedCitation":"(Rogers, 1995)","plainTextFormattedCitation":"(Rogers, 1995)","previouslyFormattedCitation":"(Rogers, 1995)"},"properties":{"noteIndex":0},"schema":"https://github.com/citation-style-language/schema/raw/master/csl-citation.json"}</w:instrText>
      </w:r>
      <w:r>
        <w:fldChar w:fldCharType="separate"/>
      </w:r>
      <w:r w:rsidRPr="00F07445">
        <w:rPr>
          <w:noProof/>
        </w:rPr>
        <w:t>(Rogers, 1995)</w:t>
      </w:r>
      <w:r>
        <w:fldChar w:fldCharType="end"/>
      </w:r>
      <w:r>
        <w:t>.</w:t>
      </w:r>
      <w:r w:rsidRPr="009A12D4">
        <w:t xml:space="preserve"> His conversation approach was based on three the ‘core conditions’ of congruence, unconditional positive regard and empathy</w:t>
      </w:r>
      <w:r>
        <w:t xml:space="preserve"> </w:t>
      </w:r>
      <w:r>
        <w:fldChar w:fldCharType="begin" w:fldLock="1"/>
      </w:r>
      <w:r>
        <w:instrText>ADDIN CSL_CITATION {"citationItems":[{"id":"ITEM-1","itemData":{"ISBN":"0761948686","abstract":"From the foreword: 'This is an author who has both a sophisticated academic understanding of the material and a great skill in communicating that widely. Those two qualities do not often go together!' - Dave Mearns, University of Strathclyde. The Person-Centred Approach to Therapeutic Change outlines the main theoretical cornerstones of the person-centred approach and then, applying these, describes why change occurs as a result of a person-centred therapeutic encounter. The author explores the counselling relationship as an environment in which clients can open themselves up to experiences th. Cover; Contents; Foreword by Dave Mearns; Preface; 1 The Concept of the Person: Vulnerable, yet Fundamentally Trustworthy; 2 Personal Change Through Counselling: an Overview of the Process; 3 The Evaluation of Experience; 4 The Complex Nature of the Self-Concept; 5 Experiencing and Psychological Movement: Why Change Occurs; 6 The 'Necessary and Sufficient Conditions' for Facilitating Change; 7 Beyond the 'Necessary and Sufficient Conditions': the Notion of Presence; 8 The Challenge Facing the Client: BeingYourself in the Twenty-First Century; Index.","author":[{"dropping-particle":"","family":"McMillan","given":"Michael.","non-dropping-particle":"","parse-names":false,"suffix":""}],"id":"ITEM-1","issued":{"date-parts":[["2004"]]},"number-of-pages":"90","publisher":"SAGE Publications","title":"The person-centred approach to therapeutic change","type":"book"},"uris":["http://www.mendeley.com/documents/?uuid=725ec8c9-ab2b-3a4a-bcc1-35c79b2f77bf"]}],"mendeley":{"formattedCitation":"(McMillan, 2004)","plainTextFormattedCitation":"(McMillan, 2004)","previouslyFormattedCitation":"(McMillan, 2004)"},"properties":{"noteIndex":0},"schema":"https://github.com/citation-style-language/schema/raw/master/csl-citation.json"}</w:instrText>
      </w:r>
      <w:r>
        <w:fldChar w:fldCharType="separate"/>
      </w:r>
      <w:r w:rsidRPr="00F07445">
        <w:rPr>
          <w:noProof/>
        </w:rPr>
        <w:t>(McMillan, 2004)</w:t>
      </w:r>
      <w:r>
        <w:fldChar w:fldCharType="end"/>
      </w:r>
      <w:r>
        <w:t>.  How well ELIZA was programmed to conform to these ‘core conditions’ (if at all) is relatively unknown.</w:t>
      </w:r>
    </w:p>
    <w:p w14:paraId="4F711F1D" w14:textId="15993FE6" w:rsidR="00111E4D" w:rsidRDefault="00111E4D" w:rsidP="00111E4D">
      <w:r>
        <w:t>ELIZA</w:t>
      </w:r>
      <w:r w:rsidRPr="00795884">
        <w:t xml:space="preserve"> uses natural language processing (NLP)</w:t>
      </w:r>
      <w:r w:rsidR="00761A67" w:rsidRPr="00795884">
        <w:t xml:space="preserve">.  </w:t>
      </w:r>
      <w:r w:rsidRPr="00FD0EDB">
        <w:rPr>
          <w:noProof/>
        </w:rPr>
        <w:t>NLP is a division of artificial intelligence (AI) that</w:t>
      </w:r>
      <w:r w:rsidRPr="00795884">
        <w:t xml:space="preserve"> concerns the analysis and generation by computers of natural language (that is, the sort of language used by humans)</w:t>
      </w:r>
      <w:r w:rsidR="00761A67" w:rsidRPr="00795884">
        <w:t xml:space="preserve">.  </w:t>
      </w:r>
      <w:r w:rsidRPr="00795884">
        <w:t>In the case of ELIZA, relatively simple NLP rules are applied to analyse the user's typed inputs and then, based on that analysis, to generate text responses</w:t>
      </w:r>
      <w:r>
        <w:t xml:space="preserve"> in the form of subsequent questions</w:t>
      </w:r>
      <w:r w:rsidRPr="00795884">
        <w:t>.</w:t>
      </w:r>
      <w:bookmarkEnd w:id="330"/>
    </w:p>
    <w:p w14:paraId="41C36D82" w14:textId="4A0EECED" w:rsidR="00111E4D" w:rsidRDefault="00111E4D" w:rsidP="00111E4D">
      <w:r w:rsidRPr="00683F6E">
        <w:rPr>
          <w:noProof/>
        </w:rPr>
        <w:t xml:space="preserve">Helgadóttir et al. </w:t>
      </w:r>
      <w:r>
        <w:fldChar w:fldCharType="begin" w:fldLock="1"/>
      </w:r>
      <w:r>
        <w:instrText>ADDIN CSL_CITATION {"citationItems":[{"id":"ITEM-1","itemData":{"DOI":"10.1375/bech.26.4.245","ISBN":"0813-4839","ISSN":"08134839","PMID":"936332106034302","abstract":"&lt;p&gt;Reviews have demonstrated large effect sizes when using computerised cognitive behaviour therapy (CBT) protocols for treating anxiety, depression and health related concerns. However, the amount of therapist contact per user seems to be the most significant prognostic indicator. Thus, in some ways current online interventions can be viewed primarily as an extension of one-on-one therapy. The present article provides guidelines for targeting this limitation of online psychological interventions. The goal is to mimic the therapeutic relationship using a computer, without having any therapist involved. Consequently, thousands of users would be able to receive treatment simultaneously, reaching a wider audience, which was the initial goal of the online model. The development of a treatment program using file audit data is suggested as an alternative to having an individual therapist for each user. This is done by allowing the ‘computer psychologist’ to tailor individualised treatments for each user based on their psychological profile. The user is provided with individualised corrective feedback based on a set of prewritten responses to common faulty thoughts. A new paradigm is proposed for online treatment delivery.&lt;/p&gt;","author":[{"dropping-particle":"","family":"Helgadóttir","given":"Fjóla Dögg","non-dropping-particle":"","parse-names":false,"suffix":""},{"dropping-particle":"","family":"Menzies","given":"Ross G.","non-dropping-particle":"","parse-names":false,"suffix":""},{"dropping-particle":"","family":"Onslow","given":"Mark","non-dropping-particle":"","parse-names":false,"suffix":""},{"dropping-particle":"","family":"Packman","given":"Ann","non-dropping-particle":"","parse-names":false,"suffix":""},{"dropping-particle":"","family":"O'Brian","given":"Sue","non-dropping-particle":"","parse-names":false,"suffix":""}],"container-title":"Behaviour Change","id":"ITEM-1","issue":"4","issued":{"date-parts":[["2009"]]},"page":"245-253","title":"Online CBT I: Bridging the gap between Eliza and modern online CBT treatment packages","type":"article-journal","volume":"26"},"uris":["http://www.mendeley.com/documents/?uuid=04bb4b31-a945-4458-92ce-b0bc625b3032"]}],"mendeley":{"formattedCitation":"(Helgadóttir &lt;i&gt;et al.&lt;/i&gt;, 2009)","manualFormatting":"(2009)","plainTextFormattedCitation":"(Helgadóttir et al., 2009)","previouslyFormattedCitation":"(Helgadóttir &lt;i&gt;et al.&lt;/i&gt;, 2009)"},"properties":{"noteIndex":0},"schema":"https://github.com/citation-style-language/schema/raw/master/csl-citation.json"}</w:instrText>
      </w:r>
      <w:r>
        <w:fldChar w:fldCharType="separate"/>
      </w:r>
      <w:r w:rsidRPr="00683F6E">
        <w:rPr>
          <w:noProof/>
        </w:rPr>
        <w:t>(2009)</w:t>
      </w:r>
      <w:r>
        <w:fldChar w:fldCharType="end"/>
      </w:r>
      <w:r>
        <w:t xml:space="preserve"> note that despite the initial optimism for ELIZA little progress has been made to evolve the concept into a fully automatic technique for treating mental health disorders.  Small pockets of research exist in this area such as </w:t>
      </w:r>
      <w:proofErr w:type="spellStart"/>
      <w:r>
        <w:t>Woebot</w:t>
      </w:r>
      <w:proofErr w:type="spellEnd"/>
      <w:r>
        <w:t xml:space="preserve"> </w:t>
      </w:r>
      <w:r>
        <w:fldChar w:fldCharType="begin" w:fldLock="1"/>
      </w:r>
      <w:r>
        <w:instrText>ADDIN CSL_CITATION {"citationItems":[{"id":"ITEM-1","itemData":{"DOI":"10.2196/mental.7785","ISSN":"2368-7959","PMID":"28588005","abstract":"Background: Web-based cognitive-behavioral therapeutic (CBT) apps have demonstrated efficacy but are characterized by poor adherence. Conversational agents may offer a convenient, engaging way of getting support at any time. Objective: The objective of the study was to determine the feasibility, acceptability, and preliminary efficacy of a fully automated conversational agent to deliver a self-help program for college students who self-identify as having symptoms of anxiety and depression. Methods: In an unblinded trial, 70 individuals age 18-28 years were recruited online from a university community social media site and were randomized to receive either 2 weeks (up to 20 sessions) of self-help content derived from CBT principles in a conversational format with a text-based conversational agent (Woebot) (n=34) or were directed to the National Institute of Mental Health ebook, “Depression in College Students,” as an information-only control group (n=36). All participants completed Web-based versions of the 9-item Patient Health Questionnaire (PHQ-9), the 7-item Generalized Anxiety Disorder scale (GAD-7), and the Positive and Negative Affect Scale at baseline and 2-3 weeks later (T2). Results: Participants were on average 22.2 years old (SD 2.33), 67% female (47/70), mostly non-Hispanic (93%, 54/58), and Caucasian (79%, 46/58). Participants in the Woebot group engaged with the conversational agent an average of 12.14 (SD 2.23) times over the study period. No significant differences existed between the groups at baseline, and 83% (58/70) of participants provided data at T2 (17% attrition). Intent-to-treat univariate analysis of covariance revealed a significant group difference on depression such that those in the Woebot group significantly reduced their symptoms of depression over the study period as measured by the PHQ-9 (F=6.47; P=.01) while those in the information control group did not. In an analysis of completers, participants in both groups significantly reduced anxiety as measured by the GAD-7 (F1,54= 9.24; P=.004). Participants’ comments suggest that process factors were more influential on their acceptability of the program than content factors mirroring traditional therapy. Conclusions: Conversational agents appear to be a feasible, engaging, and effective way to deliver CBT.  [JMIR Ment Health 2017;4(2):e19]","author":[{"dropping-particle":"","family":"Fitzpatrick","given":"Kathleen Kara","non-dropping-particle":"","parse-names":false,"suffix":""},{"dropping-particle":"","family":"Darcy","given":"Alison","non-dropping-particle":"","parse-names":false,"suffix":""},{"dropping-particle":"","family":"Vierhile","given":"Molly","non-dropping-particle":"","parse-names":false,"suffix":""}],"container-title":"JMIR Mental Health","id":"ITEM-1","issue":"2","issued":{"date-parts":[["2017"]]},"page":"e19","title":"Delivering Cognitive Behavior Therapy to Young Adults With Symptoms of Depression and Anxiety Using a Fully Automated Conversational Agent (Woebot): A Randomized Controlled Trial","type":"article-journal","volume":"4"},"uris":["http://www.mendeley.com/documents/?uuid=a8dbe825-244a-4e46-b0fc-3c92c12d70e1"]}],"mendeley":{"formattedCitation":"(Fitzpatrick, Darcy and Vierhile, 2017)","manualFormatting":"(Fitzpatrick et al., 2017)","plainTextFormattedCitation":"(Fitzpatrick, Darcy and Vierhile, 2017)","previouslyFormattedCitation":"(Fitzpatrick, Darcy and Vierhile, 2017)"},"properties":{"noteIndex":0},"schema":"https://github.com/citation-style-language/schema/raw/master/csl-citation.json"}</w:instrText>
      </w:r>
      <w:r>
        <w:fldChar w:fldCharType="separate"/>
      </w:r>
      <w:r w:rsidRPr="00903DF3">
        <w:rPr>
          <w:noProof/>
        </w:rPr>
        <w:t>(Fitzpatrick et al.</w:t>
      </w:r>
      <w:r>
        <w:rPr>
          <w:noProof/>
        </w:rPr>
        <w:t>,</w:t>
      </w:r>
      <w:r w:rsidRPr="00903DF3">
        <w:rPr>
          <w:noProof/>
        </w:rPr>
        <w:t xml:space="preserve"> 2017)</w:t>
      </w:r>
      <w:r>
        <w:fldChar w:fldCharType="end"/>
      </w:r>
      <w:r>
        <w:t xml:space="preserve"> and a conversational agent by </w:t>
      </w:r>
      <w:r w:rsidRPr="00A04FF4">
        <w:rPr>
          <w:noProof/>
        </w:rPr>
        <w:t>Ly, Ly and Andersson</w:t>
      </w:r>
      <w:r>
        <w:t xml:space="preserve"> </w:t>
      </w:r>
      <w:r>
        <w:fldChar w:fldCharType="begin" w:fldLock="1"/>
      </w:r>
      <w:r>
        <w:instrText>ADDIN CSL_CITATION {"citationItems":[{"id":"ITEM-1","itemData":{"DOI":"10.1016/j.invent.2017.10.002","ISBN":"2214-7829","ISSN":"22147829","abstract":"Fully automated self-help interventions can serve as highly cost-effective mental health promotion tools for massive amounts of people. However, these interventions are often characterised by poor adherence. One way to address this problem is to mimic therapy support by a conversational agent. The objectives of this study were to assess the effectiveness and adherence of a smartphone app, delivering strategies used in positive psychology and CBT interventions via an automated chatbot (Shim) for a non-clinical population — as well as to explore participants' views and experiences of interacting with this chatbot. A total of 28 participants were randomized to either receive the chatbot intervention (n = 14) or to a wait-list control group (n = 14). Findings revealed that participants who adhered to the intervention (n = 13) showed significant interaction effects of group and time on psychological well-being (FS) and perceived stress (PSS-10) compared to the wait-list control group, with small to large between effect sizes (Cohen's d range 0.14–1.06). Also, the participants showed high engagement during the 2-week long intervention, with an average open app ratio of 17.71 times for the whole period. This is higher compared to other studies on fully automated interventions claiming to be highly engaging, such as Woebot and the Panoply app. The qualitative data revealed sub-themes which, to our knowledge, have not been found previously, such as the moderating format of the chatbot. The results of this study, in particular the good adherence rate, validated the usefulness of replicating this study in the future with a larger sample size and an active control group. This is important, as the search for fully automated, yet highly engaging and effective digital self-help interventions for promoting mental health is crucial for the public health.","author":[{"dropping-particle":"","family":"Ly","given":"Kien Hoa","non-dropping-particle":"","parse-names":false,"suffix":""},{"dropping-particle":"","family":"Ly","given":"Ann Marie","non-dropping-particle":"","parse-names":false,"suffix":""},{"dropping-particle":"","family":"Andersson","given":"Gerhard","non-dropping-particle":"","parse-names":false,"suffix":""}],"container-title":"Internet Interventions","id":"ITEM-1","issue":"August","issued":{"date-parts":[["2017"]]},"page":"39-46","publisher":"Elsevier","title":"A fully automated conversational agent for promoting mental well-being: A pilot RCT using mixed methods","type":"article-journal","volume":"10"},"uris":["http://www.mendeley.com/documents/?uuid=8fc6354f-7575-4b38-8c1f-a6579f62a652"]}],"mendeley":{"formattedCitation":"(Ly, Ly and Andersson, 2017)","manualFormatting":"(2017)","plainTextFormattedCitation":"(Ly, Ly and Andersson, 2017)","previouslyFormattedCitation":"(Ly, Ly and Andersson, 2017)"},"properties":{"noteIndex":0},"schema":"https://github.com/citation-style-language/schema/raw/master/csl-citation.json"}</w:instrText>
      </w:r>
      <w:r>
        <w:fldChar w:fldCharType="separate"/>
      </w:r>
      <w:r w:rsidRPr="00A04FF4">
        <w:rPr>
          <w:noProof/>
        </w:rPr>
        <w:t>(2017)</w:t>
      </w:r>
      <w:r>
        <w:fldChar w:fldCharType="end"/>
      </w:r>
      <w:r>
        <w:t xml:space="preserve"> but the majority are commercially developed programs with no academic publications</w:t>
      </w:r>
      <w:r w:rsidR="00554CB4">
        <w:t xml:space="preserve">.  </w:t>
      </w:r>
      <w:r>
        <w:t xml:space="preserve">Some examples are Tess </w:t>
      </w:r>
      <w:r>
        <w:fldChar w:fldCharType="begin" w:fldLock="1"/>
      </w:r>
      <w:r>
        <w:instrText>ADDIN CSL_CITATION {"citationItems":[{"id":"ITEM-1","itemData":{"URL":"http://x2ai.com/#","accessed":{"date-parts":[["2018","4","6"]]},"author":[{"dropping-particle":"","family":"X2 AI","given":"","non-dropping-particle":"","parse-names":false,"suffix":""}],"id":"ITEM-1","issued":{"date-parts":[["2018"]]},"title":"X2 AI – Mental Health Chatbot","type":"webpage"},"uris":["http://www.mendeley.com/documents/?uuid=141217a7-16c8-376d-94af-0d7b678984b8"]}],"mendeley":{"formattedCitation":"(X2 AI, 2018)","plainTextFormattedCitation":"(X2 AI, 2018)","previouslyFormattedCitation":"(X2 AI, 2018)"},"properties":{"noteIndex":0},"schema":"https://github.com/citation-style-language/schema/raw/master/csl-citation.json"}</w:instrText>
      </w:r>
      <w:r>
        <w:fldChar w:fldCharType="separate"/>
      </w:r>
      <w:r w:rsidRPr="00EC0C24">
        <w:rPr>
          <w:noProof/>
        </w:rPr>
        <w:t>(X2 AI, 2018)</w:t>
      </w:r>
      <w:r>
        <w:fldChar w:fldCharType="end"/>
      </w:r>
      <w:r>
        <w:t xml:space="preserve">, Abi </w:t>
      </w:r>
      <w:r>
        <w:fldChar w:fldCharType="begin" w:fldLock="1"/>
      </w:r>
      <w:r>
        <w:instrText>ADDIN CSL_CITATION {"citationItems":[{"id":"ITEM-1","itemData":{"URL":"https://abi.ai/","accessed":{"date-parts":[["2018","4","6"]]},"author":[{"dropping-particle":"","family":"Abi Global Health Limited","given":"","non-dropping-particle":"","parse-names":false,"suffix":""}],"id":"ITEM-1","issued":{"date-parts":[["2018"]]},"title":"Abi — Fast Help From Friendly Doctors","type":"webpage"},"uris":["http://www.mendeley.com/documents/?uuid=429303f6-3084-3f0f-a694-b6c873a8dfc9"]}],"mendeley":{"formattedCitation":"(Abi Global Health Limited, 2018)","plainTextFormattedCitation":"(Abi Global Health Limited, 2018)","previouslyFormattedCitation":"(Abi Global Health Limited, 2018)"},"properties":{"noteIndex":0},"schema":"https://github.com/citation-style-language/schema/raw/master/csl-citation.json"}</w:instrText>
      </w:r>
      <w:r>
        <w:fldChar w:fldCharType="separate"/>
      </w:r>
      <w:r w:rsidRPr="00FE120A">
        <w:rPr>
          <w:noProof/>
        </w:rPr>
        <w:t>(Abi Global Health Limited, 2018)</w:t>
      </w:r>
      <w:r>
        <w:fldChar w:fldCharType="end"/>
      </w:r>
      <w:r>
        <w:t xml:space="preserve">, Ada </w:t>
      </w:r>
      <w:r>
        <w:fldChar w:fldCharType="begin" w:fldLock="1"/>
      </w:r>
      <w:r>
        <w:instrText>ADDIN CSL_CITATION {"citationItems":[{"id":"ITEM-1","itemData":{"URL":"https://ada.com/","accessed":{"date-parts":[["2018","4","6"]]},"author":[{"dropping-particle":"","family":"Ada Health Gmbh","given":"","non-dropping-particle":"","parse-names":false,"suffix":""}],"id":"ITEM-1","issued":{"date-parts":[["2018"]]},"title":"Ada - Personal Health Companion App","type":"webpage"},"uris":["http://www.mendeley.com/documents/?uuid=4cc7b156-e167-3c1e-b769-c774abcbee10"]}],"mendeley":{"formattedCitation":"(Ada Health Gmbh, 2018)","plainTextFormattedCitation":"(Ada Health Gmbh, 2018)","previouslyFormattedCitation":"(Ada Health Gmbh, 2018)"},"properties":{"noteIndex":0},"schema":"https://github.com/citation-style-language/schema/raw/master/csl-citation.json"}</w:instrText>
      </w:r>
      <w:r>
        <w:fldChar w:fldCharType="separate"/>
      </w:r>
      <w:r w:rsidRPr="00FE120A">
        <w:rPr>
          <w:noProof/>
        </w:rPr>
        <w:t>(Ada Health Gmbh, 2018)</w:t>
      </w:r>
      <w:r>
        <w:fldChar w:fldCharType="end"/>
      </w:r>
      <w:r>
        <w:t xml:space="preserve">, and Joy </w:t>
      </w:r>
      <w:r>
        <w:fldChar w:fldCharType="begin" w:fldLock="1"/>
      </w:r>
      <w:r>
        <w:instrText>ADDIN CSL_CITATION {"citationItems":[{"id":"ITEM-1","itemData":{"URL":"http://www.hellojoy.ai/","accessed":{"date-parts":[["2018","4","6"]]},"author":[{"dropping-particle":"","family":"hellojoy","given":"","non-dropping-particle":"","parse-names":false,"suffix":""}],"id":"ITEM-1","issued":{"date-parts":[["2018"]]},"title":"Joy","type":"webpage"},"uris":["http://www.mendeley.com/documents/?uuid=70dfc6a9-8a5c-3ee5-9366-7ee7762ad7fc"]}],"mendeley":{"formattedCitation":"(hellojoy, 2018)","plainTextFormattedCitation":"(hellojoy, 2018)","previouslyFormattedCitation":"(hellojoy, 2018)"},"properties":{"noteIndex":0},"schema":"https://github.com/citation-style-language/schema/raw/master/csl-citation.json"}</w:instrText>
      </w:r>
      <w:r>
        <w:fldChar w:fldCharType="separate"/>
      </w:r>
      <w:r w:rsidRPr="001F33A1">
        <w:rPr>
          <w:noProof/>
        </w:rPr>
        <w:t>(hellojoy, 2018)</w:t>
      </w:r>
      <w:r>
        <w:fldChar w:fldCharType="end"/>
      </w:r>
      <w:r>
        <w:t>.</w:t>
      </w:r>
      <w:r w:rsidR="00554CB4">
        <w:t xml:space="preserve">  </w:t>
      </w:r>
      <w:r>
        <w:t xml:space="preserve">Those that have attempted to develop e-therapy both guided and unguided have predominately used cognitive behaviour therapy (CBT) treatment </w:t>
      </w:r>
      <w:r>
        <w:fldChar w:fldCharType="begin" w:fldLock="1"/>
      </w:r>
      <w:r>
        <w:instrText>ADDIN CSL_CITATION {"citationItems":[{"id":"ITEM-1","itemData":{"DOI":"10.1375/bech.26.4.245","ISBN":"0813-4839","ISSN":"08134839","PMID":"936332106034302","abstract":"&lt;p&gt;Reviews have demonstrated large effect sizes when using computerised cognitive behaviour therapy (CBT) protocols for treating anxiety, depression and health related concerns. However, the amount of therapist contact per user seems to be the most significant prognostic indicator. Thus, in some ways current online interventions can be viewed primarily as an extension of one-on-one therapy. The present article provides guidelines for targeting this limitation of online psychological interventions. The goal is to mimic the therapeutic relationship using a computer, without having any therapist involved. Consequently, thousands of users would be able to receive treatment simultaneously, reaching a wider audience, which was the initial goal of the online model. The development of a treatment program using file audit data is suggested as an alternative to having an individual therapist for each user. This is done by allowing the ‘computer psychologist’ to tailor individualised treatments for each user based on their psychological profile. The user is provided with individualised corrective feedback based on a set of prewritten responses to common faulty thoughts. A new paradigm is proposed for online treatment delivery.&lt;/p&gt;","author":[{"dropping-particle":"","family":"Helgadóttir","given":"Fjóla Dögg","non-dropping-particle":"","parse-names":false,"suffix":""},{"dropping-particle":"","family":"Menzies","given":"Ross G.","non-dropping-particle":"","parse-names":false,"suffix":""},{"dropping-particle":"","family":"Onslow","given":"Mark","non-dropping-particle":"","parse-names":false,"suffix":""},{"dropping-particle":"","family":"Packman","given":"Ann","non-dropping-particle":"","parse-names":false,"suffix":""},{"dropping-particle":"","family":"O'Brian","given":"Sue","non-dropping-particle":"","parse-names":false,"suffix":""}],"container-title":"Behaviour Change","id":"ITEM-1","issue":"4","issued":{"date-parts":[["2009"]]},"page":"245-253","title":"Online CBT I: Bridging the gap between Eliza and modern online CBT treatment packages","type":"article-journal","volume":"26"},"uris":["http://www.mendeley.com/documents/?uuid=04bb4b31-a945-4458-92ce-b0bc625b3032"]}],"mendeley":{"formattedCitation":"(Helgadóttir &lt;i&gt;et al.&lt;/i&gt;, 2009)","plainTextFormattedCitation":"(Helgadóttir et al., 2009)","previouslyFormattedCitation":"(Helgadóttir &lt;i&gt;et al.&lt;/i&gt;, 2009)"},"properties":{"noteIndex":0},"schema":"https://github.com/citation-style-language/schema/raw/master/csl-citation.json"}</w:instrText>
      </w:r>
      <w:r>
        <w:fldChar w:fldCharType="separate"/>
      </w:r>
      <w:r w:rsidRPr="00EA150C">
        <w:rPr>
          <w:noProof/>
        </w:rPr>
        <w:t xml:space="preserve">(Helgadóttir </w:t>
      </w:r>
      <w:r w:rsidRPr="00EA150C">
        <w:rPr>
          <w:i/>
          <w:noProof/>
        </w:rPr>
        <w:t>et al.</w:t>
      </w:r>
      <w:r w:rsidRPr="00EA150C">
        <w:rPr>
          <w:noProof/>
        </w:rPr>
        <w:t>, 2009)</w:t>
      </w:r>
      <w:r>
        <w:fldChar w:fldCharType="end"/>
      </w:r>
      <w:r>
        <w:t>.  One reason for this may be the manualised and procedural way CBT is generally disseminated can be operationalised, making it a good fit for automation</w:t>
      </w:r>
      <w:r w:rsidR="00554CB4">
        <w:t xml:space="preserve">.  </w:t>
      </w:r>
      <w:r>
        <w:t>Conversely, conversational therapies are by nature less rigid and thus their automation presents greater computational challenges.</w:t>
      </w:r>
    </w:p>
    <w:p w14:paraId="014CE321" w14:textId="77777777" w:rsidR="00111E4D" w:rsidRDefault="00111E4D" w:rsidP="00111E4D">
      <w:pPr>
        <w:pStyle w:val="Heading3"/>
      </w:pPr>
      <w:bookmarkStart w:id="331" w:name="_Toc530598176"/>
      <w:bookmarkStart w:id="332" w:name="_Toc530660529"/>
      <w:bookmarkStart w:id="333" w:name="_Toc3538130"/>
      <w:r>
        <w:t>Manage Your Life Online (MYLO)</w:t>
      </w:r>
      <w:bookmarkEnd w:id="331"/>
      <w:bookmarkEnd w:id="332"/>
      <w:bookmarkEnd w:id="333"/>
    </w:p>
    <w:p w14:paraId="7DB226BA" w14:textId="6A91BAAE" w:rsidR="00111E4D" w:rsidRDefault="00111E4D" w:rsidP="00111E4D">
      <w:r>
        <w:t>Developing a self-help conversational agent</w:t>
      </w:r>
      <w:r w:rsidDel="00D735D2">
        <w:t xml:space="preserve"> </w:t>
      </w:r>
      <w:r>
        <w:t>from scratch would be a large undertaking, and beyond the scope of a PhD.  So, for this body of research a self-help conversational agent developed and piloted by the University of Manchester</w:t>
      </w:r>
      <w:r w:rsidRPr="002E392B">
        <w:t xml:space="preserve"> </w:t>
      </w:r>
      <w:r>
        <w:t xml:space="preserve">called Manage Your Life Online (MYLO; </w:t>
      </w:r>
      <w:r>
        <w:fldChar w:fldCharType="begin" w:fldLock="1"/>
      </w:r>
      <w:r>
        <w:instrText>ADDIN CSL_CITATION {"citationItems":[{"id":"ITEM-1","itemData":{"DOI":"10.1017/S1352465817000820","ISBN":"1352465817","ISSN":"1352-4658","PMID":"29366432","abstract":"&lt;p&gt; &lt;bold&gt;Background:&lt;/bold&gt; Evidence for the efficacy of computer-based psychological interventions is growing. A number of such interventions have been found to be effective, especially for mild to moderate cases. They largely rely on psychoeducation and ‘homework tasks’, and are specific to certain diagnoses (e.g. depression). &lt;bold&gt;Aims:&lt;/bold&gt; This paper presents the results of a web-based randomized controlled trial of Manage Your Life Online (MYLO), a program that uses artificial intelligence to engage the participant in a conversation across any problem topic. &lt;bold&gt;Method:&lt;/bold&gt; Healthy volunteers ( &lt;italic&gt;n&lt;/italic&gt; = 213) completed a baseline questionnaire and were randomized to the MYLO program or to an active control condition where they used the program ELIZA, which emulates a Rogerian psychotherapist. Participants completed a single session before completing post-study and 2-week follow-up measures. &lt;bold&gt;Results:&lt;/bold&gt; Analyses were per protocol with intent to follow-up. Both programs were associated with improvements in problem distress, anxiety and depression post-intervention, and again 2 weeks later, but MYLO was not found to be more effective than ELIZA. MYLO was rated as significantly more helpful than ELIZA, but there was no main effect of intervention on problem resolution. &lt;bold&gt;Conclusions:&lt;/bold&gt; Findings are consistent with those of a previous smaller, laboratory-based trial and provide support for the acceptability and effectiveness of MYLO delivered over the internet for a non-clinical sample. The lack of a no-treatment control condition means that the effect of spontaneous recovery cannot be ruled out. &lt;/p&gt;","author":[{"dropping-particle":"","family":"Bird","given":"Timothy","non-dropping-particle":"","parse-names":false,"suffix":""},{"dropping-particle":"","family":"Mansell","given":"Warren","non-dropping-particle":"","parse-names":false,"suffix":""},{"dropping-particle":"","family":"Wright","given":"Jason","non-dropping-particle":"","parse-names":false,"suffix":""},{"dropping-particle":"","family":"Gaffney","given":"Hannah","non-dropping-particle":"","parse-names":false,"suffix":""},{"dropping-particle":"","family":"Tai","given":"Sara","non-dropping-particle":"","parse-names":false,"suffix":""}],"container-title":"Behavioural and Cognitive Psychotherapy","id":"ITEM-1","issued":{"date-parts":[["2018"]]},"page":"1-13","title":"Manage Your Life Online: A Web-Based Randomized Controlled Trial Evaluating the Effectiveness of a Problem-Solving Intervention in a Student Sample","type":"article-journal"},"uris":["http://www.mendeley.com/documents/?uuid=2d20f79e-aeeb-44e9-9048-df6b168d56be"]}],"mendeley":{"formattedCitation":"(Bird &lt;i&gt;et al.&lt;/i&gt;, 2018)","manualFormatting":"Bird et al., 2018)","plainTextFormattedCitation":"(Bird et al., 2018)","previouslyFormattedCitation":"(Bird &lt;i&gt;et al.&lt;/i&gt;, 2018)"},"properties":{"noteIndex":0},"schema":"https://github.com/citation-style-language/schema/raw/master/csl-citation.json"}</w:instrText>
      </w:r>
      <w:r>
        <w:fldChar w:fldCharType="separate"/>
      </w:r>
      <w:r w:rsidRPr="00774134">
        <w:rPr>
          <w:noProof/>
        </w:rPr>
        <w:t xml:space="preserve">Bird </w:t>
      </w:r>
      <w:r w:rsidRPr="00774134">
        <w:rPr>
          <w:i/>
          <w:noProof/>
        </w:rPr>
        <w:t>et al.</w:t>
      </w:r>
      <w:r w:rsidRPr="00774134">
        <w:rPr>
          <w:noProof/>
        </w:rPr>
        <w:t>, 2018)</w:t>
      </w:r>
      <w:r>
        <w:fldChar w:fldCharType="end"/>
      </w:r>
      <w:r>
        <w:t xml:space="preserve"> is being used with the permission of its intellectual owner Dr Warren Mansell.  The intervention is based on Method of Levels therapy (MOL; </w:t>
      </w:r>
      <w:r>
        <w:fldChar w:fldCharType="begin" w:fldLock="1"/>
      </w:r>
      <w:r>
        <w:instrText>ADDIN CSL_CITATION {"citationItems":[{"id":"ITEM-1","itemData":{"ISBN":"9780974015545","abstract":"CD-ROM has title: Perceptual control theory : introductions, tutorials, simulations, articles, links.","author":[{"dropping-particle":"","family":"Carey","given":"Timothy A.","non-dropping-particle":"","parse-names":false,"suffix":""}],"id":"ITEM-1","issued":{"date-parts":[["2006"]]},"page":"178","publisher":"Hayward, CA: Living Control Systems Publishing.","title":"The method of levels: how to do psychotherapy without getting in the way","type":"article-journal"},"uris":["http://www.mendeley.com/documents/?uuid=e0a7d341-deb7-4e95-9b2e-c1304446f080"]}],"mendeley":{"formattedCitation":"(Carey, 2006)","manualFormatting":"Carey, 2006","plainTextFormattedCitation":"(Carey, 2006)","previouslyFormattedCitation":"(Carey, 2006)"},"properties":{"noteIndex":0},"schema":"https://github.com/citation-style-language/schema/raw/master/csl-citation.json"}</w:instrText>
      </w:r>
      <w:r>
        <w:fldChar w:fldCharType="separate"/>
      </w:r>
      <w:r w:rsidRPr="00C72D1F">
        <w:rPr>
          <w:noProof/>
        </w:rPr>
        <w:t>Carey, 2006</w:t>
      </w:r>
      <w:r>
        <w:fldChar w:fldCharType="end"/>
      </w:r>
      <w:r>
        <w:t xml:space="preserve">), which in turn is </w:t>
      </w:r>
      <w:r w:rsidRPr="00CD5E11">
        <w:rPr>
          <w:noProof/>
        </w:rPr>
        <w:t>based on the main beliefs of perceptual control theory (PCT;</w:t>
      </w:r>
      <w:r w:rsidRPr="00E361A5">
        <w:t xml:space="preserve"> </w:t>
      </w:r>
      <w:r>
        <w:fldChar w:fldCharType="begin" w:fldLock="1"/>
      </w:r>
      <w:r>
        <w:instrText>ADDIN CSL_CITATION {"citationItems":[{"id":"ITEM-1","itemData":{"DOI":"10.1002/bs.3830190609","ISSN":"00057940","author":[{"dropping-particle":"","family":"Stallings","given":"William","non-dropping-particle":"","parse-names":false,"suffix":""}],"container-title":"Behavioral Science","id":"ITEM-1","issue":"6","issued":{"date-parts":[["1974","11","1"]]},"page":"415-417","publisher":"John Wiley &amp; Sons, Ltd.","title":"William T. Powers. Behavior: The control of perception. Chicago: Aldine publishing co., 1973, 296 pp","type":"article-journal","volume":"19"},"uris":["http://www.mendeley.com/documents/?uuid=79b1c64b-4c4f-3b2a-ba87-ab4711e65804"]}],"mendeley":{"formattedCitation":"(Stallings, 1974)","manualFormatting":" Powers, 1973)","plainTextFormattedCitation":"(Stallings, 1974)","previouslyFormattedCitation":"(Stallings, 1974)"},"properties":{"noteIndex":0},"schema":"https://github.com/citation-style-language/schema/raw/master/csl-citation.json"}</w:instrText>
      </w:r>
      <w:r>
        <w:fldChar w:fldCharType="separate"/>
      </w:r>
      <w:r w:rsidRPr="00C72D1F">
        <w:rPr>
          <w:noProof/>
        </w:rPr>
        <w:t xml:space="preserve"> Powers, 1973</w:t>
      </w:r>
      <w:r w:rsidRPr="00A714C7">
        <w:rPr>
          <w:noProof/>
        </w:rPr>
        <w:t>)</w:t>
      </w:r>
      <w:r>
        <w:fldChar w:fldCharType="end"/>
      </w:r>
      <w:r>
        <w:t xml:space="preserve">.  PCT </w:t>
      </w:r>
      <w:r w:rsidRPr="00E361A5">
        <w:t>emerged from an amalgamation of concepts and methods taken from engineered control system and applied to biological control systems</w:t>
      </w:r>
      <w:r w:rsidR="00554CB4">
        <w:t xml:space="preserve">.  </w:t>
      </w:r>
      <w:r>
        <w:t xml:space="preserve">It provides an amalgamated model of human functionality that includes an integrated explanation of how psychological distress manifests and is maintained </w:t>
      </w:r>
      <w:r>
        <w:fldChar w:fldCharType="begin" w:fldLock="1"/>
      </w:r>
      <w:r>
        <w:instrText>ADDIN CSL_CITATION {"citationItems":[{"id":"ITEM-1","itemData":{"ISBN":"9780974015545","abstract":"CD-ROM has title: Perceptual control theory : introductions, tutorials, simulations, articles, links.","author":[{"dropping-particle":"","family":"Carey","given":"Timothy A.","non-dropping-particle":"","parse-names":false,"suffix":""}],"id":"ITEM-1","issued":{"date-parts":[["2006"]]},"page":"178","publisher":"Hayward, CA: Living Control Systems Publishing.","title":"The method of levels: how to do psychotherapy without getting in the way","type":"article-journal"},"uris":["http://www.mendeley.com/documents/?uuid=e0a7d341-deb7-4e95-9b2e-c1304446f080"]},{"id":"ITEM-2","itemData":{"DOI":"10.1016/j.cpr.2010.01.005","ISSN":"02727358","PMID":"20171771","abstract":"The exact nature and mechanisms of psychological change within psychological disorders remain unknown. This review aims to use a psychological framework known as Perceptual Control Theory (Powers, 1973, 2005; Powers, Clark, &amp; McFarland, 1960) to integrate the diverse literature within psychotherapy research. The core principles of Perceptual Control Theory are explained, and key domains of psychotherapy are considered to explore how well they converge with these principles. The quantitative and qualitative empirical literature on the process of psychological change is reviewed to examine how it fits with predictions based on Perceptual Control Theory. Furthermore, the prerequisites for psychological change; client qualities, therapist qualities, the therapeutic alliance and the shifting of awareness, are also considered to examine their consistency within a Perceptual Control Theory account. Finally the strengths and limitations of a Perceptual Control Theory account in explaining the mechanism of psychological change are considered.","author":[{"dropping-particle":"","family":"Higginson","given":"Sally","non-dropping-particle":"","parse-names":false,"suffix":""},{"dropping-particle":"","family":"Mansell","given":"Warren","non-dropping-particle":"","parse-names":false,"suffix":""},{"dropping-particle":"","family":"Wood","given":"Alex M.","non-dropping-particle":"","parse-names":false,"suffix":""}],"container-title":"Clinical Psychology Review","id":"ITEM-2","issue":"2","issued":{"date-parts":[["2011","3"]]},"page":"249-259","title":"An integrative mechanistic account of psychological distress, therapeutic change and recovery: The Perceptual Control Theory approach","type":"article-journal","volume":"31"},"uris":["http://www.mendeley.com/documents/?uuid=20ee1869-c67d-37d1-9f3e-5f5872b29a3c"]},{"id":"ITEM-3","itemData":{"DOI":"10.1348/147608304X21400","ISSN":"14760835","PMID":"16004696","abstract":"Perceptual control theory (PCT; Powers, 1973) is presented and adapted as a framework to understand the causes, maintenance, and treatment of psychological disorders. PCT provides dynamic, working models based on the principle that goal-directed activity arises from a hierarchy of negative feedback loops that control perception through control of the environment. The theory proposes that psychological distress arises from the unresolved conflict between goals. The present paper integrates PCT, control theory, and self-regulatory approaches to psychopathology and psychotherapy and recent empirical findings, particularly in the field of cognitive therapy. The approach aims to offer fresh insights into the role of goal conflict, automatic processes, imagery, perceptual distortion, and loss of control in psychological disorders. Implications for psychological therapy are discussed, including an integration of the existing work on the assessment of control profiles and the use of assertive versus yielding modes of control.","author":[{"dropping-particle":"","family":"Mansell","given":"Warren","non-dropping-particle":"","parse-names":false,"suffix":""}],"container-title":"Psychology and Psychotherapy: Theory, Research and Practice","id":"ITEM-3","issue":"2","issued":{"date-parts":[["2005","6"]]},"page":"141-178","title":"Control theory and psychopathology: An integrative approach","type":"article-journal","volume":"78"},"uris":["http://www.mendeley.com/documents/?uuid=5a352a57-fb06-3e3c-8769-a2cfea2d2ccd"]}],"mendeley":{"formattedCitation":"(Mansell, 2005; Carey, 2006; Higginson, Mansell and Wood, 2011)","plainTextFormattedCitation":"(Mansell, 2005; Carey, 2006; Higginson, Mansell and Wood, 2011)","previouslyFormattedCitation":"(Mansell, 2005; Carey, 2006; Higginson, Mansell and Wood, 2011)"},"properties":{"noteIndex":0},"schema":"https://github.com/citation-style-language/schema/raw/master/csl-citation.json"}</w:instrText>
      </w:r>
      <w:r>
        <w:fldChar w:fldCharType="separate"/>
      </w:r>
      <w:r w:rsidRPr="007C40ED">
        <w:rPr>
          <w:noProof/>
        </w:rPr>
        <w:t>(Mansell, 2005; Carey, 2006; Higginson, Mansell and Wood, 2011)</w:t>
      </w:r>
      <w:r>
        <w:fldChar w:fldCharType="end"/>
      </w:r>
      <w:r>
        <w:t xml:space="preserve">.  Central to PCT is the principle of control, the idea that humans act to control their perceptions which are susceptible to disturbances from aspects of the environment </w:t>
      </w:r>
      <w:r>
        <w:fldChar w:fldCharType="begin" w:fldLock="1"/>
      </w:r>
      <w:r>
        <w:instrText>ADDIN CSL_CITATION {"citationItems":[{"id":"ITEM-1","itemData":{"abstract":"Proposes a new model of behavior based on the theory that one's perceptions are all that can be known, and that the purpose of all actions is to control the state of this perceived world. A hierarchical structure of neurological control systems is suggested in which each control system specifies the behavior of lower level systems and thus controls its own perceptions. Conflicts of this model with behaviorism and psychoanalysis are examined. (PsycINFO Database Record (c) 2012 APA, all rights reserved)","author":[{"dropping-particle":"","family":"Powers","given":"William T","non-dropping-particle":"","parse-names":false,"suffix":""}],"id":"ITEM-1","issued":{"date-parts":[["1973"]]},"number-of-pages":"xi, 296","title":"Behavior: The control of perception.","type":"book"},"uris":["http://www.mendeley.com/documents/?uuid=6bd70779-3535-4830-9a2a-89d35a27be2f"]},{"id":"ITEM-2","itemData":{"DOI":"10.2466/PMS.11.7.309-323","ISSN":"0031-5125","author":[{"dropping-particle":"","family":"Powers","given":"W. T.","non-dropping-particle":"","parse-names":false,"suffix":""},{"dropping-particle":"","family":"Clark","given":"R. K.","non-dropping-particle":"","parse-names":false,"suffix":""},{"dropping-particle":"","family":"McFarland","given":"R. L.","non-dropping-particle":"","parse-names":false,"suffix":""}],"container-title":"Perceptual and Motor Skills","id":"ITEM-2","issue":"7","issued":{"date-parts":[["1960"]]},"page":"309-323","title":"A General Feedback Theory of Human Behaviour: Part II","type":"article-journal","volume":"11"},"uris":["http://www.mendeley.com/documents/?uuid=cb7c638e-a099-3534-857d-074890be98ed"]}],"mendeley":{"formattedCitation":"(Powers, Clark and McFarland, 1960; Powers, 1973)","plainTextFormattedCitation":"(Powers, Clark and McFarland, 1960; Powers, 1973)","previouslyFormattedCitation":"(Powers, Clark and McFarland, 1960; Powers, 1973)"},"properties":{"noteIndex":0},"schema":"https://github.com/citation-style-language/schema/raw/master/csl-citation.json"}</w:instrText>
      </w:r>
      <w:r>
        <w:fldChar w:fldCharType="separate"/>
      </w:r>
      <w:r w:rsidRPr="00C72D1F">
        <w:rPr>
          <w:noProof/>
        </w:rPr>
        <w:t>(Powers, Clark and McFarland, 1960; Powers, 1973)</w:t>
      </w:r>
      <w:r>
        <w:fldChar w:fldCharType="end"/>
      </w:r>
      <w:r>
        <w:t xml:space="preserve">.  The PCT viewpoint on this is that problems within functioning are assumed to be problems in the process of control.  Control is established through three key components: perception, comparison and action, which together form a negative feedback loop considered to be the most important element in the process of control (Carey, 2008).  Each negative feedback loop is responsible for the control of one perception, an input function serves to perceive moment to moment representations of the controlled perception, and this is then compared with an internal preselected value of how we want that perception to be (Carey, 2008).  </w:t>
      </w:r>
      <w:r w:rsidRPr="003C1EC7">
        <w:rPr>
          <w:noProof/>
        </w:rPr>
        <w:t>If a discrepancy is detected between the desired</w:t>
      </w:r>
      <w:r>
        <w:t xml:space="preserve"> perception </w:t>
      </w:r>
      <w:r>
        <w:lastRenderedPageBreak/>
        <w:t>and the current perception the output function will alter in order to reduce the detected discrepancy, therefore causing the input to match the internal reference value, at which point the particular perception is said to be under control of the individual (Carey, 2008).</w:t>
      </w:r>
    </w:p>
    <w:p w14:paraId="3684A130" w14:textId="6114D8EB" w:rsidR="00111E4D" w:rsidRDefault="00111E4D" w:rsidP="00111E4D">
      <w:r>
        <w:t xml:space="preserve">Method of Levels therapy (MOL; </w:t>
      </w:r>
      <w:r>
        <w:fldChar w:fldCharType="begin" w:fldLock="1"/>
      </w:r>
      <w:r>
        <w:instrText>ADDIN CSL_CITATION {"citationItems":[{"id":"ITEM-1","itemData":{"ISBN":"9780974015545","abstract":"CD-ROM has title: Perceptual control theory : introductions, tutorials, simulations, articles, links.","author":[{"dropping-particle":"","family":"Carey","given":"Timothy A.","non-dropping-particle":"","parse-names":false,"suffix":""}],"id":"ITEM-1","issued":{"date-parts":[["2006"]]},"page":"178","publisher":"Hayward, CA: Living Control Systems Publishing.","title":"The method of levels: how to do psychotherapy without getting in the way","type":"article-journal"},"uris":["http://www.mendeley.com/documents/?uuid=e0a7d341-deb7-4e95-9b2e-c1304446f080"]}],"mendeley":{"formattedCitation":"(Carey, 2006)","manualFormatting":"Carey, 2006","plainTextFormattedCitation":"(Carey, 2006)","previouslyFormattedCitation":"(Carey, 2006)"},"properties":{"noteIndex":0},"schema":"https://github.com/citation-style-language/schema/raw/master/csl-citation.json"}</w:instrText>
      </w:r>
      <w:r>
        <w:fldChar w:fldCharType="separate"/>
      </w:r>
      <w:r w:rsidRPr="00C72D1F">
        <w:rPr>
          <w:noProof/>
        </w:rPr>
        <w:t>Carey, 2006</w:t>
      </w:r>
      <w:r>
        <w:fldChar w:fldCharType="end"/>
      </w:r>
      <w:r>
        <w:t xml:space="preserve">) is </w:t>
      </w:r>
      <w:proofErr w:type="spellStart"/>
      <w:r>
        <w:t>transdiagnostic</w:t>
      </w:r>
      <w:proofErr w:type="spellEnd"/>
      <w:r>
        <w:t xml:space="preserve"> and uses open questioning techniques to focus </w:t>
      </w:r>
      <w:r w:rsidRPr="003C1EC7">
        <w:rPr>
          <w:noProof/>
        </w:rPr>
        <w:t>on the process of thinking as opposed to the</w:t>
      </w:r>
      <w:r>
        <w:t xml:space="preserve"> content of what the client says</w:t>
      </w:r>
      <w:r w:rsidR="00554CB4">
        <w:t xml:space="preserve">.  </w:t>
      </w:r>
      <w:r>
        <w:t xml:space="preserve">MOL also does not depend on a client carrying out homework or using written designs and tools.  In a series of pragmatic trials, MOL has been evaluated in treating a range of difficulties in primary mental health care </w:t>
      </w:r>
      <w:r>
        <w:fldChar w:fldCharType="begin" w:fldLock="1"/>
      </w:r>
      <w:r>
        <w:instrText>ADDIN CSL_CITATION {"citationItems":[{"id":"ITEM-1","itemData":{"DOI":"10.1017/S1352465809005232","ISBN":"1352465809","ISSN":"1352-4658","PMID":"19371458","abstract":"BACKGROUND: Perceptual Control Theory (PCT) suggests that psychological distress can be conceptualized as the by-product of conflicted control systems.\\n\\nMETHOD: Using a program of psychotherapy based on the principles of PCT called the Method of Levels (MOL), a 12-month study was conducted with 120 patient participants and 4 clinicians. In this study, analyses of statistical significance were conducted. Qualitative data were also analysed to understand psychotherapy from patients' perspectives. Data were collected on the attendance patterns of patients, their ages, referral problem, and socio-economic background. A standardized questionnaire measured pre and post treatment effects. The null hypothesis of no difference between pre and post treatment scores was examined by the derivation of p values and the construction of 95% confidence intervals.\\n\\nRESULTS: In all cases the null hypothesis was rejected.\\n\\nCONCLUSIONS: Results suggest that MOL is a useful form of psychotherapy that warrants further investigation.","author":[{"dropping-particle":"","family":"Carey","given":"Timothy A.","non-dropping-particle":"","parse-names":false,"suffix":""},{"dropping-particle":"","family":"Carey","given":"Margaret","non-dropping-particle":"","parse-names":false,"suffix":""},{"dropping-particle":"","family":"Mullan","given":"Richard J.","non-dropping-particle":"","parse-names":false,"suffix":""},{"dropping-particle":"","family":"Spratt","given":"Christopher G.","non-dropping-particle":"","parse-names":false,"suffix":""},{"dropping-particle":"","family":"Spratt","given":"Margaret B.","non-dropping-particle":"","parse-names":false,"suffix":""}],"container-title":"Behavioural and Cognitive Psychotherapy","id":"ITEM-1","issue":"03","issued":{"date-parts":[["2009"]]},"page":"311","title":"Assessing the Statistical and Personal Significance of the Method of Levels","type":"article-journal","volume":"37"},"uris":["http://www.mendeley.com/documents/?uuid=71fb70d0-6893-43bf-b962-32eb1fa8380f"]},{"id":"ITEM-2","itemData":{"DOI":"10.1080/09515070701211304","ISSN":"0951-5070","abstract":"In an earlier paper (Carey, T. A. (2005). Can patients specify treatment parameters? A preliminary investigation. Clinical Psychology and Psychotherapy, 12, 326–335) an approach to treatment delivery was examined in which the duration and frequency of the appointments was scheduled by patients. Results of this approach were encouraging but the generalizability of the results was constrained because only one clinician trialed the approach and no standardized assessment measures were used. In the present study there are two clinicians involved and the Depression Anxiety Stress Scale (DASS) was used. The approach was introduced at one GP practice and monitored over a six-month period. Results suggest that this approach might be an effective way of promoting patient access to, and involvement in, service delivery as well as reducing waiting times.","author":[{"dropping-particle":"","family":"Carey","given":"Timothy A.","non-dropping-particle":"","parse-names":false,"suffix":""},{"dropping-particle":"","family":"Mullan","given":"Richard J.","non-dropping-particle":"","parse-names":false,"suffix":""}],"container-title":"Counselling Psychology Quarterly","id":"ITEM-2","issue":"1","issued":{"date-parts":[["2007","3"]]},"page":"27-40","publisher":" Routledge ","title":"Patients taking the lead. A naturalistic investigation of a patient led approach to treatment in primary care","type":"article-journal","volume":"20"},"uris":["http://www.mendeley.com/documents/?uuid=e9fad7b1-ef7c-329f-afe8-55f34cf2b1f7"]},{"id":"ITEM-3","itemData":{"DOI":"10.1080/09515070802396012","ISSN":"0951-5070","abstract":"An investigation of the method of levels (MOL) was undertaken. Based on the principles of perceptual control theory (PCT), MOL is a way of helping people to reduce psychological distress. MOL assumes that psychological distress results when people are unable to control experiences that are important to them. The approach was implemented over six months in a large urban GP practice. Patients attended for between one and six sessions. Patients who attended for more than one session demonstrated significant reductions in scores of symptomatology on a standardized questionnaire. Effect sizes of these differences were relatively large. There appeared to be no relationship between the number of sessions a patient attended and the amount of reduction in symptomatology that was recorded. Similarly, there was no relationship between the number of sessions a patient attended and their recorded level of symptomatology at their first appointment. Although the study has important limitations we suggest that these find...","author":[{"dropping-particle":"","family":"Carey","given":"Timothy A.","non-dropping-particle":"","parse-names":false,"suffix":""},{"dropping-particle":"","family":"Mullan","given":"Richard J.","non-dropping-particle":"","parse-names":false,"suffix":""}],"container-title":"Counselling Psychology Quarterly","id":"ITEM-3","issue":"3","issued":{"date-parts":[["2008","9"]]},"page":"247-256","publisher":" Routledge ","title":"Evaluating the method of levels","type":"article-journal","volume":"21"},"uris":["http://www.mendeley.com/documents/?uuid=b55e1e32-b81a-3a0b-98a8-b333527b738c"]}],"mendeley":{"formattedCitation":"(Carey and Mullan, 2007, 2008; Carey &lt;i&gt;et al.&lt;/i&gt;, 2009)","plainTextFormattedCitation":"(Carey and Mullan, 2007, 2008; Carey et al., 2009)","previouslyFormattedCitation":"(Carey and Mullan, 2007, 2008; Carey &lt;i&gt;et al.&lt;/i&gt;, 2009)"},"properties":{"noteIndex":0},"schema":"https://github.com/citation-style-language/schema/raw/master/csl-citation.json"}</w:instrText>
      </w:r>
      <w:r>
        <w:fldChar w:fldCharType="separate"/>
      </w:r>
      <w:r w:rsidRPr="00894E2F">
        <w:rPr>
          <w:noProof/>
        </w:rPr>
        <w:t xml:space="preserve">(Carey and Mullan, 2007, 2008; Carey </w:t>
      </w:r>
      <w:r w:rsidRPr="00894E2F">
        <w:rPr>
          <w:i/>
          <w:noProof/>
        </w:rPr>
        <w:t>et al.</w:t>
      </w:r>
      <w:r w:rsidRPr="00894E2F">
        <w:rPr>
          <w:noProof/>
        </w:rPr>
        <w:t>, 2009)</w:t>
      </w:r>
      <w:r>
        <w:fldChar w:fldCharType="end"/>
      </w:r>
      <w:r w:rsidRPr="00A714C7">
        <w:t xml:space="preserve">. </w:t>
      </w:r>
      <w:r>
        <w:t>Patients who received MOL in these studies</w:t>
      </w:r>
      <w:r w:rsidRPr="00A714C7">
        <w:t xml:space="preserve"> reported improvements in depression, anxiety and stress</w:t>
      </w:r>
      <w:r w:rsidR="00554CB4">
        <w:t xml:space="preserve">.  </w:t>
      </w:r>
      <w:r w:rsidRPr="00A714C7">
        <w:t xml:space="preserve">MOL aims to get the most out of client control, </w:t>
      </w:r>
      <w:r>
        <w:t>by allowing them to</w:t>
      </w:r>
      <w:r w:rsidRPr="00A714C7">
        <w:t xml:space="preserve"> determine the </w:t>
      </w:r>
      <w:r>
        <w:t>number</w:t>
      </w:r>
      <w:r w:rsidRPr="00A714C7">
        <w:t xml:space="preserve"> and </w:t>
      </w:r>
      <w:r>
        <w:t>length of therapy sessions they receive</w:t>
      </w:r>
      <w:r w:rsidR="00554CB4">
        <w:t xml:space="preserve">.  </w:t>
      </w:r>
      <w:r>
        <w:t xml:space="preserve">Unlike other conversational therapies, due to the simplicity of techniques and client centred </w:t>
      </w:r>
      <w:r w:rsidRPr="00A341C1">
        <w:rPr>
          <w:noProof/>
        </w:rPr>
        <w:t>nature of MOL i</w:t>
      </w:r>
      <w:r>
        <w:rPr>
          <w:noProof/>
        </w:rPr>
        <w:t>t is</w:t>
      </w:r>
      <w:r w:rsidRPr="00A341C1">
        <w:rPr>
          <w:noProof/>
        </w:rPr>
        <w:t xml:space="preserve"> well</w:t>
      </w:r>
      <w:r>
        <w:rPr>
          <w:noProof/>
        </w:rPr>
        <w:t xml:space="preserve"> suited</w:t>
      </w:r>
      <w:r w:rsidRPr="00A341C1">
        <w:rPr>
          <w:noProof/>
        </w:rPr>
        <w:t xml:space="preserve"> to automation and application </w:t>
      </w:r>
      <w:r>
        <w:rPr>
          <w:noProof/>
        </w:rPr>
        <w:t>within a</w:t>
      </w:r>
      <w:r w:rsidRPr="00A341C1">
        <w:rPr>
          <w:noProof/>
        </w:rPr>
        <w:t xml:space="preserve"> computer-based self-help</w:t>
      </w:r>
      <w:r>
        <w:rPr>
          <w:noProof/>
        </w:rPr>
        <w:t xml:space="preserve"> program</w:t>
      </w:r>
      <w:r w:rsidRPr="00A341C1">
        <w:rPr>
          <w:noProof/>
        </w:rPr>
        <w:t>.</w:t>
      </w:r>
      <w:r>
        <w:t xml:space="preserve">  Furthermore, it can provide a treatment that is independent of any particular clinical diagnosis and potentially </w:t>
      </w:r>
      <w:r w:rsidRPr="003C1EC7">
        <w:rPr>
          <w:noProof/>
        </w:rPr>
        <w:t>effecti</w:t>
      </w:r>
      <w:r>
        <w:rPr>
          <w:noProof/>
        </w:rPr>
        <w:t>ve for any problem a client is struggling</w:t>
      </w:r>
      <w:r w:rsidRPr="003C1EC7">
        <w:rPr>
          <w:noProof/>
        </w:rPr>
        <w:t xml:space="preserve"> with.</w:t>
      </w:r>
    </w:p>
    <w:p w14:paraId="192877F2" w14:textId="77777777" w:rsidR="00111E4D" w:rsidRDefault="00111E4D" w:rsidP="00111E4D">
      <w:r>
        <w:t xml:space="preserve">The Manage Your Life Online (MYLO) program is designed on the fundamental </w:t>
      </w:r>
      <w:r w:rsidRPr="00A341C1">
        <w:rPr>
          <w:noProof/>
        </w:rPr>
        <w:t xml:space="preserve">principles of MOL therapy and </w:t>
      </w:r>
      <w:r>
        <w:rPr>
          <w:noProof/>
        </w:rPr>
        <w:t>simulates</w:t>
      </w:r>
      <w:r w:rsidRPr="00A341C1">
        <w:rPr>
          <w:noProof/>
        </w:rPr>
        <w:t xml:space="preserve"> an MOL-style conversation through an automated, “instant messenger” interface.</w:t>
      </w:r>
      <w:r>
        <w:t xml:space="preserve">  MYLO aims to aid individuals in solving a problem they are current experiencing by scanning user’s input of text for key themes and phrases which it utilises to produce questions aimed at encouraging the user to talk about a problem that is significant to them and asking questions aimed at shifting awareness to higher levels in their control system hierarchy.</w:t>
      </w:r>
    </w:p>
    <w:p w14:paraId="408E39A8" w14:textId="09119557" w:rsidR="00111E4D" w:rsidRDefault="00111E4D" w:rsidP="00111E4D">
      <w:r>
        <w:t xml:space="preserve">A </w:t>
      </w:r>
      <w:r w:rsidRPr="00573FD3">
        <w:t>web-based randomized controlled trial</w:t>
      </w:r>
      <w:r>
        <w:t xml:space="preserve"> of MYLO carried out by </w:t>
      </w:r>
      <w:r w:rsidRPr="00894E2F">
        <w:rPr>
          <w:noProof/>
        </w:rPr>
        <w:t xml:space="preserve">Gaffney </w:t>
      </w:r>
      <w:r w:rsidRPr="00894E2F">
        <w:rPr>
          <w:i/>
          <w:noProof/>
        </w:rPr>
        <w:t>et al.</w:t>
      </w:r>
      <w:r w:rsidRPr="00894E2F">
        <w:rPr>
          <w:noProof/>
        </w:rPr>
        <w:t xml:space="preserve"> </w:t>
      </w:r>
      <w:r>
        <w:fldChar w:fldCharType="begin" w:fldLock="1"/>
      </w:r>
      <w:r>
        <w:instrText>ADDIN CSL_CITATION {"citationItems":[{"id":"ITEM-1","itemData":{"DOI":"10.1017/S135246581300060X","ISBN":"1352-4658","ISSN":"14691833","PMID":"23899405","abstract":"Background: Computerized self-help that has an interactive, conversational format holds several advantages, such as flexibility across presenting problems and ease of use. We designed a new program called MYLO that utilizes the principles of Method of Levels (MOL) therapy - based upon Perceptual Control Theory (PCT). Aims: We tested the efficacy of MYLO, tested whether the psychological change mechanisms described by PCT mediated its efficacy, and evaluated effects of client expectancy. Method: Forty-eight student participants were randomly assigned to MYLO or a comparison program ELIZA. Participants discussed a problem they were currently experiencing with their assigned program and completed measures of distress, resolution and expectancy preintervention, postintervention and at 2-week follow-up. Results: MYLO and ELIZA were associated with reductions in distress, depression, anxiety and stress. MYLO was considered more helpful and led to greater problem resolution. The psychological change processes predicted higher ratings of MYLO's helpfulness and reductions in distress. Positive expectancies towards computer-based problem solving correlated with MYLO's perceived helpfulness and greater problem resolution, and this was partly mediated by the psychological change processes identified. Conclusions: The findings provide provisional support for the acceptability of the MYLO program in a non-clinical sample although its efficacy as an innovative computer-based aid to problem solving remains unclear. Nevertheless, the findings provide tentative early support for the mechanisms of psychological change identified within PCT and highlight the importance of client expectations on predicting engagement in computer-based self-help.","author":[{"dropping-particle":"","family":"Gaffney","given":"Hannah","non-dropping-particle":"","parse-names":false,"suffix":""},{"dropping-particle":"","family":"Mansell","given":"Warren","non-dropping-particle":"","parse-names":false,"suffix":""},{"dropping-particle":"","family":"Edwards","given":"Rachel","non-dropping-particle":"","parse-names":false,"suffix":""},{"dropping-particle":"","family":"Wright","given":"Jason","non-dropping-particle":"","parse-names":false,"suffix":""}],"container-title":"Behavioural and Cognitive Psychotherapy","id":"ITEM-1","issue":"6","issued":{"date-parts":[["2014"]]},"page":"731-746","title":"Manage Your Life Online (MYLO): A pilot trial of a conversational computer-based intervention for problem solving in a student sample","type":"article-journal","volume":"42"},"uris":["http://www.mendeley.com/documents/?uuid=a57316c1-59bb-4a79-a904-d9074a57d136"]}],"mendeley":{"formattedCitation":"(Gaffney &lt;i&gt;et al.&lt;/i&gt;, 2014)","manualFormatting":"(2014)","plainTextFormattedCitation":"(Gaffney et al., 2014)","previouslyFormattedCitation":"(Gaffney &lt;i&gt;et al.&lt;/i&gt;, 2014)"},"properties":{"noteIndex":0},"schema":"https://github.com/citation-style-language/schema/raw/master/csl-citation.json"}</w:instrText>
      </w:r>
      <w:r>
        <w:fldChar w:fldCharType="separate"/>
      </w:r>
      <w:r w:rsidRPr="00894E2F">
        <w:rPr>
          <w:noProof/>
        </w:rPr>
        <w:t>(2014)</w:t>
      </w:r>
      <w:r>
        <w:fldChar w:fldCharType="end"/>
      </w:r>
      <w:r>
        <w:t xml:space="preserve">  recruited healthy university students (n = 213) who completed baseline measures before being randomized to either MYLO or an active control condition program ELIZA</w:t>
      </w:r>
      <w:r w:rsidR="00554CB4">
        <w:t xml:space="preserve">.  </w:t>
      </w:r>
      <w:r>
        <w:t>Participants completed a single session with their program in a lab environment before completing post-study and 2-week follow-up measures</w:t>
      </w:r>
      <w:r w:rsidR="00554CB4">
        <w:t xml:space="preserve">.  </w:t>
      </w:r>
      <w:r>
        <w:t>The results found that both programs were associated with improvements in problem</w:t>
      </w:r>
      <w:r w:rsidR="008C01EA">
        <w:t>-related</w:t>
      </w:r>
      <w:r>
        <w:t xml:space="preserve"> distress, anxiety and depression post-intervention, and again at 2-week follow-up</w:t>
      </w:r>
      <w:r w:rsidR="00886888">
        <w:t>;</w:t>
      </w:r>
      <w:r>
        <w:t xml:space="preserve"> however</w:t>
      </w:r>
      <w:r w:rsidR="00886888">
        <w:t>,</w:t>
      </w:r>
      <w:r>
        <w:t xml:space="preserve"> </w:t>
      </w:r>
      <w:r w:rsidRPr="00CD5E11">
        <w:rPr>
          <w:noProof/>
        </w:rPr>
        <w:t>MYLO was re</w:t>
      </w:r>
      <w:r>
        <w:rPr>
          <w:noProof/>
        </w:rPr>
        <w:t xml:space="preserve">ported </w:t>
      </w:r>
      <w:r w:rsidRPr="00CD5E11">
        <w:rPr>
          <w:noProof/>
        </w:rPr>
        <w:t xml:space="preserve">to </w:t>
      </w:r>
      <w:r>
        <w:rPr>
          <w:noProof/>
        </w:rPr>
        <w:t>be no</w:t>
      </w:r>
      <w:r w:rsidRPr="00CD5E11">
        <w:rPr>
          <w:noProof/>
        </w:rPr>
        <w:t xml:space="preserve"> </w:t>
      </w:r>
      <w:r w:rsidRPr="007F39DD">
        <w:rPr>
          <w:noProof/>
        </w:rPr>
        <w:t>more effective than ELIZA.  MYLO was rated significantly more helpful than ELIZA but</w:t>
      </w:r>
      <w:r>
        <w:t xml:space="preserve"> not found to give significantly higher ratings of problem resolution</w:t>
      </w:r>
      <w:r w:rsidR="00554CB4">
        <w:t xml:space="preserve">.  </w:t>
      </w:r>
      <w:r>
        <w:t>The findings provided support for the acceptability and effectiveness of MYLO when delivered over the internet and used by a non-clinical sample</w:t>
      </w:r>
      <w:r w:rsidR="00554CB4">
        <w:t xml:space="preserve">.  </w:t>
      </w:r>
      <w:r>
        <w:t>The lack of a no-treatment control condition meant that the effect of spontaneous improvement could not be ruled out.</w:t>
      </w:r>
    </w:p>
    <w:p w14:paraId="2B46CB75" w14:textId="6F049440" w:rsidR="00111E4D" w:rsidRDefault="00111E4D" w:rsidP="00111E4D">
      <w:r>
        <w:t xml:space="preserve">A </w:t>
      </w:r>
      <w:bookmarkStart w:id="334" w:name="_Hlk516687826"/>
      <w:r>
        <w:t xml:space="preserve">conversational agent therapy such as MYLO </w:t>
      </w:r>
      <w:bookmarkEnd w:id="334"/>
      <w:r>
        <w:t>may suit older adults due to its minimal learning curve and limited technical complexity.</w:t>
      </w:r>
      <w:r w:rsidR="00554CB4">
        <w:t xml:space="preserve">  </w:t>
      </w:r>
      <w:r>
        <w:t xml:space="preserve">MYLO is also a non-commercial piece of software which enables the author to make enhancements to the software without legal complexities thanks to having permission from Dr Warren Mansell.  The program has never been tested with older </w:t>
      </w:r>
      <w:proofErr w:type="gramStart"/>
      <w:r>
        <w:t>adults,</w:t>
      </w:r>
      <w:proofErr w:type="gramEnd"/>
      <w:r>
        <w:t xml:space="preserve"> this study</w:t>
      </w:r>
      <w:r w:rsidRPr="00A714C7">
        <w:t xml:space="preserve"> therefore </w:t>
      </w:r>
      <w:r>
        <w:t>aims</w:t>
      </w:r>
      <w:r w:rsidRPr="00A714C7">
        <w:t xml:space="preserve"> to evaluate the </w:t>
      </w:r>
      <w:r>
        <w:t>acceptability</w:t>
      </w:r>
      <w:r w:rsidRPr="00A714C7">
        <w:t xml:space="preserve"> of</w:t>
      </w:r>
      <w:r>
        <w:t xml:space="preserve"> </w:t>
      </w:r>
      <w:r w:rsidRPr="00A714C7">
        <w:t>MYLO</w:t>
      </w:r>
      <w:r>
        <w:t xml:space="preserve"> with this group</w:t>
      </w:r>
      <w:r w:rsidR="00554CB4">
        <w:t xml:space="preserve">.  </w:t>
      </w:r>
      <w:r>
        <w:t>Initially the study by Gaffney et al. (2014) will be replicated, but with an older aged sample to establish comparative feasibility and if, as found by Gaffney et al., that bo</w:t>
      </w:r>
      <w:r w:rsidRPr="00A714C7">
        <w:t>th</w:t>
      </w:r>
      <w:r>
        <w:t xml:space="preserve"> </w:t>
      </w:r>
      <w:r w:rsidRPr="00A714C7">
        <w:t xml:space="preserve">MYLO and ELIZA </w:t>
      </w:r>
      <w:r>
        <w:t>lead</w:t>
      </w:r>
      <w:r w:rsidRPr="00A714C7">
        <w:t xml:space="preserve"> to significant decreases in psychological distress immediately after </w:t>
      </w:r>
      <w:r>
        <w:t>use.</w:t>
      </w:r>
    </w:p>
    <w:p w14:paraId="55F810C8" w14:textId="77777777" w:rsidR="00111E4D" w:rsidRDefault="00111E4D" w:rsidP="00111E4D">
      <w:pPr>
        <w:pStyle w:val="Heading2"/>
      </w:pPr>
      <w:bookmarkStart w:id="335" w:name="_Toc530598177"/>
      <w:bookmarkStart w:id="336" w:name="_Toc530660530"/>
      <w:bookmarkStart w:id="337" w:name="_Toc3538131"/>
      <w:r>
        <w:lastRenderedPageBreak/>
        <w:t>Aims</w:t>
      </w:r>
      <w:bookmarkEnd w:id="335"/>
      <w:bookmarkEnd w:id="336"/>
      <w:bookmarkEnd w:id="337"/>
    </w:p>
    <w:p w14:paraId="28A8BB39" w14:textId="77777777" w:rsidR="00111E4D" w:rsidRDefault="00111E4D" w:rsidP="00111E4D">
      <w:r>
        <w:t xml:space="preserve">This study is phase one of a three-phase process based around several stages of user-centred design (UCD).  </w:t>
      </w:r>
      <w:r w:rsidRPr="00735EA6">
        <w:rPr>
          <w:noProof/>
          <w:shd w:val="clear" w:color="auto" w:fill="FFFFFF"/>
        </w:rPr>
        <w:t>UCD is an approach to software that is focus</w:t>
      </w:r>
      <w:r>
        <w:rPr>
          <w:noProof/>
          <w:shd w:val="clear" w:color="auto" w:fill="FFFFFF"/>
        </w:rPr>
        <w:t>ed</w:t>
      </w:r>
      <w:r w:rsidRPr="00735EA6">
        <w:rPr>
          <w:noProof/>
          <w:shd w:val="clear" w:color="auto" w:fill="FFFFFF"/>
        </w:rPr>
        <w:t xml:space="preserve"> on user needs, wants and abilities </w:t>
      </w:r>
      <w:r>
        <w:rPr>
          <w:noProof/>
          <w:shd w:val="clear" w:color="auto" w:fill="FFFFFF"/>
        </w:rPr>
        <w:t xml:space="preserve">that are considered central to the </w:t>
      </w:r>
      <w:r>
        <w:rPr>
          <w:shd w:val="clear" w:color="auto" w:fill="FFFFFF"/>
        </w:rPr>
        <w:t xml:space="preserve">design process </w:t>
      </w:r>
      <w:r>
        <w:rPr>
          <w:shd w:val="clear" w:color="auto" w:fill="FFFFFF"/>
        </w:rPr>
        <w:fldChar w:fldCharType="begin" w:fldLock="1"/>
      </w:r>
      <w:r>
        <w:rPr>
          <w:shd w:val="clear" w:color="auto" w:fill="FFFFFF"/>
        </w:rPr>
        <w:instrText>ADDIN CSL_CITATION {"citationItems":[{"id":"ITEM-1","itemData":{"DOI":"10.14219/JADA.ARCHIVE.2007.0319","ISSN":"0002-8177","PMID":"17670874","author":[{"dropping-particle":"","family":"Schleyer","given":"Titus K L","non-dropping-particle":"","parse-names":false,"suffix":""},{"dropping-particle":"","family":"Thyvalikakath","given":"Thankam P","non-dropping-particle":"","parse-names":false,"suffix":""},{"dropping-particle":"","family":"Hong","given":"Jason","non-dropping-particle":"","parse-names":false,"suffix":""}],"container-title":"Journal of the American Dental Association (1939)","id":"ITEM-1","issue":"8","issued":{"date-parts":[["2007","8","1"]]},"page":"1081-2","publisher":"Elsevier","title":"What is user-centered design?","type":"article-journal","volume":"138"},"uris":["http://www.mendeley.com/documents/?uuid=8f7e3954-fe78-33b1-83b0-ec05b9cb87b0"]}],"mendeley":{"formattedCitation":"(Schleyer, Thyvalikakath and Hong, 2007)","plainTextFormattedCitation":"(Schleyer, Thyvalikakath and Hong, 2007)","previouslyFormattedCitation":"(Schleyer, Thyvalikakath and Hong, 2007)"},"properties":{"noteIndex":0},"schema":"https://github.com/citation-style-language/schema/raw/master/csl-citation.json"}</w:instrText>
      </w:r>
      <w:r>
        <w:rPr>
          <w:shd w:val="clear" w:color="auto" w:fill="FFFFFF"/>
        </w:rPr>
        <w:fldChar w:fldCharType="separate"/>
      </w:r>
      <w:r w:rsidRPr="00717B7B">
        <w:rPr>
          <w:noProof/>
          <w:shd w:val="clear" w:color="auto" w:fill="FFFFFF"/>
        </w:rPr>
        <w:t>(Schleyer, Thyvalikakath and Hong, 2007)</w:t>
      </w:r>
      <w:r>
        <w:rPr>
          <w:shd w:val="clear" w:color="auto" w:fill="FFFFFF"/>
        </w:rPr>
        <w:fldChar w:fldCharType="end"/>
      </w:r>
      <w:r>
        <w:rPr>
          <w:shd w:val="clear" w:color="auto" w:fill="FFFFFF"/>
        </w:rPr>
        <w:t>.</w:t>
      </w:r>
    </w:p>
    <w:p w14:paraId="6C234921" w14:textId="45C205BA" w:rsidR="00111E4D" w:rsidRDefault="00111E4D" w:rsidP="00111E4D">
      <w:r>
        <w:t xml:space="preserve">The UCD approach involves four distinct phases </w:t>
      </w:r>
      <w:r>
        <w:fldChar w:fldCharType="begin" w:fldLock="1"/>
      </w:r>
      <w:r>
        <w:instrText>ADDIN CSL_CITATION {"citationItems":[{"id":"ITEM-1","itemData":{"ISBN":"2831893232","abstract":"ISO 9241-210:2010 provides requirements and recommendations for human-centred design principles and activities throughout the life cycle of computer-based interactive systems. It is intended to be used by those managing design processes, and is concerned with ways in which both hardware and software components of interactive systems can enhance human–system interaction.","author":[{"dropping-particle":"","family":"ISO","given":"","non-dropping-particle":"","parse-names":false,"suffix":""}],"id":"ITEM-1","issued":{"date-parts":[["2010"]]},"number-of-pages":"32","title":"Iso 9241-210:2010","type":"book"},"uris":["http://www.mendeley.com/documents/?uuid=1d4400d7-d5ed-4757-9f57-cbe3bf515773"]}],"mendeley":{"formattedCitation":"(ISO, 2010)","plainTextFormattedCitation":"(ISO, 2010)","previouslyFormattedCitation":"(ISO, 2010)"},"properties":{"noteIndex":0},"schema":"https://github.com/citation-style-language/schema/raw/master/csl-citation.json"}</w:instrText>
      </w:r>
      <w:r>
        <w:fldChar w:fldCharType="separate"/>
      </w:r>
      <w:r w:rsidRPr="004F6F9D">
        <w:rPr>
          <w:noProof/>
        </w:rPr>
        <w:t>(ISO, 2010)</w:t>
      </w:r>
      <w:r>
        <w:fldChar w:fldCharType="end"/>
      </w:r>
      <w:r>
        <w:t xml:space="preserve">:  Phase 1: understand the context in which users may use the system; Phase 2: identify and specify the users’ requirements; Phase 3: Develop the solutions; Phase 4: Assess the outcomes of the evaluation against users’ context and requirements to check how well the design is performing (see </w:t>
      </w:r>
      <w:r>
        <w:fldChar w:fldCharType="begin"/>
      </w:r>
      <w:r>
        <w:instrText xml:space="preserve"> REF _Ref530428067 \h </w:instrText>
      </w:r>
      <w:r>
        <w:fldChar w:fldCharType="separate"/>
      </w:r>
      <w:r w:rsidR="00574650">
        <w:t xml:space="preserve">Figure </w:t>
      </w:r>
      <w:r w:rsidR="00574650">
        <w:rPr>
          <w:noProof/>
        </w:rPr>
        <w:t>5</w:t>
      </w:r>
      <w:r w:rsidR="00574650">
        <w:t>.</w:t>
      </w:r>
      <w:r w:rsidR="00574650">
        <w:rPr>
          <w:noProof/>
        </w:rPr>
        <w:t>2</w:t>
      </w:r>
      <w:r>
        <w:fldChar w:fldCharType="end"/>
      </w:r>
      <w:r>
        <w:t>).</w:t>
      </w:r>
    </w:p>
    <w:p w14:paraId="20B96582" w14:textId="2E12EB15" w:rsidR="00111E4D" w:rsidRDefault="00111E4D" w:rsidP="00111E4D">
      <w:pPr>
        <w:pStyle w:val="Caption"/>
        <w:keepNext/>
      </w:pPr>
      <w:bookmarkStart w:id="338" w:name="_Ref530428067"/>
      <w:bookmarkStart w:id="339" w:name="_Toc530684661"/>
      <w:proofErr w:type="gramStart"/>
      <w:r>
        <w:t xml:space="preserve">Figure </w:t>
      </w:r>
      <w:r w:rsidR="00371DCC">
        <w:fldChar w:fldCharType="begin"/>
      </w:r>
      <w:r w:rsidR="00371DCC">
        <w:instrText xml:space="preserve"> STYLEREF 1 \s </w:instrText>
      </w:r>
      <w:r w:rsidR="00371DCC">
        <w:fldChar w:fldCharType="separate"/>
      </w:r>
      <w:r w:rsidR="00574650">
        <w:rPr>
          <w:noProof/>
        </w:rPr>
        <w:t>5</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2</w:t>
      </w:r>
      <w:r w:rsidR="00371DCC">
        <w:fldChar w:fldCharType="end"/>
      </w:r>
      <w:bookmarkEnd w:id="338"/>
      <w:r>
        <w:t xml:space="preserve"> </w:t>
      </w:r>
      <w:r w:rsidRPr="007866D7">
        <w:t>User Centred Design Process</w:t>
      </w:r>
      <w:bookmarkEnd w:id="339"/>
    </w:p>
    <w:p w14:paraId="03780313" w14:textId="77777777" w:rsidR="00111E4D" w:rsidRDefault="00111E4D" w:rsidP="00111E4D">
      <w:pPr>
        <w:keepNext/>
      </w:pPr>
      <w:r>
        <w:rPr>
          <w:noProof/>
          <w:lang w:eastAsia="en-GB"/>
        </w:rPr>
        <w:drawing>
          <wp:inline distT="0" distB="0" distL="0" distR="0" wp14:anchorId="4EEEE4C7" wp14:editId="3DCB74F8">
            <wp:extent cx="4800609" cy="2063500"/>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CD Standard Process.png"/>
                    <pic:cNvPicPr/>
                  </pic:nvPicPr>
                  <pic:blipFill>
                    <a:blip r:embed="rId29"/>
                    <a:stretch>
                      <a:fillRect/>
                    </a:stretch>
                  </pic:blipFill>
                  <pic:spPr>
                    <a:xfrm>
                      <a:off x="0" y="0"/>
                      <a:ext cx="4800609" cy="2063500"/>
                    </a:xfrm>
                    <a:prstGeom prst="rect">
                      <a:avLst/>
                    </a:prstGeom>
                  </pic:spPr>
                </pic:pic>
              </a:graphicData>
            </a:graphic>
          </wp:inline>
        </w:drawing>
      </w:r>
    </w:p>
    <w:p w14:paraId="2E1A9106" w14:textId="77777777" w:rsidR="00111E4D" w:rsidRDefault="00111E4D" w:rsidP="00111E4D">
      <w:r>
        <w:t>Under normal circumstances UCD would be used to build a system from the ground up for a specified persona (</w:t>
      </w:r>
      <w:r w:rsidRPr="001616FF">
        <w:t>user archetype</w:t>
      </w:r>
      <w:r>
        <w:rPr>
          <w:rFonts w:cs="Arial"/>
          <w:color w:val="222222"/>
          <w:shd w:val="clear" w:color="auto" w:fill="FFFFFF"/>
        </w:rPr>
        <w:t>)</w:t>
      </w:r>
      <w:r>
        <w:t>.  Unfortunately, MYLO was not built in this way and has never had a persona defined; luckily, its interface is simplistic enough to enable the application of elements of UCD retrospectively.</w:t>
      </w:r>
    </w:p>
    <w:p w14:paraId="4C3A5198" w14:textId="164DE22E" w:rsidR="00111E4D" w:rsidRPr="00597DCE" w:rsidRDefault="00111E4D" w:rsidP="00111E4D">
      <w:pPr>
        <w:rPr>
          <w:lang w:eastAsia="en-GB"/>
        </w:rPr>
      </w:pPr>
      <w:r w:rsidRPr="00597DCE">
        <w:rPr>
          <w:lang w:eastAsia="en-GB"/>
        </w:rPr>
        <w:t xml:space="preserve">The following </w:t>
      </w:r>
      <w:r>
        <w:rPr>
          <w:lang w:eastAsia="en-GB"/>
        </w:rPr>
        <w:t xml:space="preserve">phases (studies) are proposed for a retrospective implementation using phases of the </w:t>
      </w:r>
      <w:r w:rsidRPr="00597DCE">
        <w:rPr>
          <w:lang w:eastAsia="en-GB"/>
        </w:rPr>
        <w:t>UCD process:</w:t>
      </w:r>
      <w:r>
        <w:rPr>
          <w:lang w:eastAsia="en-GB"/>
        </w:rPr>
        <w:t xml:space="preserve"> Study 1: Evaluate the current MYLO system; Study 2: Collect user requirements via a survey to decide upon UI enhancements and apply these enhancements to MYLO; Study 3: Evaluate enhanced MYLO system (see </w:t>
      </w:r>
      <w:r>
        <w:rPr>
          <w:lang w:eastAsia="en-GB"/>
        </w:rPr>
        <w:fldChar w:fldCharType="begin"/>
      </w:r>
      <w:r>
        <w:rPr>
          <w:lang w:eastAsia="en-GB"/>
        </w:rPr>
        <w:instrText xml:space="preserve"> REF _Ref530428075 \h </w:instrText>
      </w:r>
      <w:r>
        <w:rPr>
          <w:lang w:eastAsia="en-GB"/>
        </w:rPr>
      </w:r>
      <w:r>
        <w:rPr>
          <w:lang w:eastAsia="en-GB"/>
        </w:rPr>
        <w:fldChar w:fldCharType="separate"/>
      </w:r>
      <w:r w:rsidR="00574650">
        <w:t xml:space="preserve">Figure </w:t>
      </w:r>
      <w:r w:rsidR="00574650">
        <w:rPr>
          <w:noProof/>
        </w:rPr>
        <w:t>5</w:t>
      </w:r>
      <w:r w:rsidR="00574650">
        <w:t>.</w:t>
      </w:r>
      <w:r w:rsidR="00574650">
        <w:rPr>
          <w:noProof/>
        </w:rPr>
        <w:t>3</w:t>
      </w:r>
      <w:r>
        <w:rPr>
          <w:lang w:eastAsia="en-GB"/>
        </w:rPr>
        <w:fldChar w:fldCharType="end"/>
      </w:r>
      <w:r>
        <w:rPr>
          <w:lang w:eastAsia="en-GB"/>
        </w:rPr>
        <w:t>).</w:t>
      </w:r>
    </w:p>
    <w:p w14:paraId="745919D2" w14:textId="4DEF1462" w:rsidR="00111E4D" w:rsidRDefault="00111E4D" w:rsidP="00111E4D">
      <w:pPr>
        <w:pStyle w:val="Caption"/>
        <w:keepNext/>
      </w:pPr>
      <w:bookmarkStart w:id="340" w:name="_Ref530428075"/>
      <w:bookmarkStart w:id="341" w:name="_Toc530684662"/>
      <w:proofErr w:type="gramStart"/>
      <w:r>
        <w:t xml:space="preserve">Figure </w:t>
      </w:r>
      <w:r w:rsidR="00371DCC">
        <w:fldChar w:fldCharType="begin"/>
      </w:r>
      <w:r w:rsidR="00371DCC">
        <w:instrText xml:space="preserve"> STYLEREF 1 \s </w:instrText>
      </w:r>
      <w:r w:rsidR="00371DCC">
        <w:fldChar w:fldCharType="separate"/>
      </w:r>
      <w:r w:rsidR="00574650">
        <w:rPr>
          <w:noProof/>
        </w:rPr>
        <w:t>5</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3</w:t>
      </w:r>
      <w:r w:rsidR="00371DCC">
        <w:fldChar w:fldCharType="end"/>
      </w:r>
      <w:bookmarkEnd w:id="340"/>
      <w:r>
        <w:t xml:space="preserve"> Study flow mapped to UCD</w:t>
      </w:r>
      <w:bookmarkEnd w:id="341"/>
    </w:p>
    <w:p w14:paraId="194072D2" w14:textId="77777777" w:rsidR="00111E4D" w:rsidRDefault="00111E4D" w:rsidP="00111E4D">
      <w:pPr>
        <w:keepNext/>
      </w:pPr>
      <w:r>
        <w:rPr>
          <w:noProof/>
          <w:lang w:eastAsia="en-GB"/>
        </w:rPr>
        <w:drawing>
          <wp:inline distT="0" distB="0" distL="0" distR="0" wp14:anchorId="41531D4B" wp14:editId="2C979FDD">
            <wp:extent cx="3657607" cy="1600203"/>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CD Modified Process.png"/>
                    <pic:cNvPicPr/>
                  </pic:nvPicPr>
                  <pic:blipFill>
                    <a:blip r:embed="rId30"/>
                    <a:stretch>
                      <a:fillRect/>
                    </a:stretch>
                  </pic:blipFill>
                  <pic:spPr>
                    <a:xfrm>
                      <a:off x="0" y="0"/>
                      <a:ext cx="3657607" cy="1600203"/>
                    </a:xfrm>
                    <a:prstGeom prst="rect">
                      <a:avLst/>
                    </a:prstGeom>
                  </pic:spPr>
                </pic:pic>
              </a:graphicData>
            </a:graphic>
          </wp:inline>
        </w:drawing>
      </w:r>
    </w:p>
    <w:p w14:paraId="58819A8F" w14:textId="1047BAAD" w:rsidR="00111E4D" w:rsidRDefault="00111E4D" w:rsidP="00111E4D">
      <w:r w:rsidRPr="003C1EC7">
        <w:rPr>
          <w:noProof/>
        </w:rPr>
        <w:t>The primary aim of this study is to</w:t>
      </w:r>
      <w:r>
        <w:t xml:space="preserve"> examine the acceptability and feasibility of using a conversational agent for problem solving with older adults.  The study will replicate methodological elements of an earlier study carried </w:t>
      </w:r>
      <w:r>
        <w:lastRenderedPageBreak/>
        <w:t xml:space="preserve">out by </w:t>
      </w:r>
      <w:r w:rsidRPr="00621DE5">
        <w:rPr>
          <w:noProof/>
        </w:rPr>
        <w:t xml:space="preserve">Gaffney et al. </w:t>
      </w:r>
      <w:r>
        <w:fldChar w:fldCharType="begin" w:fldLock="1"/>
      </w:r>
      <w:r>
        <w:instrText>ADDIN CSL_CITATION {"citationItems":[{"id":"ITEM-1","itemData":{"DOI":"10.1017/S135246581300060X","ISBN":"1352-4658","ISSN":"14691833","PMID":"23899405","abstract":"Background: Computerized self-help that has an interactive, conversational format holds several advantages, such as flexibility across presenting problems and ease of use. We designed a new program called MYLO that utilizes the principles of Method of Levels (MOL) therapy - based upon Perceptual Control Theory (PCT). Aims: We tested the efficacy of MYLO, tested whether the psychological change mechanisms described by PCT mediated its efficacy, and evaluated effects of client expectancy. Method: Forty-eight student participants were randomly assigned to MYLO or a comparison program ELIZA. Participants discussed a problem they were currently experiencing with their assigned program and completed measures of distress, resolution and expectancy preintervention, postintervention and at 2-week follow-up. Results: MYLO and ELIZA were associated with reductions in distress, depression, anxiety and stress. MYLO was considered more helpful and led to greater problem resolution. The psychological change processes predicted higher ratings of MYLO's helpfulness and reductions in distress. Positive expectancies towards computer-based problem solving correlated with MYLO's perceived helpfulness and greater problem resolution, and this was partly mediated by the psychological change processes identified. Conclusions: The findings provide provisional support for the acceptability of the MYLO program in a non-clinical sample although its efficacy as an innovative computer-based aid to problem solving remains unclear. Nevertheless, the findings provide tentative early support for the mechanisms of psychological change identified within PCT and highlight the importance of client expectations on predicting engagement in computer-based self-help.","author":[{"dropping-particle":"","family":"Gaffney","given":"Hannah","non-dropping-particle":"","parse-names":false,"suffix":""},{"dropping-particle":"","family":"Mansell","given":"Warren","non-dropping-particle":"","parse-names":false,"suffix":""},{"dropping-particle":"","family":"Edwards","given":"Rachel","non-dropping-particle":"","parse-names":false,"suffix":""},{"dropping-particle":"","family":"Wright","given":"Jason","non-dropping-particle":"","parse-names":false,"suffix":""}],"container-title":"Behavioural and Cognitive Psychotherapy","id":"ITEM-1","issue":"6","issued":{"date-parts":[["2014"]]},"page":"731-746","title":"Manage Your Life Online (MYLO): A pilot trial of a conversational computer-based intervention for problem solving in a student sample","type":"article-journal","volume":"42"},"uris":["http://www.mendeley.com/documents/?uuid=a57316c1-59bb-4a79-a904-d9074a57d136"]}],"mendeley":{"formattedCitation":"(Gaffney &lt;i&gt;et al.&lt;/i&gt;, 2014)","manualFormatting":"(2013)","plainTextFormattedCitation":"(Gaffney et al., 2014)","previouslyFormattedCitation":"(Gaffney &lt;i&gt;et al.&lt;/i&gt;, 2014)"},"properties":{"noteIndex":0},"schema":"https://github.com/citation-style-language/schema/raw/master/csl-citation.json"}</w:instrText>
      </w:r>
      <w:r>
        <w:fldChar w:fldCharType="separate"/>
      </w:r>
      <w:r w:rsidRPr="00621DE5">
        <w:rPr>
          <w:noProof/>
        </w:rPr>
        <w:t>(2013)</w:t>
      </w:r>
      <w:r>
        <w:fldChar w:fldCharType="end"/>
      </w:r>
      <w:r>
        <w:t xml:space="preserve">, in which the goal was to establish the effectiveness and acceptability of MYLO </w:t>
      </w:r>
      <w:r w:rsidRPr="008D3CED">
        <w:t xml:space="preserve">through </w:t>
      </w:r>
      <w:r>
        <w:t xml:space="preserve">a </w:t>
      </w:r>
      <w:r w:rsidRPr="008D3CED">
        <w:t>comparison with</w:t>
      </w:r>
      <w:r>
        <w:t xml:space="preserve"> </w:t>
      </w:r>
      <w:r w:rsidRPr="008D3CED">
        <w:t>ELIZA</w:t>
      </w:r>
      <w:r w:rsidR="00554CB4">
        <w:t xml:space="preserve">.  </w:t>
      </w:r>
      <w:r>
        <w:t>The second aim of the study will be to attempt to establish if MYLO and ELIZA have near equal mean system usability scores when using satisfaction metrics.  The nature of the programs and the online setting of the study make measuring for e</w:t>
      </w:r>
      <w:r w:rsidRPr="005971DB">
        <w:t xml:space="preserve">ffectiveness and </w:t>
      </w:r>
      <w:r>
        <w:t>e</w:t>
      </w:r>
      <w:r w:rsidRPr="005971DB">
        <w:t>fficiency</w:t>
      </w:r>
      <w:r>
        <w:t xml:space="preserve"> via </w:t>
      </w:r>
      <w:r w:rsidRPr="008A2E26">
        <w:t>ISO 9241-11</w:t>
      </w:r>
      <w:r>
        <w:t xml:space="preserve"> difficult.  Effectiveness is measured by the successful completion of a task in addition to the sum of errors recorded while performing an interaction</w:t>
      </w:r>
      <w:r w:rsidRPr="00E87A91">
        <w:t>.</w:t>
      </w:r>
      <w:r>
        <w:t xml:space="preserve">  This method requires the researcher to be present during sessions, and this cannot be done easily during an online study and may not be appropriate when a user is engaging in a therapeutic process with the program.  Gauging efficiency involves measuring the time taken to complete each task and averaging times across users and/or tasks</w:t>
      </w:r>
      <w:r w:rsidR="00554CB4">
        <w:t xml:space="preserve">.  </w:t>
      </w:r>
      <w:r>
        <w:t xml:space="preserve">Two issues prevent this from being implemented in the current study.  Firstly, it is not possible to time task completion without a researcher being present to do so.  Secondly, the time taken for a participant to talk to a computer may differ from person to person based on the complexity of the problem being discussed.  This makes the measurement of time potentially unreliable as an indicator of task efficiency.  Because of these issues the study will implement a test level satisfaction questionnaire based on the satisfaction metrics of usability.  Finally, the study will aim to investigate whether system usability </w:t>
      </w:r>
      <w:proofErr w:type="gramStart"/>
      <w:r>
        <w:t>effects</w:t>
      </w:r>
      <w:proofErr w:type="gramEnd"/>
      <w:r>
        <w:t xml:space="preserve"> the acceptability of MYLO in an older adult sample.</w:t>
      </w:r>
    </w:p>
    <w:p w14:paraId="7F134998" w14:textId="77777777" w:rsidR="00111E4D" w:rsidRPr="003B35A6" w:rsidRDefault="00111E4D" w:rsidP="003B35A6">
      <w:pPr>
        <w:pStyle w:val="Heading2"/>
      </w:pPr>
      <w:bookmarkStart w:id="342" w:name="_Toc530598178"/>
      <w:bookmarkStart w:id="343" w:name="_Toc530660531"/>
      <w:bookmarkStart w:id="344" w:name="_Toc3538132"/>
      <w:r w:rsidRPr="003B35A6">
        <w:t>Hypotheses</w:t>
      </w:r>
      <w:bookmarkEnd w:id="342"/>
      <w:bookmarkEnd w:id="343"/>
      <w:bookmarkEnd w:id="344"/>
    </w:p>
    <w:p w14:paraId="063A0A10" w14:textId="6B67D38D" w:rsidR="00623971" w:rsidRPr="000D747D" w:rsidRDefault="00623971" w:rsidP="00623971">
      <w:pPr>
        <w:pStyle w:val="ListParagraph"/>
        <w:numPr>
          <w:ilvl w:val="0"/>
          <w:numId w:val="30"/>
        </w:numPr>
        <w:rPr>
          <w:color w:val="000000" w:themeColor="text1"/>
        </w:rPr>
      </w:pPr>
      <w:r w:rsidRPr="000D747D">
        <w:rPr>
          <w:rFonts w:ascii="Calibri" w:hAnsi="Calibri" w:cs="Calibri"/>
          <w:color w:val="000000" w:themeColor="text1"/>
          <w:shd w:val="clear" w:color="auto" w:fill="FFFFFF"/>
        </w:rPr>
        <w:t>Based on Gaffney et al.’s (2014) findings that MYLO and ELIZA are effective conversational agents for problem solving, it is hypothesised</w:t>
      </w:r>
      <w:r w:rsidR="00F06936" w:rsidRPr="000D747D">
        <w:rPr>
          <w:rFonts w:ascii="Calibri" w:hAnsi="Calibri" w:cs="Calibri"/>
          <w:color w:val="000000" w:themeColor="text1"/>
          <w:shd w:val="clear" w:color="auto" w:fill="FFFFFF"/>
        </w:rPr>
        <w:t xml:space="preserve"> that</w:t>
      </w:r>
      <w:r w:rsidRPr="000D747D">
        <w:rPr>
          <w:rFonts w:ascii="Calibri" w:hAnsi="Calibri" w:cs="Calibri"/>
          <w:color w:val="000000" w:themeColor="text1"/>
          <w:shd w:val="clear" w:color="auto" w:fill="FFFFFF"/>
        </w:rPr>
        <w:t>:</w:t>
      </w:r>
    </w:p>
    <w:p w14:paraId="07933BBC" w14:textId="2EC7195F" w:rsidR="00623971" w:rsidRPr="000D747D" w:rsidRDefault="00623971" w:rsidP="00623971">
      <w:pPr>
        <w:pStyle w:val="ListParagraph"/>
        <w:numPr>
          <w:ilvl w:val="1"/>
          <w:numId w:val="30"/>
        </w:numPr>
        <w:rPr>
          <w:color w:val="000000" w:themeColor="text1"/>
        </w:rPr>
      </w:pPr>
      <w:r w:rsidRPr="000D747D">
        <w:rPr>
          <w:rFonts w:ascii="Calibri" w:hAnsi="Calibri" w:cs="Calibri"/>
          <w:color w:val="000000" w:themeColor="text1"/>
          <w:shd w:val="clear" w:color="auto" w:fill="FFFFFF"/>
        </w:rPr>
        <w:t>There will be significant reductions in problem-related distress following the use of both MYLO and ELIZA.</w:t>
      </w:r>
    </w:p>
    <w:p w14:paraId="0F262579" w14:textId="7748B5E2" w:rsidR="00623971" w:rsidRPr="000D747D" w:rsidRDefault="00623971" w:rsidP="00D05298">
      <w:pPr>
        <w:pStyle w:val="ListParagraph"/>
        <w:numPr>
          <w:ilvl w:val="0"/>
          <w:numId w:val="30"/>
        </w:numPr>
        <w:rPr>
          <w:color w:val="000000" w:themeColor="text1"/>
        </w:rPr>
      </w:pPr>
      <w:r w:rsidRPr="000D747D">
        <w:rPr>
          <w:rFonts w:ascii="Calibri" w:hAnsi="Calibri" w:cs="Calibri"/>
          <w:color w:val="000000" w:themeColor="text1"/>
          <w:shd w:val="clear" w:color="auto" w:fill="FFFFFF"/>
        </w:rPr>
        <w:t>It is expected that MYLO will be more acceptable conversational agent for problem solving than ELIZA with older adults</w:t>
      </w:r>
      <w:r w:rsidR="00F06936" w:rsidRPr="000D747D">
        <w:rPr>
          <w:rFonts w:ascii="Calibri" w:hAnsi="Calibri" w:cs="Calibri"/>
          <w:color w:val="000000" w:themeColor="text1"/>
          <w:shd w:val="clear" w:color="auto" w:fill="FFFFFF"/>
        </w:rPr>
        <w:t>.</w:t>
      </w:r>
      <w:r w:rsidRPr="000D747D">
        <w:rPr>
          <w:rFonts w:ascii="Calibri" w:hAnsi="Calibri" w:cs="Calibri"/>
          <w:color w:val="000000" w:themeColor="text1"/>
          <w:shd w:val="clear" w:color="auto" w:fill="FFFFFF"/>
        </w:rPr>
        <w:t xml:space="preserve"> </w:t>
      </w:r>
      <w:r w:rsidR="00F06936" w:rsidRPr="000D747D">
        <w:rPr>
          <w:rFonts w:ascii="Calibri" w:hAnsi="Calibri" w:cs="Calibri"/>
          <w:color w:val="000000" w:themeColor="text1"/>
          <w:shd w:val="clear" w:color="auto" w:fill="FFFFFF"/>
        </w:rPr>
        <w:t>I</w:t>
      </w:r>
      <w:r w:rsidRPr="000D747D">
        <w:rPr>
          <w:rFonts w:ascii="Calibri" w:hAnsi="Calibri" w:cs="Calibri"/>
          <w:color w:val="000000" w:themeColor="text1"/>
          <w:shd w:val="clear" w:color="auto" w:fill="FFFFFF"/>
        </w:rPr>
        <w:t>t is therefore hypothesised</w:t>
      </w:r>
      <w:r w:rsidR="00F06936" w:rsidRPr="000D747D">
        <w:rPr>
          <w:rFonts w:ascii="Calibri" w:hAnsi="Calibri" w:cs="Calibri"/>
          <w:color w:val="000000" w:themeColor="text1"/>
          <w:shd w:val="clear" w:color="auto" w:fill="FFFFFF"/>
        </w:rPr>
        <w:t xml:space="preserve"> that</w:t>
      </w:r>
      <w:r w:rsidRPr="000D747D">
        <w:rPr>
          <w:rFonts w:ascii="Calibri" w:hAnsi="Calibri" w:cs="Calibri"/>
          <w:color w:val="000000" w:themeColor="text1"/>
          <w:shd w:val="clear" w:color="auto" w:fill="FFFFFF"/>
        </w:rPr>
        <w:t>:</w:t>
      </w:r>
    </w:p>
    <w:p w14:paraId="1F27C313" w14:textId="0785280A" w:rsidR="00623971" w:rsidRPr="000D747D" w:rsidRDefault="00623971" w:rsidP="00623971">
      <w:pPr>
        <w:pStyle w:val="ListParagraph"/>
        <w:numPr>
          <w:ilvl w:val="1"/>
          <w:numId w:val="30"/>
        </w:numPr>
        <w:rPr>
          <w:color w:val="000000" w:themeColor="text1"/>
        </w:rPr>
      </w:pPr>
      <w:r w:rsidRPr="000D747D">
        <w:rPr>
          <w:rFonts w:ascii="Calibri" w:hAnsi="Calibri" w:cs="Calibri"/>
          <w:color w:val="000000" w:themeColor="text1"/>
          <w:shd w:val="clear" w:color="auto" w:fill="FFFFFF"/>
        </w:rPr>
        <w:t xml:space="preserve">MYLO use will be </w:t>
      </w:r>
      <w:r w:rsidR="00DE670B" w:rsidRPr="000D747D">
        <w:rPr>
          <w:rFonts w:ascii="Calibri" w:hAnsi="Calibri" w:cs="Calibri"/>
          <w:color w:val="000000" w:themeColor="text1"/>
          <w:shd w:val="clear" w:color="auto" w:fill="FFFFFF"/>
        </w:rPr>
        <w:t xml:space="preserve">used for a significantly </w:t>
      </w:r>
      <w:r w:rsidRPr="000D747D">
        <w:rPr>
          <w:rFonts w:ascii="Calibri" w:hAnsi="Calibri" w:cs="Calibri"/>
          <w:color w:val="000000" w:themeColor="text1"/>
          <w:shd w:val="clear" w:color="auto" w:fill="FFFFFF"/>
        </w:rPr>
        <w:t>longer duration of time than ELIZA.</w:t>
      </w:r>
    </w:p>
    <w:p w14:paraId="2F62C906" w14:textId="7DD75E0D" w:rsidR="00623971" w:rsidRPr="000D747D" w:rsidRDefault="00623971" w:rsidP="00623971">
      <w:pPr>
        <w:pStyle w:val="ListParagraph"/>
        <w:numPr>
          <w:ilvl w:val="1"/>
          <w:numId w:val="30"/>
        </w:numPr>
        <w:rPr>
          <w:color w:val="000000" w:themeColor="text1"/>
        </w:rPr>
      </w:pPr>
      <w:r w:rsidRPr="000D747D">
        <w:rPr>
          <w:rFonts w:ascii="Calibri" w:hAnsi="Calibri" w:cs="Calibri"/>
          <w:color w:val="000000" w:themeColor="text1"/>
          <w:shd w:val="clear" w:color="auto" w:fill="FFFFFF"/>
        </w:rPr>
        <w:t>MYLO will be rated significantly more helpful than ELIZA.</w:t>
      </w:r>
    </w:p>
    <w:p w14:paraId="6CA4FCA2" w14:textId="5BD3585E" w:rsidR="00623971" w:rsidRPr="000D747D" w:rsidRDefault="00623971" w:rsidP="00623971">
      <w:pPr>
        <w:pStyle w:val="ListParagraph"/>
        <w:numPr>
          <w:ilvl w:val="1"/>
          <w:numId w:val="30"/>
        </w:numPr>
        <w:rPr>
          <w:color w:val="000000" w:themeColor="text1"/>
        </w:rPr>
      </w:pPr>
      <w:r w:rsidRPr="000D747D">
        <w:rPr>
          <w:rFonts w:ascii="Calibri" w:hAnsi="Calibri" w:cs="Calibri"/>
          <w:color w:val="000000" w:themeColor="text1"/>
          <w:shd w:val="clear" w:color="auto" w:fill="FFFFFF"/>
        </w:rPr>
        <w:t>Participants will significantly more likely to want to use MYLO again over ELIZA.</w:t>
      </w:r>
    </w:p>
    <w:p w14:paraId="1D8ECADF" w14:textId="092BC8E1" w:rsidR="00623971" w:rsidRPr="000D747D" w:rsidRDefault="00623971" w:rsidP="00623971">
      <w:pPr>
        <w:pStyle w:val="ListParagraph"/>
        <w:numPr>
          <w:ilvl w:val="0"/>
          <w:numId w:val="30"/>
        </w:numPr>
        <w:rPr>
          <w:color w:val="000000" w:themeColor="text1"/>
        </w:rPr>
      </w:pPr>
      <w:r w:rsidRPr="000D747D">
        <w:rPr>
          <w:rFonts w:ascii="Calibri" w:hAnsi="Calibri" w:cs="Calibri"/>
          <w:color w:val="000000" w:themeColor="text1"/>
          <w:shd w:val="clear" w:color="auto" w:fill="FFFFFF"/>
        </w:rPr>
        <w:t>Because MYLO and ELIZA have near identical user interfaces</w:t>
      </w:r>
      <w:r w:rsidR="00F06936" w:rsidRPr="000D747D">
        <w:rPr>
          <w:rFonts w:ascii="Calibri" w:hAnsi="Calibri" w:cs="Calibri"/>
          <w:color w:val="000000" w:themeColor="text1"/>
          <w:shd w:val="clear" w:color="auto" w:fill="FFFFFF"/>
        </w:rPr>
        <w:t>, it is hypothesised that</w:t>
      </w:r>
      <w:r w:rsidRPr="000D747D">
        <w:rPr>
          <w:rFonts w:ascii="Calibri" w:hAnsi="Calibri" w:cs="Calibri"/>
          <w:color w:val="000000" w:themeColor="text1"/>
          <w:shd w:val="clear" w:color="auto" w:fill="FFFFFF"/>
        </w:rPr>
        <w:t>:</w:t>
      </w:r>
    </w:p>
    <w:p w14:paraId="3A5D581D" w14:textId="392CCE42" w:rsidR="00623971" w:rsidRPr="000D747D" w:rsidRDefault="00623971" w:rsidP="00623971">
      <w:pPr>
        <w:pStyle w:val="ListParagraph"/>
        <w:numPr>
          <w:ilvl w:val="1"/>
          <w:numId w:val="30"/>
        </w:numPr>
        <w:rPr>
          <w:color w:val="000000" w:themeColor="text1"/>
        </w:rPr>
      </w:pPr>
      <w:r w:rsidRPr="000D747D">
        <w:rPr>
          <w:rFonts w:ascii="Calibri" w:hAnsi="Calibri" w:cs="Calibri"/>
          <w:color w:val="000000" w:themeColor="text1"/>
          <w:shd w:val="clear" w:color="auto" w:fill="FFFFFF"/>
        </w:rPr>
        <w:t>There will no significant differences in ratings of system usability.</w:t>
      </w:r>
    </w:p>
    <w:p w14:paraId="2CED1E35" w14:textId="4B75EEB9" w:rsidR="00623971" w:rsidRPr="000D747D" w:rsidRDefault="00111E4D" w:rsidP="00623971">
      <w:pPr>
        <w:pStyle w:val="ListParagraph"/>
        <w:numPr>
          <w:ilvl w:val="0"/>
          <w:numId w:val="30"/>
        </w:numPr>
        <w:rPr>
          <w:color w:val="000000" w:themeColor="text1"/>
        </w:rPr>
      </w:pPr>
      <w:r w:rsidRPr="000D747D">
        <w:rPr>
          <w:noProof/>
          <w:color w:val="000000" w:themeColor="text1"/>
        </w:rPr>
        <w:t>ISO</w:t>
      </w:r>
      <w:r w:rsidRPr="000D747D">
        <w:rPr>
          <w:color w:val="000000" w:themeColor="text1"/>
        </w:rPr>
        <w:t xml:space="preserve"> </w:t>
      </w:r>
      <w:r w:rsidRPr="000D747D">
        <w:rPr>
          <w:color w:val="000000" w:themeColor="text1"/>
        </w:rPr>
        <w:fldChar w:fldCharType="begin" w:fldLock="1"/>
      </w:r>
      <w:r w:rsidRPr="000D747D">
        <w:rPr>
          <w:color w:val="000000" w:themeColor="text1"/>
        </w:rPr>
        <w:instrText>ADDIN CSL_CITATION {"citationItems":[{"id":"ITEM-1","itemData":{"URL":"https://www.iso.org/obp/ui/fr/#iso:std:iso:9241:-11:ed-2:v1:en","accessed":{"date-parts":[["2018","4","10"]]},"author":[{"dropping-particle":"","family":"ISO","given":"","non-dropping-particle":"","parse-names":false,"suffix":""}],"id":"ITEM-1","issued":{"date-parts":[["2018"]]},"title":"ISO 9241-11:2018(en), Ergonomics of human-system interaction — Part 11: Usability: Definitions and concepts","type":"webpage"},"uris":["http://www.mendeley.com/documents/?uuid=3ab1d37f-7a18-3cb4-8748-92a92807c125"]}],"mendeley":{"formattedCitation":"(ISO, 2018)","manualFormatting":"(2018)","plainTextFormattedCitation":"(ISO, 2018)","previouslyFormattedCitation":"(ISO, 2018)"},"properties":{"noteIndex":0},"schema":"https://github.com/citation-style-language/schema/raw/master/csl-citation.json"}</w:instrText>
      </w:r>
      <w:r w:rsidRPr="000D747D">
        <w:rPr>
          <w:color w:val="000000" w:themeColor="text1"/>
        </w:rPr>
        <w:fldChar w:fldCharType="separate"/>
      </w:r>
      <w:r w:rsidRPr="000D747D">
        <w:rPr>
          <w:noProof/>
          <w:color w:val="000000" w:themeColor="text1"/>
        </w:rPr>
        <w:t>(2018)</w:t>
      </w:r>
      <w:r w:rsidRPr="000D747D">
        <w:rPr>
          <w:color w:val="000000" w:themeColor="text1"/>
        </w:rPr>
        <w:fldChar w:fldCharType="end"/>
      </w:r>
      <w:r w:rsidRPr="000D747D">
        <w:rPr>
          <w:color w:val="000000" w:themeColor="text1"/>
        </w:rPr>
        <w:t xml:space="preserve"> defines usability as </w:t>
      </w:r>
      <w:r w:rsidRPr="000D747D">
        <w:rPr>
          <w:noProof/>
          <w:color w:val="000000" w:themeColor="text1"/>
        </w:rPr>
        <w:t>the extent to which a product can be used by specified users to achieve specific goals with effectiveness, efficiency and satisfaction</w:t>
      </w:r>
      <w:r w:rsidR="00554CB4" w:rsidRPr="000D747D">
        <w:rPr>
          <w:noProof/>
          <w:color w:val="000000" w:themeColor="text1"/>
        </w:rPr>
        <w:t xml:space="preserve">.  </w:t>
      </w:r>
      <w:r w:rsidR="00623971" w:rsidRPr="000D747D">
        <w:rPr>
          <w:noProof/>
          <w:color w:val="000000" w:themeColor="text1"/>
        </w:rPr>
        <w:t>Therefore</w:t>
      </w:r>
      <w:r w:rsidR="00F06936" w:rsidRPr="000D747D">
        <w:rPr>
          <w:noProof/>
          <w:color w:val="000000" w:themeColor="text1"/>
        </w:rPr>
        <w:t>, it is hypothesised that</w:t>
      </w:r>
      <w:r w:rsidR="00623971" w:rsidRPr="000D747D">
        <w:rPr>
          <w:noProof/>
          <w:color w:val="000000" w:themeColor="text1"/>
        </w:rPr>
        <w:t>:</w:t>
      </w:r>
    </w:p>
    <w:p w14:paraId="21FB50C5" w14:textId="7E60514A" w:rsidR="00111E4D" w:rsidRPr="000D747D" w:rsidRDefault="00623971" w:rsidP="00623971">
      <w:pPr>
        <w:pStyle w:val="ListParagraph"/>
        <w:numPr>
          <w:ilvl w:val="1"/>
          <w:numId w:val="30"/>
        </w:numPr>
        <w:rPr>
          <w:color w:val="000000" w:themeColor="text1"/>
        </w:rPr>
      </w:pPr>
      <w:r w:rsidRPr="000D747D">
        <w:rPr>
          <w:rFonts w:ascii="Calibri" w:hAnsi="Calibri" w:cs="Calibri"/>
          <w:color w:val="000000" w:themeColor="text1"/>
          <w:shd w:val="clear" w:color="auto" w:fill="FFFFFF"/>
        </w:rPr>
        <w:t xml:space="preserve">Older adults who rate a conversational agent with higher system usability will </w:t>
      </w:r>
      <w:r w:rsidR="00F06936" w:rsidRPr="000D747D">
        <w:rPr>
          <w:rFonts w:ascii="Calibri" w:hAnsi="Calibri" w:cs="Calibri"/>
          <w:color w:val="000000" w:themeColor="text1"/>
          <w:shd w:val="clear" w:color="auto" w:fill="FFFFFF"/>
        </w:rPr>
        <w:t>also have</w:t>
      </w:r>
      <w:r w:rsidRPr="000D747D">
        <w:rPr>
          <w:rFonts w:ascii="Calibri" w:hAnsi="Calibri" w:cs="Calibri"/>
          <w:color w:val="000000" w:themeColor="text1"/>
          <w:shd w:val="clear" w:color="auto" w:fill="FFFFFF"/>
        </w:rPr>
        <w:t xml:space="preserve"> greater problem resolution and higher ratings of helpfulness and interest in using the program again.</w:t>
      </w:r>
    </w:p>
    <w:p w14:paraId="4156557B" w14:textId="77777777" w:rsidR="00111E4D" w:rsidRPr="003B35A6" w:rsidRDefault="00111E4D" w:rsidP="003B35A6">
      <w:pPr>
        <w:pStyle w:val="Heading2"/>
      </w:pPr>
      <w:bookmarkStart w:id="345" w:name="_Toc530598179"/>
      <w:bookmarkStart w:id="346" w:name="_Toc530660532"/>
      <w:bookmarkStart w:id="347" w:name="_Toc3538133"/>
      <w:r w:rsidRPr="003B35A6">
        <w:lastRenderedPageBreak/>
        <w:t>Method</w:t>
      </w:r>
      <w:bookmarkEnd w:id="345"/>
      <w:bookmarkEnd w:id="346"/>
      <w:bookmarkEnd w:id="347"/>
    </w:p>
    <w:p w14:paraId="281A2734" w14:textId="77777777" w:rsidR="00111E4D" w:rsidRPr="003B35A6" w:rsidRDefault="00111E4D" w:rsidP="003B35A6">
      <w:pPr>
        <w:pStyle w:val="Heading3"/>
      </w:pPr>
      <w:bookmarkStart w:id="348" w:name="_Toc530598180"/>
      <w:bookmarkStart w:id="349" w:name="_Toc530660533"/>
      <w:bookmarkStart w:id="350" w:name="_Toc3538134"/>
      <w:r w:rsidRPr="003B35A6">
        <w:t>Participants</w:t>
      </w:r>
      <w:bookmarkEnd w:id="348"/>
      <w:bookmarkEnd w:id="349"/>
      <w:bookmarkEnd w:id="350"/>
    </w:p>
    <w:p w14:paraId="0E5EAF5D" w14:textId="4FDD92C0" w:rsidR="00111E4D" w:rsidRDefault="00111E4D" w:rsidP="00111E4D">
      <w:r>
        <w:t>One hundred and twenty-six participants were recruited from The University of the Third Age (U3A) across the UK</w:t>
      </w:r>
      <w:r w:rsidR="00554CB4">
        <w:t xml:space="preserve">.  </w:t>
      </w:r>
      <w:r w:rsidRPr="00DE1D0E">
        <w:rPr>
          <w:noProof/>
        </w:rPr>
        <w:t>The University of the Third Age is a</w:t>
      </w:r>
      <w:r>
        <w:t xml:space="preserve"> movement that aims to educate and stimulate its members  </w:t>
      </w:r>
      <w:r>
        <w:fldChar w:fldCharType="begin" w:fldLock="1"/>
      </w:r>
      <w:r w:rsidR="000B6CC8">
        <w:instrText>ADDIN CSL_CITATION {"citationItems":[{"id":"ITEM-1","itemData":{"URL":"https://u3a.org.uk/about","accessed":{"date-parts":[["2018","10","26"]]},"author":[{"dropping-particle":"","family":"U3A","given":"","non-dropping-particle":"","parse-names":false,"suffix":""}],"container-title":"U3A","id":"ITEM-1","issued":{"date-parts":[["2018"]]},"title":"U3A - About","type":"webpage"},"uris":["http://www.mendeley.com/documents/?uuid=5b955582-5baa-3854-b68c-a90abe9d696c"]}],"mendeley":{"formattedCitation":"(U3A, 2018)","plainTextFormattedCitation":"(U3A, 2018)","previouslyFormattedCitation":"(U3A, 2018)"},"properties":{"noteIndex":0},"schema":"https://github.com/citation-style-language/schema/raw/master/csl-citation.json"}</w:instrText>
      </w:r>
      <w:r>
        <w:fldChar w:fldCharType="separate"/>
      </w:r>
      <w:r w:rsidRPr="00DE1D0E">
        <w:rPr>
          <w:noProof/>
        </w:rPr>
        <w:t>(U3A, 2018)</w:t>
      </w:r>
      <w:r>
        <w:fldChar w:fldCharType="end"/>
      </w:r>
      <w:r w:rsidRPr="00A8050A">
        <w:t>.  The</w:t>
      </w:r>
      <w:r>
        <w:t xml:space="preserve"> membership is mainly comprised of retired members of the community in the third 'age' of their life aged over 50</w:t>
      </w:r>
      <w:r w:rsidRPr="00680D3F">
        <w:t>.</w:t>
      </w:r>
      <w:r w:rsidR="000F60E4">
        <w:t xml:space="preserve">  </w:t>
      </w:r>
      <w:r>
        <w:t>The inclusion criteria required participants to be aged 50 years or above and to be able to read and hear clearly (with glasses or hearing aids if need</w:t>
      </w:r>
      <w:r w:rsidR="00264DFE">
        <w:t>ed</w:t>
      </w:r>
      <w:r>
        <w:t>) and to have a problem that was currently causing them distress that they were willing to disclose to a computer program</w:t>
      </w:r>
      <w:r w:rsidR="00554CB4">
        <w:t xml:space="preserve">.  </w:t>
      </w:r>
      <w:r>
        <w:t>The exclusion criteria required that participants should not have professionally diagnosed mental health issues.</w:t>
      </w:r>
      <w:r w:rsidR="00554CB4">
        <w:t xml:space="preserve">  </w:t>
      </w:r>
      <w:r w:rsidRPr="007828B0">
        <w:t xml:space="preserve">At randomisation </w:t>
      </w:r>
      <w:r>
        <w:t xml:space="preserve">124 </w:t>
      </w:r>
      <w:r w:rsidRPr="007828B0">
        <w:t>participants were recruited and randomised</w:t>
      </w:r>
      <w:r>
        <w:t xml:space="preserve"> (</w:t>
      </w:r>
      <w:r w:rsidR="00A22FA5">
        <w:rPr>
          <w:rFonts w:cs="Arial"/>
          <w:color w:val="222222"/>
          <w:shd w:val="clear" w:color="auto" w:fill="FFFFFF"/>
        </w:rPr>
        <w:t>s</w:t>
      </w:r>
      <w:r>
        <w:rPr>
          <w:rFonts w:cs="Arial"/>
          <w:color w:val="222222"/>
          <w:shd w:val="clear" w:color="auto" w:fill="FFFFFF"/>
        </w:rPr>
        <w:t>ee </w:t>
      </w:r>
      <w:r>
        <w:rPr>
          <w:rFonts w:cs="Arial"/>
          <w:b/>
          <w:bCs/>
          <w:color w:val="222222"/>
          <w:shd w:val="clear" w:color="auto" w:fill="FFFFFF"/>
        </w:rPr>
        <w:fldChar w:fldCharType="begin"/>
      </w:r>
      <w:r>
        <w:rPr>
          <w:rFonts w:cs="Arial"/>
          <w:color w:val="222222"/>
          <w:shd w:val="clear" w:color="auto" w:fill="FFFFFF"/>
        </w:rPr>
        <w:instrText xml:space="preserve"> REF _Ref525560414 \h </w:instrText>
      </w:r>
      <w:r>
        <w:rPr>
          <w:rFonts w:cs="Arial"/>
          <w:b/>
          <w:bCs/>
          <w:color w:val="222222"/>
          <w:shd w:val="clear" w:color="auto" w:fill="FFFFFF"/>
        </w:rPr>
      </w:r>
      <w:r>
        <w:rPr>
          <w:rFonts w:cs="Arial"/>
          <w:b/>
          <w:bCs/>
          <w:color w:val="222222"/>
          <w:shd w:val="clear" w:color="auto" w:fill="FFFFFF"/>
        </w:rPr>
        <w:fldChar w:fldCharType="separate"/>
      </w:r>
      <w:r w:rsidR="00574650">
        <w:t xml:space="preserve">Figure </w:t>
      </w:r>
      <w:r w:rsidR="00574650">
        <w:rPr>
          <w:noProof/>
        </w:rPr>
        <w:t>5</w:t>
      </w:r>
      <w:r w:rsidR="00574650">
        <w:t>.</w:t>
      </w:r>
      <w:r w:rsidR="00574650">
        <w:rPr>
          <w:noProof/>
        </w:rPr>
        <w:t>4</w:t>
      </w:r>
      <w:r>
        <w:rPr>
          <w:rFonts w:cs="Arial"/>
          <w:b/>
          <w:bCs/>
          <w:color w:val="222222"/>
          <w:shd w:val="clear" w:color="auto" w:fill="FFFFFF"/>
        </w:rPr>
        <w:fldChar w:fldCharType="end"/>
      </w:r>
      <w:r>
        <w:t>)</w:t>
      </w:r>
      <w:r w:rsidR="00761A67" w:rsidRPr="007828B0">
        <w:t xml:space="preserve">.  </w:t>
      </w:r>
      <w:r w:rsidRPr="007828B0">
        <w:t>The randomisation groups were relatively even</w:t>
      </w:r>
      <w:r>
        <w:t xml:space="preserve"> </w:t>
      </w:r>
      <w:r w:rsidRPr="007828B0">
        <w:t xml:space="preserve">at baseline with </w:t>
      </w:r>
      <w:r>
        <w:t>59</w:t>
      </w:r>
      <w:r w:rsidRPr="007828B0">
        <w:t xml:space="preserve"> allocated to MYLO, </w:t>
      </w:r>
      <w:r>
        <w:t>53</w:t>
      </w:r>
      <w:r w:rsidRPr="007828B0">
        <w:t xml:space="preserve"> to </w:t>
      </w:r>
      <w:r>
        <w:t>ELIZA</w:t>
      </w:r>
      <w:r w:rsidR="00554CB4">
        <w:t xml:space="preserve">.  </w:t>
      </w:r>
      <w:r>
        <w:t>At post intervention seven</w:t>
      </w:r>
      <w:r w:rsidR="00A22FA5">
        <w:t>,</w:t>
      </w:r>
      <w:r w:rsidRPr="007828B0">
        <w:t xml:space="preserve"> ha</w:t>
      </w:r>
      <w:r w:rsidR="00A22FA5">
        <w:t>d</w:t>
      </w:r>
      <w:r w:rsidRPr="007828B0">
        <w:t xml:space="preserve"> been lost in the MYLO group, </w:t>
      </w:r>
      <w:r>
        <w:t>three</w:t>
      </w:r>
      <w:r w:rsidRPr="007828B0">
        <w:t xml:space="preserve"> in the </w:t>
      </w:r>
      <w:r>
        <w:t xml:space="preserve">ELIZA </w:t>
      </w:r>
      <w:r w:rsidRPr="007828B0">
        <w:t>group</w:t>
      </w:r>
      <w:r w:rsidR="00554CB4">
        <w:t xml:space="preserve">.  </w:t>
      </w:r>
      <w:r>
        <w:t>At 2</w:t>
      </w:r>
      <w:r w:rsidRPr="007828B0">
        <w:t>-week follow-up</w:t>
      </w:r>
      <w:r>
        <w:t xml:space="preserve"> three</w:t>
      </w:r>
      <w:r w:rsidRPr="007828B0">
        <w:t xml:space="preserve"> were lost in the</w:t>
      </w:r>
      <w:r>
        <w:t xml:space="preserve"> </w:t>
      </w:r>
      <w:r w:rsidRPr="007828B0">
        <w:t xml:space="preserve">MYLO </w:t>
      </w:r>
      <w:r>
        <w:t>group and zero</w:t>
      </w:r>
      <w:r w:rsidRPr="007828B0">
        <w:t xml:space="preserve"> in the </w:t>
      </w:r>
      <w:r>
        <w:t>ELIZA</w:t>
      </w:r>
      <w:r w:rsidRPr="007828B0">
        <w:t xml:space="preserve"> grou</w:t>
      </w:r>
      <w:r>
        <w:t>p</w:t>
      </w:r>
      <w:r w:rsidRPr="007828B0">
        <w:t>.</w:t>
      </w:r>
    </w:p>
    <w:p w14:paraId="617A4279" w14:textId="3849B1AB" w:rsidR="00111E4D" w:rsidRDefault="00111E4D" w:rsidP="00111E4D">
      <w:pPr>
        <w:pStyle w:val="Caption"/>
        <w:keepNext/>
      </w:pPr>
      <w:bookmarkStart w:id="351" w:name="_Ref525560414"/>
      <w:bookmarkStart w:id="352" w:name="_Toc530684663"/>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5</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proofErr w:type="gramStart"/>
      <w:r w:rsidR="00574650">
        <w:rPr>
          <w:noProof/>
        </w:rPr>
        <w:t>4</w:t>
      </w:r>
      <w:r w:rsidR="00371DCC">
        <w:fldChar w:fldCharType="end"/>
      </w:r>
      <w:bookmarkEnd w:id="351"/>
      <w:r>
        <w:t xml:space="preserve"> Study flow diagram</w:t>
      </w:r>
      <w:bookmarkEnd w:id="352"/>
      <w:proofErr w:type="gramEnd"/>
    </w:p>
    <w:p w14:paraId="2A5504EF" w14:textId="77777777" w:rsidR="00111E4D" w:rsidRDefault="00111E4D" w:rsidP="00111E4D">
      <w:pPr>
        <w:rPr>
          <w:i/>
          <w:iCs/>
          <w:color w:val="44546A" w:themeColor="text2"/>
          <w:sz w:val="18"/>
          <w:szCs w:val="18"/>
        </w:rPr>
      </w:pPr>
      <w:r>
        <w:rPr>
          <w:noProof/>
          <w:lang w:eastAsia="en-GB"/>
        </w:rPr>
        <w:drawing>
          <wp:inline distT="0" distB="0" distL="0" distR="0" wp14:anchorId="4FDC9E0D" wp14:editId="5DA83E79">
            <wp:extent cx="5249890" cy="7200536"/>
            <wp:effectExtent l="0" t="0" r="8255" b="63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udy-2-1 diagram.png"/>
                    <pic:cNvPicPr/>
                  </pic:nvPicPr>
                  <pic:blipFill>
                    <a:blip r:embed="rId31">
                      <a:extLst>
                        <a:ext uri="{28A0092B-C50C-407E-A947-70E740481C1C}">
                          <a14:useLocalDpi xmlns:a14="http://schemas.microsoft.com/office/drawing/2010/main" val="0"/>
                        </a:ext>
                      </a:extLst>
                    </a:blip>
                    <a:stretch>
                      <a:fillRect/>
                    </a:stretch>
                  </pic:blipFill>
                  <pic:spPr>
                    <a:xfrm>
                      <a:off x="0" y="0"/>
                      <a:ext cx="5260044" cy="7214462"/>
                    </a:xfrm>
                    <a:prstGeom prst="rect">
                      <a:avLst/>
                    </a:prstGeom>
                  </pic:spPr>
                </pic:pic>
              </a:graphicData>
            </a:graphic>
          </wp:inline>
        </w:drawing>
      </w:r>
    </w:p>
    <w:p w14:paraId="1AAB0AA9" w14:textId="77777777" w:rsidR="00111E4D" w:rsidRDefault="00111E4D" w:rsidP="00111E4D">
      <w:pPr>
        <w:rPr>
          <w:rFonts w:eastAsiaTheme="majorEastAsia" w:cstheme="majorBidi"/>
          <w:b/>
          <w:bCs/>
          <w:color w:val="000000" w:themeColor="text1"/>
        </w:rPr>
      </w:pPr>
      <w:r>
        <w:br w:type="page"/>
      </w:r>
    </w:p>
    <w:p w14:paraId="2EC4B3F6" w14:textId="77777777" w:rsidR="00111E4D" w:rsidRDefault="00111E4D" w:rsidP="00111E4D">
      <w:pPr>
        <w:pStyle w:val="Heading3"/>
      </w:pPr>
      <w:bookmarkStart w:id="353" w:name="_Toc530598181"/>
      <w:bookmarkStart w:id="354" w:name="_Toc530660534"/>
      <w:bookmarkStart w:id="355" w:name="_Toc3538135"/>
      <w:r>
        <w:lastRenderedPageBreak/>
        <w:t>Materials</w:t>
      </w:r>
      <w:bookmarkEnd w:id="353"/>
      <w:bookmarkEnd w:id="354"/>
      <w:bookmarkEnd w:id="355"/>
    </w:p>
    <w:p w14:paraId="4B38B18B" w14:textId="77777777" w:rsidR="00111E4D" w:rsidRDefault="00111E4D" w:rsidP="00111E4D">
      <w:pPr>
        <w:pStyle w:val="Heading4"/>
      </w:pPr>
      <w:r>
        <w:t>Demographics</w:t>
      </w:r>
    </w:p>
    <w:p w14:paraId="58FFFEC8" w14:textId="77777777" w:rsidR="00111E4D" w:rsidRPr="00F54BC3" w:rsidRDefault="00111E4D" w:rsidP="00111E4D">
      <w:r>
        <w:t>Age and gender data were collected.</w:t>
      </w:r>
    </w:p>
    <w:p w14:paraId="6FDE1DF6" w14:textId="2F6289A3" w:rsidR="00111E4D" w:rsidRPr="00DA2360" w:rsidRDefault="00111E4D" w:rsidP="00111E4D">
      <w:pPr>
        <w:pStyle w:val="Heading4"/>
      </w:pPr>
      <w:r>
        <w:t xml:space="preserve">Measures of </w:t>
      </w:r>
      <w:r w:rsidR="005741BD">
        <w:t>E</w:t>
      </w:r>
      <w:r>
        <w:t>ffectiveness</w:t>
      </w:r>
    </w:p>
    <w:p w14:paraId="3730685E" w14:textId="77777777" w:rsidR="00111E4D" w:rsidRPr="00B75CC2" w:rsidRDefault="00111E4D" w:rsidP="00111E4D">
      <w:pPr>
        <w:pStyle w:val="Heading5"/>
      </w:pPr>
      <w:r>
        <w:t>Problem Description Ratings Scale (PDRS)</w:t>
      </w:r>
    </w:p>
    <w:p w14:paraId="5720BDAE" w14:textId="0AA5AA2A" w:rsidR="00111E4D" w:rsidRPr="00680D3F" w:rsidRDefault="00111E4D" w:rsidP="00111E4D">
      <w:r>
        <w:t xml:space="preserve">Similar to </w:t>
      </w:r>
      <w:r w:rsidRPr="00BA4459">
        <w:rPr>
          <w:noProof/>
        </w:rPr>
        <w:t xml:space="preserve">Gaffney et al. </w:t>
      </w:r>
      <w:r>
        <w:fldChar w:fldCharType="begin" w:fldLock="1"/>
      </w:r>
      <w:r>
        <w:instrText>ADDIN CSL_CITATION {"citationItems":[{"id":"ITEM-1","itemData":{"DOI":"10.1017/S135246581300060X","ISBN":"1352-4658","ISSN":"14691833","PMID":"23899405","abstract":"Background: Computerized self-help that has an interactive, conversational format holds several advantages, such as flexibility across presenting problems and ease of use. We designed a new program called MYLO that utilizes the principles of Method of Levels (MOL) therapy - based upon Perceptual Control Theory (PCT). Aims: We tested the efficacy of MYLO, tested whether the psychological change mechanisms described by PCT mediated its efficacy, and evaluated effects of client expectancy. Method: Forty-eight student participants were randomly assigned to MYLO or a comparison program ELIZA. Participants discussed a problem they were currently experiencing with their assigned program and completed measures of distress, resolution and expectancy preintervention, postintervention and at 2-week follow-up. Results: MYLO and ELIZA were associated with reductions in distress, depression, anxiety and stress. MYLO was considered more helpful and led to greater problem resolution. The psychological change processes predicted higher ratings of MYLO's helpfulness and reductions in distress. Positive expectancies towards computer-based problem solving correlated with MYLO's perceived helpfulness and greater problem resolution, and this was partly mediated by the psychological change processes identified. Conclusions: The findings provide provisional support for the acceptability of the MYLO program in a non-clinical sample although its efficacy as an innovative computer-based aid to problem solving remains unclear. Nevertheless, the findings provide tentative early support for the mechanisms of psychological change identified within PCT and highlight the importance of client expectations on predicting engagement in computer-based self-help.","author":[{"dropping-particle":"","family":"Gaffney","given":"Hannah","non-dropping-particle":"","parse-names":false,"suffix":""},{"dropping-particle":"","family":"Mansell","given":"Warren","non-dropping-particle":"","parse-names":false,"suffix":""},{"dropping-particle":"","family":"Edwards","given":"Rachel","non-dropping-particle":"","parse-names":false,"suffix":""},{"dropping-particle":"","family":"Wright","given":"Jason","non-dropping-particle":"","parse-names":false,"suffix":""}],"container-title":"Behavioural and Cognitive Psychotherapy","id":"ITEM-1","issue":"6","issued":{"date-parts":[["2014"]]},"page":"731-746","title":"Manage Your Life Online (MYLO): A pilot trial of a conversational computer-based intervention for problem solving in a student sample","type":"article-journal","volume":"42"},"uris":["http://www.mendeley.com/documents/?uuid=a57316c1-59bb-4a79-a904-d9074a57d136"]}],"mendeley":{"formattedCitation":"(Gaffney &lt;i&gt;et al.&lt;/i&gt;, 2014)","manualFormatting":"(2013)","plainTextFormattedCitation":"(Gaffney et al., 2014)","previouslyFormattedCitation":"(Gaffney &lt;i&gt;et al.&lt;/i&gt;, 2014)"},"properties":{"noteIndex":0},"schema":"https://github.com/citation-style-language/schema/raw/master/csl-citation.json"}</w:instrText>
      </w:r>
      <w:r>
        <w:fldChar w:fldCharType="separate"/>
      </w:r>
      <w:r w:rsidRPr="00BA4459">
        <w:rPr>
          <w:noProof/>
        </w:rPr>
        <w:t>(2013)</w:t>
      </w:r>
      <w:r>
        <w:fldChar w:fldCharType="end"/>
      </w:r>
      <w:r>
        <w:t>, participants were asked to provide a qualitative description of a problem (e.g. with finances, relationships, family), a qualitative description of the time period it has been experienced, and to respond to two 11-point scales measuring the degree of distress caused by the problem ranging from 0 (not distressing at all) and 10 (highly distressing) and the problem’s solvability ranging from 0 (cannot be resolved) to 10 (easily resolved).  (</w:t>
      </w:r>
      <w:r w:rsidRPr="003B35A6">
        <w:rPr>
          <w:rFonts w:cs="Arial"/>
          <w:color w:val="222222"/>
          <w:shd w:val="clear" w:color="auto" w:fill="FFFFFF"/>
        </w:rPr>
        <w:t>See</w:t>
      </w:r>
      <w:r w:rsidR="003B35A6">
        <w:rPr>
          <w:rFonts w:cs="Arial"/>
          <w:color w:val="222222"/>
          <w:shd w:val="clear" w:color="auto" w:fill="FFFFFF"/>
        </w:rPr>
        <w:t xml:space="preserve"> </w:t>
      </w:r>
      <w:r w:rsidRPr="003B35A6">
        <w:rPr>
          <w:rFonts w:cs="Arial"/>
          <w:bCs/>
          <w:color w:val="222222"/>
          <w:shd w:val="clear" w:color="auto" w:fill="FFFFFF"/>
        </w:rPr>
        <w:t>Appendix</w:t>
      </w:r>
      <w:r w:rsidR="003B35A6">
        <w:rPr>
          <w:rFonts w:cs="Arial"/>
          <w:color w:val="222222"/>
          <w:shd w:val="clear" w:color="auto" w:fill="FFFFFF"/>
        </w:rPr>
        <w:t xml:space="preserve"> </w:t>
      </w:r>
      <w:r w:rsidR="003B35A6" w:rsidRPr="003B35A6">
        <w:rPr>
          <w:rFonts w:cs="Arial"/>
          <w:color w:val="222222"/>
          <w:shd w:val="clear" w:color="auto" w:fill="FFFFFF"/>
        </w:rPr>
        <w:t>C1</w:t>
      </w:r>
      <w:r w:rsidRPr="003B35A6">
        <w:t>)</w:t>
      </w:r>
    </w:p>
    <w:p w14:paraId="1E19ACC1" w14:textId="77777777" w:rsidR="00111E4D" w:rsidRDefault="00111E4D" w:rsidP="00111E4D">
      <w:pPr>
        <w:pStyle w:val="Heading5"/>
      </w:pPr>
      <w:r w:rsidRPr="633F8370">
        <w:t>Depression, Anxiety and Stress Scale (DASS-21)</w:t>
      </w:r>
    </w:p>
    <w:p w14:paraId="5A053B35" w14:textId="0558816F" w:rsidR="00111E4D" w:rsidRDefault="00111E4D" w:rsidP="00111E4D">
      <w:r>
        <w:t xml:space="preserve">The </w:t>
      </w:r>
      <w:r w:rsidRPr="008E38F0">
        <w:t>Depression, Anxiety and Stress Scale (DASS-21</w:t>
      </w:r>
      <w:r>
        <w:t xml:space="preserve">; </w:t>
      </w:r>
      <w:r>
        <w:fldChar w:fldCharType="begin" w:fldLock="1"/>
      </w:r>
      <w:r w:rsidR="0034680F">
        <w:instrText>ADDIN CSL_CITATION {"citationItems":[{"id":"ITEM-1","itemData":{"author":[{"dropping-particle":"","family":"Lovibond","given":"S. H.","non-dropping-particle":"","parse-names":false,"suffix":""},{"dropping-particle":"","family":"Lovibond","given":"P. F.","non-dropping-particle":"","parse-names":false,"suffix":""}],"id":"ITEM-1","issued":{"date-parts":[["1995"]]},"publisher":"Sydney: Psychology Foundation","title":"Manual for the Depression Anxiety Stress Scales. (2nd. Ed.)","type":"book"},"uris":["http://www.mendeley.com/documents/?uuid=638315a6-4fc9-4849-9cf1-5990b22cc6b0"]}],"mendeley":{"formattedCitation":"(Lovibond and Lovibond, 1995)","manualFormatting":"Lovibond, &amp; Lovibond, 1995)","plainTextFormattedCitation":"(Lovibond and Lovibond, 1995)","previouslyFormattedCitation":"(Lovibond and Lovibond, 1995)"},"properties":{"noteIndex":0},"schema":"https://github.com/citation-style-language/schema/raw/master/csl-citation.json"}</w:instrText>
      </w:r>
      <w:r>
        <w:fldChar w:fldCharType="separate"/>
      </w:r>
      <w:r w:rsidRPr="00B91634">
        <w:rPr>
          <w:noProof/>
        </w:rPr>
        <w:t>Lovibond, &amp; Lovibond</w:t>
      </w:r>
      <w:r>
        <w:rPr>
          <w:noProof/>
        </w:rPr>
        <w:t>,</w:t>
      </w:r>
      <w:r w:rsidRPr="00B91634">
        <w:rPr>
          <w:noProof/>
        </w:rPr>
        <w:t xml:space="preserve"> 1995)</w:t>
      </w:r>
      <w:r>
        <w:fldChar w:fldCharType="end"/>
      </w:r>
      <w:r>
        <w:t xml:space="preserve"> is a</w:t>
      </w:r>
      <w:r w:rsidRPr="00680D3F">
        <w:t xml:space="preserve"> 21-item </w:t>
      </w:r>
      <w:r w:rsidRPr="00811CEF">
        <w:rPr>
          <w:noProof/>
        </w:rPr>
        <w:t>scale that measures l</w:t>
      </w:r>
      <w:r>
        <w:rPr>
          <w:noProof/>
        </w:rPr>
        <w:t xml:space="preserve">evels of </w:t>
      </w:r>
      <w:r w:rsidRPr="00811CEF">
        <w:rPr>
          <w:noProof/>
        </w:rPr>
        <w:t>depression, anxiety and stress over the previous week on a 4-point scale</w:t>
      </w:r>
      <w:r w:rsidRPr="00680D3F">
        <w:t xml:space="preserve"> </w:t>
      </w:r>
      <w:r>
        <w:t>(</w:t>
      </w:r>
      <w:r w:rsidRPr="00680D3F">
        <w:t xml:space="preserve">0 </w:t>
      </w:r>
      <w:r>
        <w:t>–</w:t>
      </w:r>
      <w:r w:rsidRPr="00680D3F">
        <w:t xml:space="preserve"> 3</w:t>
      </w:r>
      <w:r>
        <w:t xml:space="preserve">).  </w:t>
      </w:r>
      <w:r w:rsidRPr="00811CEF">
        <w:rPr>
          <w:noProof/>
        </w:rPr>
        <w:t>Scores can</w:t>
      </w:r>
      <w:r>
        <w:rPr>
          <w:noProof/>
        </w:rPr>
        <w:t xml:space="preserve"> </w:t>
      </w:r>
      <w:r w:rsidRPr="00811CEF">
        <w:rPr>
          <w:noProof/>
        </w:rPr>
        <w:t>range from 0 to 42 in each</w:t>
      </w:r>
      <w:r>
        <w:t xml:space="preserve"> domain of the scale (Depression, Anxiety, and Stress)</w:t>
      </w:r>
      <w:r w:rsidRPr="00680D3F">
        <w:t xml:space="preserve"> </w:t>
      </w:r>
      <w:r w:rsidRPr="00DE1D0E">
        <w:rPr>
          <w:noProof/>
        </w:rPr>
        <w:t>and are calculated by summing the scores of</w:t>
      </w:r>
      <w:r w:rsidRPr="00680D3F">
        <w:t xml:space="preserve"> the seven</w:t>
      </w:r>
      <w:r>
        <w:t xml:space="preserve"> items.  In previous research t</w:t>
      </w:r>
      <w:r w:rsidRPr="00680D3F">
        <w:t xml:space="preserve">he scale has </w:t>
      </w:r>
      <w:r>
        <w:t xml:space="preserve">shown </w:t>
      </w:r>
      <w:r w:rsidRPr="00680D3F">
        <w:t xml:space="preserve">high internal consistency with Cronbach’s </w:t>
      </w:r>
      <w:r w:rsidRPr="00811CEF">
        <w:rPr>
          <w:noProof/>
        </w:rPr>
        <w:t>alpha values of Depression 0.91</w:t>
      </w:r>
      <w:r>
        <w:rPr>
          <w:noProof/>
        </w:rPr>
        <w:t>,</w:t>
      </w:r>
      <w:r w:rsidRPr="00811CEF">
        <w:rPr>
          <w:noProof/>
        </w:rPr>
        <w:t xml:space="preserve"> Anxiety 0.84 and Stress 0.90 (Lovibond,</w:t>
      </w:r>
      <w:r w:rsidRPr="00B91634">
        <w:rPr>
          <w:noProof/>
        </w:rPr>
        <w:t xml:space="preserve"> &amp; Lovibond</w:t>
      </w:r>
      <w:r>
        <w:rPr>
          <w:noProof/>
        </w:rPr>
        <w:t>,</w:t>
      </w:r>
      <w:r w:rsidRPr="00B91634">
        <w:rPr>
          <w:noProof/>
        </w:rPr>
        <w:t xml:space="preserve"> 1995</w:t>
      </w:r>
      <w:r>
        <w:rPr>
          <w:noProof/>
        </w:rPr>
        <w:t>)</w:t>
      </w:r>
      <w:r w:rsidR="00761A67" w:rsidRPr="00680D3F">
        <w:t>.</w:t>
      </w:r>
      <w:r w:rsidR="00761A67">
        <w:t xml:space="preserve">  </w:t>
      </w:r>
      <w:r>
        <w:t>(</w:t>
      </w:r>
      <w:r w:rsidR="003B35A6" w:rsidRPr="003B35A6">
        <w:rPr>
          <w:rFonts w:cs="Arial"/>
          <w:color w:val="222222"/>
          <w:shd w:val="clear" w:color="auto" w:fill="FFFFFF"/>
        </w:rPr>
        <w:t>See</w:t>
      </w:r>
      <w:r w:rsidR="003B35A6">
        <w:rPr>
          <w:rFonts w:cs="Arial"/>
          <w:color w:val="222222"/>
          <w:shd w:val="clear" w:color="auto" w:fill="FFFFFF"/>
        </w:rPr>
        <w:t xml:space="preserve"> </w:t>
      </w:r>
      <w:r w:rsidR="003B35A6" w:rsidRPr="003B35A6">
        <w:rPr>
          <w:rFonts w:cs="Arial"/>
          <w:bCs/>
          <w:color w:val="222222"/>
          <w:shd w:val="clear" w:color="auto" w:fill="FFFFFF"/>
        </w:rPr>
        <w:t>Appendix</w:t>
      </w:r>
      <w:r w:rsidR="003B35A6">
        <w:rPr>
          <w:rFonts w:cs="Arial"/>
          <w:color w:val="222222"/>
          <w:shd w:val="clear" w:color="auto" w:fill="FFFFFF"/>
        </w:rPr>
        <w:t xml:space="preserve"> </w:t>
      </w:r>
      <w:r w:rsidR="003B35A6" w:rsidRPr="003B35A6">
        <w:rPr>
          <w:rFonts w:cs="Arial"/>
          <w:color w:val="222222"/>
          <w:shd w:val="clear" w:color="auto" w:fill="FFFFFF"/>
        </w:rPr>
        <w:t>C</w:t>
      </w:r>
      <w:r w:rsidR="003B35A6">
        <w:rPr>
          <w:rFonts w:cs="Arial"/>
          <w:color w:val="222222"/>
          <w:shd w:val="clear" w:color="auto" w:fill="FFFFFF"/>
        </w:rPr>
        <w:t>2</w:t>
      </w:r>
      <w:r>
        <w:t>)</w:t>
      </w:r>
    </w:p>
    <w:p w14:paraId="15BD4AF4" w14:textId="2AD164D2" w:rsidR="00111E4D" w:rsidRPr="00680D3F" w:rsidRDefault="00111E4D" w:rsidP="00111E4D">
      <w:pPr>
        <w:pStyle w:val="Heading4"/>
      </w:pPr>
      <w:r w:rsidRPr="00A534F5">
        <w:t>Measures</w:t>
      </w:r>
      <w:r>
        <w:t xml:space="preserve"> of </w:t>
      </w:r>
      <w:r w:rsidR="005741BD">
        <w:t>A</w:t>
      </w:r>
      <w:r>
        <w:t>cceptability</w:t>
      </w:r>
    </w:p>
    <w:p w14:paraId="19F13F4B" w14:textId="77777777" w:rsidR="00111E4D" w:rsidRDefault="00111E4D" w:rsidP="00111E4D">
      <w:pPr>
        <w:pStyle w:val="Heading5"/>
      </w:pPr>
      <w:r>
        <w:t>Time</w:t>
      </w:r>
    </w:p>
    <w:p w14:paraId="5715F31E" w14:textId="77777777" w:rsidR="00111E4D" w:rsidRPr="00014CCB" w:rsidRDefault="00111E4D" w:rsidP="00111E4D">
      <w:r>
        <w:t>The time difference in minutes between the first and last timestamp of each conversation log was used to measure the length of time participants spent using their assigned program.</w:t>
      </w:r>
    </w:p>
    <w:p w14:paraId="001C9BB2" w14:textId="77777777" w:rsidR="00111E4D" w:rsidRDefault="00111E4D" w:rsidP="00111E4D">
      <w:pPr>
        <w:pStyle w:val="Heading5"/>
      </w:pPr>
      <w:r>
        <w:t>Rating of Resolution (</w:t>
      </w:r>
      <w:proofErr w:type="spellStart"/>
      <w:r>
        <w:t>RoR</w:t>
      </w:r>
      <w:proofErr w:type="spellEnd"/>
      <w:r>
        <w:t>)</w:t>
      </w:r>
    </w:p>
    <w:p w14:paraId="648DAE50" w14:textId="6EB657DB" w:rsidR="00111E4D" w:rsidRDefault="00111E4D" w:rsidP="00111E4D">
      <w:r>
        <w:t>To measure the extent to which the problem was resolved, following Gaffney et al. (2013)</w:t>
      </w:r>
      <w:r w:rsidR="00616B9C">
        <w:t>,</w:t>
      </w:r>
      <w:r>
        <w:t xml:space="preserve"> participants were asked to what extent they feel their problem has been resolved, 0 (Not resolved at all) to 10 (completely resolved).  (</w:t>
      </w:r>
      <w:r w:rsidR="003B35A6" w:rsidRPr="003B35A6">
        <w:rPr>
          <w:rFonts w:cs="Arial"/>
          <w:color w:val="222222"/>
          <w:shd w:val="clear" w:color="auto" w:fill="FFFFFF"/>
        </w:rPr>
        <w:t>See</w:t>
      </w:r>
      <w:r w:rsidR="003B35A6">
        <w:rPr>
          <w:rFonts w:cs="Arial"/>
          <w:color w:val="222222"/>
          <w:shd w:val="clear" w:color="auto" w:fill="FFFFFF"/>
        </w:rPr>
        <w:t xml:space="preserve"> </w:t>
      </w:r>
      <w:r w:rsidR="003B35A6" w:rsidRPr="003B35A6">
        <w:rPr>
          <w:rFonts w:cs="Arial"/>
          <w:bCs/>
          <w:color w:val="222222"/>
          <w:shd w:val="clear" w:color="auto" w:fill="FFFFFF"/>
        </w:rPr>
        <w:t>Appendix</w:t>
      </w:r>
      <w:r w:rsidR="003B35A6">
        <w:rPr>
          <w:rFonts w:cs="Arial"/>
          <w:color w:val="222222"/>
          <w:shd w:val="clear" w:color="auto" w:fill="FFFFFF"/>
        </w:rPr>
        <w:t xml:space="preserve"> </w:t>
      </w:r>
      <w:r w:rsidR="003B35A6" w:rsidRPr="003B35A6">
        <w:rPr>
          <w:rFonts w:cs="Arial"/>
          <w:color w:val="222222"/>
          <w:shd w:val="clear" w:color="auto" w:fill="FFFFFF"/>
        </w:rPr>
        <w:t>C</w:t>
      </w:r>
      <w:r w:rsidR="003B35A6">
        <w:rPr>
          <w:rFonts w:cs="Arial"/>
          <w:color w:val="222222"/>
          <w:shd w:val="clear" w:color="auto" w:fill="FFFFFF"/>
        </w:rPr>
        <w:t>3</w:t>
      </w:r>
      <w:r>
        <w:t>)</w:t>
      </w:r>
    </w:p>
    <w:p w14:paraId="2A652B2D" w14:textId="77777777" w:rsidR="00111E4D" w:rsidRDefault="00111E4D" w:rsidP="00111E4D">
      <w:pPr>
        <w:pStyle w:val="Heading5"/>
      </w:pPr>
      <w:r>
        <w:t>Helpfulness</w:t>
      </w:r>
    </w:p>
    <w:p w14:paraId="063625BB" w14:textId="211AAF4B" w:rsidR="00111E4D" w:rsidRDefault="00111E4D" w:rsidP="00111E4D">
      <w:r>
        <w:t>Following Gaffney et al. (2013), participants were asked to rate how helpful they found their assigned computer program on an 11-point scale, 0 (not helpful at all) to 10 (extremely helpful)</w:t>
      </w:r>
      <w:r w:rsidR="00761A67">
        <w:t xml:space="preserve">.  </w:t>
      </w:r>
      <w:r>
        <w:t>Space is also provided for</w:t>
      </w:r>
      <w:r w:rsidRPr="633F8370">
        <w:rPr>
          <w:b/>
          <w:bCs/>
        </w:rPr>
        <w:t xml:space="preserve"> </w:t>
      </w:r>
      <w:r>
        <w:t>qualitative responses</w:t>
      </w:r>
      <w:r w:rsidR="00554CB4">
        <w:t xml:space="preserve">.  </w:t>
      </w:r>
      <w:r>
        <w:t>(</w:t>
      </w:r>
      <w:r w:rsidR="003B35A6" w:rsidRPr="003B35A6">
        <w:rPr>
          <w:rFonts w:cs="Arial"/>
          <w:color w:val="222222"/>
          <w:shd w:val="clear" w:color="auto" w:fill="FFFFFF"/>
        </w:rPr>
        <w:t>See</w:t>
      </w:r>
      <w:r w:rsidR="003B35A6">
        <w:rPr>
          <w:rFonts w:cs="Arial"/>
          <w:color w:val="222222"/>
          <w:shd w:val="clear" w:color="auto" w:fill="FFFFFF"/>
        </w:rPr>
        <w:t xml:space="preserve"> </w:t>
      </w:r>
      <w:r w:rsidR="003B35A6" w:rsidRPr="003B35A6">
        <w:rPr>
          <w:rFonts w:cs="Arial"/>
          <w:bCs/>
          <w:color w:val="222222"/>
          <w:shd w:val="clear" w:color="auto" w:fill="FFFFFF"/>
        </w:rPr>
        <w:t>Appendix</w:t>
      </w:r>
      <w:r w:rsidR="003B35A6" w:rsidRPr="003B35A6">
        <w:rPr>
          <w:rFonts w:cs="Arial"/>
          <w:color w:val="222222"/>
          <w:shd w:val="clear" w:color="auto" w:fill="FFFFFF"/>
        </w:rPr>
        <w:t xml:space="preserve"> C3</w:t>
      </w:r>
      <w:r w:rsidRPr="003B35A6">
        <w:t>)</w:t>
      </w:r>
    </w:p>
    <w:p w14:paraId="66523C3E" w14:textId="78EE2638" w:rsidR="00111E4D" w:rsidRDefault="00111E4D" w:rsidP="00111E4D">
      <w:pPr>
        <w:pStyle w:val="Heading5"/>
      </w:pPr>
      <w:r>
        <w:t xml:space="preserve">Use </w:t>
      </w:r>
      <w:r w:rsidR="002C1C1E">
        <w:t>A</w:t>
      </w:r>
      <w:r>
        <w:t>gain</w:t>
      </w:r>
    </w:p>
    <w:p w14:paraId="7BDDF109" w14:textId="536CADD6" w:rsidR="00111E4D" w:rsidRDefault="00111E4D" w:rsidP="00111E4D">
      <w:r>
        <w:t>Following Gaffney et al. (2013), participants were asked to rate the degree to which they would potentially use their assigned program again for a different problem, on an 11-point scale, 0 (most definitely not) and 10 (most definitely yes).  Space is also provided for</w:t>
      </w:r>
      <w:r w:rsidRPr="633F8370">
        <w:rPr>
          <w:b/>
          <w:bCs/>
        </w:rPr>
        <w:t xml:space="preserve"> </w:t>
      </w:r>
      <w:r>
        <w:t>qualitative responses</w:t>
      </w:r>
      <w:r w:rsidR="00554CB4">
        <w:t xml:space="preserve">.  </w:t>
      </w:r>
      <w:r>
        <w:t>(</w:t>
      </w:r>
      <w:r w:rsidR="003B35A6" w:rsidRPr="003B35A6">
        <w:rPr>
          <w:rFonts w:cs="Arial"/>
          <w:color w:val="222222"/>
          <w:shd w:val="clear" w:color="auto" w:fill="FFFFFF"/>
        </w:rPr>
        <w:t>See</w:t>
      </w:r>
      <w:r w:rsidR="003B35A6">
        <w:rPr>
          <w:rFonts w:cs="Arial"/>
          <w:color w:val="222222"/>
          <w:shd w:val="clear" w:color="auto" w:fill="FFFFFF"/>
        </w:rPr>
        <w:t xml:space="preserve"> </w:t>
      </w:r>
      <w:r w:rsidR="003B35A6" w:rsidRPr="003B35A6">
        <w:rPr>
          <w:rFonts w:cs="Arial"/>
          <w:bCs/>
          <w:color w:val="222222"/>
          <w:shd w:val="clear" w:color="auto" w:fill="FFFFFF"/>
        </w:rPr>
        <w:t>Appendix</w:t>
      </w:r>
      <w:r w:rsidR="003B35A6" w:rsidRPr="003B35A6">
        <w:rPr>
          <w:rFonts w:cs="Arial"/>
          <w:color w:val="222222"/>
          <w:shd w:val="clear" w:color="auto" w:fill="FFFFFF"/>
        </w:rPr>
        <w:t xml:space="preserve"> C3</w:t>
      </w:r>
      <w:r>
        <w:t>)</w:t>
      </w:r>
    </w:p>
    <w:p w14:paraId="0C74D04C" w14:textId="2E3AE07B" w:rsidR="00111E4D" w:rsidRDefault="00111E4D" w:rsidP="00111E4D">
      <w:pPr>
        <w:pStyle w:val="Heading5"/>
        <w:rPr>
          <w:shd w:val="clear" w:color="auto" w:fill="FFFFFF"/>
        </w:rPr>
      </w:pPr>
      <w:r>
        <w:rPr>
          <w:shd w:val="clear" w:color="auto" w:fill="FFFFFF"/>
        </w:rPr>
        <w:lastRenderedPageBreak/>
        <w:t xml:space="preserve">Program </w:t>
      </w:r>
      <w:r w:rsidR="002C1C1E">
        <w:rPr>
          <w:shd w:val="clear" w:color="auto" w:fill="FFFFFF"/>
        </w:rPr>
        <w:t>F</w:t>
      </w:r>
      <w:r>
        <w:rPr>
          <w:shd w:val="clear" w:color="auto" w:fill="FFFFFF"/>
        </w:rPr>
        <w:t>eedback</w:t>
      </w:r>
    </w:p>
    <w:p w14:paraId="7867A7FB" w14:textId="175780A2" w:rsidR="00111E4D" w:rsidRPr="00A15D2B" w:rsidRDefault="00111E4D" w:rsidP="00111E4D">
      <w:r>
        <w:t>To glean further feedback, a</w:t>
      </w:r>
      <w:r w:rsidRPr="00A15D2B">
        <w:t xml:space="preserve"> series of questions used by Gaffney et al. </w:t>
      </w:r>
      <w:r w:rsidRPr="00A15D2B">
        <w:fldChar w:fldCharType="begin" w:fldLock="1"/>
      </w:r>
      <w:r>
        <w:instrText>ADDIN CSL_CITATION {"citationItems":[{"id":"ITEM-1","itemData":{"DOI":"10.1017/S135246581300060X","ISBN":"1352-4658","ISSN":"14691833","PMID":"23899405","abstract":"Background: Computerized self-help that has an interactive, conversational format holds several advantages, such as flexibility across presenting problems and ease of use. We designed a new program called MYLO that utilizes the principles of Method of Levels (MOL) therapy - based upon Perceptual Control Theory (PCT). Aims: We tested the efficacy of MYLO, tested whether the psychological change mechanisms described by PCT mediated its efficacy, and evaluated effects of client expectancy. Method: Forty-eight student participants were randomly assigned to MYLO or a comparison program ELIZA. Participants discussed a problem they were currently experiencing with their assigned program and completed measures of distress, resolution and expectancy preintervention, postintervention and at 2-week follow-up. Results: MYLO and ELIZA were associated with reductions in distress, depression, anxiety and stress. MYLO was considered more helpful and led to greater problem resolution. The psychological change processes predicted higher ratings of MYLO's helpfulness and reductions in distress. Positive expectancies towards computer-based problem solving correlated with MYLO's perceived helpfulness and greater problem resolution, and this was partly mediated by the psychological change processes identified. Conclusions: The findings provide provisional support for the acceptability of the MYLO program in a non-clinical sample although its efficacy as an innovative computer-based aid to problem solving remains unclear. Nevertheless, the findings provide tentative early support for the mechanisms of psychological change identified within PCT and highlight the importance of client expectations on predicting engagement in computer-based self-help.","author":[{"dropping-particle":"","family":"Gaffney","given":"Hannah","non-dropping-particle":"","parse-names":false,"suffix":""},{"dropping-particle":"","family":"Mansell","given":"Warren","non-dropping-particle":"","parse-names":false,"suffix":""},{"dropping-particle":"","family":"Edwards","given":"Rachel","non-dropping-particle":"","parse-names":false,"suffix":""},{"dropping-particle":"","family":"Wright","given":"Jason","non-dropping-particle":"","parse-names":false,"suffix":""}],"container-title":"Behavioural and Cognitive Psychotherapy","id":"ITEM-1","issue":"6","issued":{"date-parts":[["2014"]]},"page":"731-746","title":"Manage Your Life Online (MYLO): A pilot trial of a conversational computer-based intervention for problem solving in a student sample","type":"article-journal","volume":"42"},"uris":["http://www.mendeley.com/documents/?uuid=a57316c1-59bb-4a79-a904-d9074a57d136"]}],"mendeley":{"formattedCitation":"(Gaffney &lt;i&gt;et al.&lt;/i&gt;, 2014)","manualFormatting":"(2013)","plainTextFormattedCitation":"(Gaffney et al., 2014)","previouslyFormattedCitation":"(Gaffney &lt;i&gt;et al.&lt;/i&gt;, 2014)"},"properties":{"noteIndex":0},"schema":"https://github.com/citation-style-language/schema/raw/master/csl-citation.json"}</w:instrText>
      </w:r>
      <w:r w:rsidRPr="00A15D2B">
        <w:fldChar w:fldCharType="separate"/>
      </w:r>
      <w:r w:rsidRPr="00A15D2B">
        <w:rPr>
          <w:noProof/>
        </w:rPr>
        <w:t>(2013)</w:t>
      </w:r>
      <w:r w:rsidRPr="00A15D2B">
        <w:fldChar w:fldCharType="end"/>
      </w:r>
      <w:r w:rsidRPr="00A15D2B">
        <w:t xml:space="preserve"> </w:t>
      </w:r>
      <w:r>
        <w:t>were included</w:t>
      </w:r>
      <w:r w:rsidR="00554CB4">
        <w:t xml:space="preserve">.  </w:t>
      </w:r>
      <w:r>
        <w:t xml:space="preserve">These </w:t>
      </w:r>
      <w:r w:rsidRPr="00A15D2B">
        <w:t>explore</w:t>
      </w:r>
      <w:r>
        <w:t>d t</w:t>
      </w:r>
      <w:r w:rsidRPr="00A15D2B">
        <w:t>he benefi</w:t>
      </w:r>
      <w:r>
        <w:t xml:space="preserve">ts and problems </w:t>
      </w:r>
      <w:r w:rsidRPr="00A15D2B">
        <w:t>users experienced</w:t>
      </w:r>
      <w:r>
        <w:t xml:space="preserve"> with their program, along with any </w:t>
      </w:r>
      <w:r w:rsidRPr="00A15D2B">
        <w:t>improvements</w:t>
      </w:r>
      <w:r>
        <w:t xml:space="preserve"> that could be made</w:t>
      </w:r>
      <w:r w:rsidR="00554CB4">
        <w:t xml:space="preserve">.  </w:t>
      </w:r>
      <w:r>
        <w:t>Each question provided a space for</w:t>
      </w:r>
      <w:r w:rsidRPr="00A15D2B">
        <w:t xml:space="preserve"> qualitative response</w:t>
      </w:r>
      <w:r>
        <w:t>s</w:t>
      </w:r>
      <w:r w:rsidR="00554CB4">
        <w:t xml:space="preserve">.  </w:t>
      </w:r>
      <w:r>
        <w:t>Participants were also asked whether they would recommend the program to others</w:t>
      </w:r>
      <w:r w:rsidRPr="00CE19F6">
        <w:t xml:space="preserve"> </w:t>
      </w:r>
      <w:r>
        <w:t xml:space="preserve">and whether they </w:t>
      </w:r>
      <w:r w:rsidRPr="00CE19F6">
        <w:t xml:space="preserve">thought the computer helped in resolving their problem </w:t>
      </w:r>
      <w:r>
        <w:t xml:space="preserve">both with using </w:t>
      </w:r>
      <w:r w:rsidRPr="00CE19F6">
        <w:t>yes–no question</w:t>
      </w:r>
      <w:r>
        <w:t>s.  Space was also provided for qualitative responses</w:t>
      </w:r>
      <w:r w:rsidR="00554CB4">
        <w:t xml:space="preserve">.  </w:t>
      </w:r>
      <w:r>
        <w:t>(</w:t>
      </w:r>
      <w:r w:rsidR="00E92601" w:rsidRPr="003B35A6">
        <w:rPr>
          <w:rFonts w:cs="Arial"/>
          <w:color w:val="222222"/>
          <w:shd w:val="clear" w:color="auto" w:fill="FFFFFF"/>
        </w:rPr>
        <w:t>See</w:t>
      </w:r>
      <w:r w:rsidR="00E92601">
        <w:rPr>
          <w:rFonts w:cs="Arial"/>
          <w:color w:val="222222"/>
          <w:shd w:val="clear" w:color="auto" w:fill="FFFFFF"/>
        </w:rPr>
        <w:t xml:space="preserve"> </w:t>
      </w:r>
      <w:r w:rsidR="00E92601" w:rsidRPr="003B35A6">
        <w:rPr>
          <w:rFonts w:cs="Arial"/>
          <w:bCs/>
          <w:color w:val="222222"/>
          <w:shd w:val="clear" w:color="auto" w:fill="FFFFFF"/>
        </w:rPr>
        <w:t>Appendix</w:t>
      </w:r>
      <w:r w:rsidR="00E92601" w:rsidRPr="003B35A6">
        <w:rPr>
          <w:rFonts w:cs="Arial"/>
          <w:color w:val="222222"/>
          <w:shd w:val="clear" w:color="auto" w:fill="FFFFFF"/>
        </w:rPr>
        <w:t xml:space="preserve"> C3</w:t>
      </w:r>
      <w:r>
        <w:t>)</w:t>
      </w:r>
    </w:p>
    <w:p w14:paraId="3BA4471D" w14:textId="77777777" w:rsidR="00111E4D" w:rsidRPr="00680D3F" w:rsidRDefault="00111E4D" w:rsidP="00111E4D">
      <w:pPr>
        <w:pStyle w:val="Heading4"/>
      </w:pPr>
      <w:r w:rsidRPr="00A534F5">
        <w:t>ISO Standard Usability Measures</w:t>
      </w:r>
    </w:p>
    <w:p w14:paraId="2848F1FD" w14:textId="77777777" w:rsidR="00111E4D" w:rsidRDefault="00111E4D" w:rsidP="00111E4D">
      <w:pPr>
        <w:pStyle w:val="Heading5"/>
      </w:pPr>
      <w:r>
        <w:t>System Usability Scale</w:t>
      </w:r>
    </w:p>
    <w:p w14:paraId="11783135" w14:textId="60B5673F" w:rsidR="00111E4D" w:rsidRDefault="00111E4D" w:rsidP="00111E4D">
      <w:r>
        <w:t xml:space="preserve">The System Usability Scale (SUS; </w:t>
      </w:r>
      <w:r>
        <w:fldChar w:fldCharType="begin" w:fldLock="1"/>
      </w:r>
      <w:r>
        <w:instrText>ADDIN CSL_CITATION {"citationItems":[{"id":"ITEM-1","itemData":{"ISBN":"0748404600","abstract":"This book provides a variety of answers in its description and discussion of new, sometimes radical approaches to `usability evaluation', now an increasingly common business tool. It contains new thinking of the subject of usability evaluation in industry. Contributions come from those involved in the practice of industry-based usability evaluation as well as those involved in related research activity. The chapters are derived from and developed from presentations and discussions at the invited international seminar `Usability Evaluation in Industry', and give a leading edge overview of current usability practice in industry - identifying those issues of concern and approaches to tackling these.Key Features:* Provides a comprehensive overview of current practice* International examples * Contains practical examples of ergonomics at work and gives clear ideas of what does and doesn't work under industrial constraints","author":[{"dropping-particle":"","family":"Brooke","given":"John","non-dropping-particle":"","parse-names":false,"suffix":""}],"container-title":"Usability evaluation in industry","editor":[{"dropping-particle":"","family":"Jordan","given":"Patrick W.","non-dropping-particle":"","parse-names":false,"suffix":""},{"dropping-particle":"","family":"Thomas","given":"Bruce.","non-dropping-particle":"","parse-names":false,"suffix":""},{"dropping-particle":"","family":"Weerdmeester","given":"Bernard A.","non-dropping-particle":"","parse-names":false,"suffix":""},{"dropping-particle":"","family":"McClelland","given":"Ian L.","non-dropping-particle":"","parse-names":false,"suffix":""}],"id":"ITEM-1","issued":{"date-parts":[["1996"]]},"number-of-pages":"189-194","publisher":"CRC Press","title":"SUS: A 'Quick and Dirty' Usability Scale","type":"book"},"uris":["http://www.mendeley.com/documents/?uuid=f8a7178e-4094-42bc-9b43-663f8b55ee55"]}],"mendeley":{"formattedCitation":"(Brooke, 1996)","manualFormatting":"Brooke ,1996","plainTextFormattedCitation":"(Brooke, 1996)","previouslyFormattedCitation":"(Brooke, 1996)"},"properties":{"noteIndex":0},"schema":"https://github.com/citation-style-language/schema/raw/master/csl-citation.json"}</w:instrText>
      </w:r>
      <w:r>
        <w:fldChar w:fldCharType="separate"/>
      </w:r>
      <w:r w:rsidRPr="00AB09F3">
        <w:rPr>
          <w:noProof/>
        </w:rPr>
        <w:t>Brooke</w:t>
      </w:r>
      <w:r>
        <w:rPr>
          <w:noProof/>
        </w:rPr>
        <w:t xml:space="preserve"> ,</w:t>
      </w:r>
      <w:r w:rsidRPr="00AB09F3">
        <w:rPr>
          <w:noProof/>
        </w:rPr>
        <w:t>1996</w:t>
      </w:r>
      <w:r>
        <w:fldChar w:fldCharType="end"/>
      </w:r>
      <w:r>
        <w:t>) is a 10-item scale of statements with a 5-point scoring scale on the strength of agreement from 0 to 4.  Half the statements are worded positively, and half are worded negatively.  The SUS score is calculated by firstly summing the selected scores from each item.  For odd numbered items, the score contribution is the scale position (</w:t>
      </w:r>
      <w:proofErr w:type="spellStart"/>
      <w:r>
        <w:t>sp</w:t>
      </w:r>
      <w:proofErr w:type="spellEnd"/>
      <w:r>
        <w:t xml:space="preserve">) – 1 and for even numbered items the contribution is </w:t>
      </w:r>
      <w:proofErr w:type="spellStart"/>
      <w:r>
        <w:t>sp</w:t>
      </w:r>
      <w:proofErr w:type="spellEnd"/>
      <w:r>
        <w:t xml:space="preserve"> - 5.  </w:t>
      </w:r>
      <w:r w:rsidRPr="00874A3F">
        <w:rPr>
          <w:noProof/>
        </w:rPr>
        <w:t xml:space="preserve">Brooke </w:t>
      </w:r>
      <w:r>
        <w:fldChar w:fldCharType="begin" w:fldLock="1"/>
      </w:r>
      <w:r>
        <w:instrText>ADDIN CSL_CITATION {"citationItems":[{"id":"ITEM-1","itemData":{"ISBN":"0748404600","abstract":"This book provides a variety of answers in its description and discussion of new, sometimes radical approaches to `usability evaluation', now an increasingly common business tool. It contains new thinking of the subject of usability evaluation in industry. Contributions come from those involved in the practice of industry-based usability evaluation as well as those involved in related research activity. The chapters are derived from and developed from presentations and discussions at the invited international seminar `Usability Evaluation in Industry', and give a leading edge overview of current usability practice in industry - identifying those issues of concern and approaches to tackling these.Key Features:* Provides a comprehensive overview of current practice* International examples * Contains practical examples of ergonomics at work and gives clear ideas of what does and doesn't work under industrial constraints","author":[{"dropping-particle":"","family":"Brooke","given":"John","non-dropping-particle":"","parse-names":false,"suffix":""}],"container-title":"Usability evaluation in industry","editor":[{"dropping-particle":"","family":"Jordan","given":"Patrick W.","non-dropping-particle":"","parse-names":false,"suffix":""},{"dropping-particle":"","family":"Thomas","given":"Bruce.","non-dropping-particle":"","parse-names":false,"suffix":""},{"dropping-particle":"","family":"Weerdmeester","given":"Bernard A.","non-dropping-particle":"","parse-names":false,"suffix":""},{"dropping-particle":"","family":"McClelland","given":"Ian L.","non-dropping-particle":"","parse-names":false,"suffix":""}],"id":"ITEM-1","issued":{"date-parts":[["1996"]]},"number-of-pages":"189-194","publisher":"CRC Press","title":"SUS: A 'Quick and Dirty' Usability Scale","type":"book"},"uris":["http://www.mendeley.com/documents/?uuid=f8a7178e-4094-42bc-9b43-663f8b55ee55"]}],"mendeley":{"formattedCitation":"(Brooke, 1996)","manualFormatting":"(1996)","plainTextFormattedCitation":"(Brooke, 1996)","previouslyFormattedCitation":"(Brooke, 1996)"},"properties":{"noteIndex":0},"schema":"https://github.com/citation-style-language/schema/raw/master/csl-citation.json"}</w:instrText>
      </w:r>
      <w:r>
        <w:fldChar w:fldCharType="separate"/>
      </w:r>
      <w:r w:rsidRPr="00874A3F">
        <w:rPr>
          <w:noProof/>
        </w:rPr>
        <w:t>(1996)</w:t>
      </w:r>
      <w:r>
        <w:fldChar w:fldCharType="end"/>
      </w:r>
      <w:r>
        <w:t xml:space="preserve"> </w:t>
      </w:r>
      <w:r>
        <w:rPr>
          <w:noProof/>
        </w:rPr>
        <w:t>specifies the</w:t>
      </w:r>
      <w:r>
        <w:t xml:space="preserve"> total score must be calculated and multiplied by 2.5.  The final score can range from 0 to 100, with the higher the score the better the level of usability.  </w:t>
      </w:r>
      <w:r w:rsidRPr="00DE1D0E">
        <w:rPr>
          <w:noProof/>
        </w:rPr>
        <w:t>A score above 68 is considered above average</w:t>
      </w:r>
      <w:r w:rsidRPr="004E4604">
        <w:t xml:space="preserve"> </w:t>
      </w:r>
      <w:r>
        <w:t xml:space="preserve">usability </w:t>
      </w:r>
      <w:r w:rsidRPr="004E4604">
        <w:t xml:space="preserve">and anything below is </w:t>
      </w:r>
      <w:r>
        <w:t xml:space="preserve">considered </w:t>
      </w:r>
      <w:r w:rsidRPr="004E4604">
        <w:t xml:space="preserve">below </w:t>
      </w:r>
      <w:r>
        <w:t xml:space="preserve">average usability </w:t>
      </w:r>
      <w:r>
        <w:fldChar w:fldCharType="begin" w:fldLock="1"/>
      </w:r>
      <w:r>
        <w:instrText>ADDIN CSL_CITATION {"citationItems":[{"id":"ITEM-1","itemData":{"author":[{"dropping-particle":"","family":"Brooke","given":"John","non-dropping-particle":"","parse-names":false,"suffix":""}],"id":"ITEM-1","issue":"2","issued":{"date-parts":[["2013"]]},"page":"29-40","title":"SUS: A Retrospective","type":"article-journal","volume":"8"},"uris":["http://www.mendeley.com/documents/?uuid=199211bc-3390-3b6b-a207-281e5ac0820e"]}],"mendeley":{"formattedCitation":"(Brooke, 2013)","plainTextFormattedCitation":"(Brooke, 2013)","previouslyFormattedCitation":"(Brooke, 2013)"},"properties":{"noteIndex":0},"schema":"https://github.com/citation-style-language/schema/raw/master/csl-citation.json"}</w:instrText>
      </w:r>
      <w:r>
        <w:fldChar w:fldCharType="separate"/>
      </w:r>
      <w:r w:rsidRPr="0023657F">
        <w:rPr>
          <w:noProof/>
        </w:rPr>
        <w:t>(Brooke, 2013)</w:t>
      </w:r>
      <w:r>
        <w:fldChar w:fldCharType="end"/>
      </w:r>
      <w:r>
        <w:t xml:space="preserve">.  The internal-consistency of the SUS has been found to be at least .90 in large datasets </w:t>
      </w:r>
      <w:r>
        <w:fldChar w:fldCharType="begin" w:fldLock="1"/>
      </w:r>
      <w:r>
        <w:instrText>ADDIN CSL_CITATION {"citationItems":[{"id":"ITEM-1","itemData":{"DOI":"10.1145/1518701.1518946","ISBN":"9781605582467","abstract":"Post-task ratings of difficulty in a usability test have the potential to provide diagnostic information and be an additional measure of user satisfaction. But the ratings need to be reliable as well as easy to use for both respondents and researchers. Three one-question rating types were compared in a study with 26 participants who attempted the same five tasks with two software applications. The types were a Likert scale, a Usability Magnitude Estimation (UME) judgment, and a Subjective Mental Effort Question (SMEQ). All three types could distinguish between the applications with 26 participants, but the Likert and SMEQ types were more sensitive with small sample sizes. Both the Likert and SMEQ types were easy to learn and quick to execute. The online version of the SMEQ question was highly correlated with other measures and had equal sensitivity to the Likert question type.","author":[{"dropping-particle":"","family":"Sauro","given":"Jeff","non-dropping-particle":"","parse-names":false,"suffix":""},{"dropping-particle":"","family":"Dumas","given":"Joseph S.","non-dropping-particle":"","parse-names":false,"suffix":""}],"container-title":"Proceedings of the 27th international conference on Human factors in computing systems - CHI 09","id":"ITEM-1","issued":{"date-parts":[["2009"]]},"page":"1599","title":"Comparison of three one-question, post-task usability questionnaires","type":"article-journal"},"uris":["http://www.mendeley.com/documents/?uuid=cacec5c8-0c5b-3b56-97d0-e89c0e01a63e"]},{"id":"ITEM-2","itemData":{"DOI":"10.1080/10447310802205776","ISBN":"1044-7318","ISSN":"10447318","PMID":"33402155","abstract":"This article presents nearly 10 year's worth of System Usability Scale (SUS) data collected on numerous products in all phases of the development lifecycle. The SUS, developed by Brooke (1996), reflected a strong need in the usability community for a tool that could quickly and easily collect a user's subjective rating of a product's usability. The data in this study indicate that the SUS fulfills that need. Results from the analysis of this large number of SUS scores show that the SUS is a highly robust and versatile tool for usability professionals. The article presents these results and discusses their implications, describes nontraditional uses of the SUS, explains a proposed modification to the SUS to provide an adjective rating that correlates with a given score, and provides details of what constitutes an acceptable SUS score. This article presents nearly 10 year's worth of System Usability Scale (SUS) data collected on numerous products in all phases of the development lifecycle. The SUS, developed by Brooke (1996), reflected a strong need in the usability community for a tool that could quickly and easily collect a user's subjective rating of a product's usability. The data in this study indicate that the SUS fulfills that need. Results from the analysis of this large number of SUS scores show that the SUS is a highly robust and versatile tool for usability professionals. The article presents these results and discusses their implications, describes nontraditional uses of the SUS, explains a proposed modification to the SUS to provide an adjective rating that correlates with a given score, and provides details of what constitutes an acceptable SUS score.","author":[{"dropping-particle":"","family":"Bangor","given":"Aaron","non-dropping-particle":"","parse-names":false,"suffix":""},{"dropping-particle":"","family":"Kortum","given":"Philip T.","non-dropping-particle":"","parse-names":false,"suffix":""},{"dropping-particle":"","family":"Miller","given":"James T.","non-dropping-particle":"","parse-names":false,"suffix":""}],"container-title":"International Journal of Human-Computer Interaction","id":"ITEM-2","issue":"6","issued":{"date-parts":[["2008"]]},"page":"574-594","title":"An empirical evaluation of the system usability scale","type":"article-journal","volume":"24"},"uris":["http://www.mendeley.com/documents/?uuid=14b7e274-13a5-468b-86aa-7fc8907670d5"]}],"mendeley":{"formattedCitation":"(Bangor, Kortum and Miller, 2008; Sauro and Dumas, 2009)","plainTextFormattedCitation":"(Bangor, Kortum and Miller, 2008; Sauro and Dumas, 2009)","previouslyFormattedCitation":"(Bangor, Kortum and Miller, 2008; Sauro and Dumas, 2009)"},"properties":{"noteIndex":0},"schema":"https://github.com/citation-style-language/schema/raw/master/csl-citation.json"}</w:instrText>
      </w:r>
      <w:r>
        <w:fldChar w:fldCharType="separate"/>
      </w:r>
      <w:r w:rsidRPr="00AA20F2">
        <w:rPr>
          <w:noProof/>
        </w:rPr>
        <w:t>(Bangor, Kortum and Miller, 2008; Sauro and Dumas, 2009)</w:t>
      </w:r>
      <w:r>
        <w:fldChar w:fldCharType="end"/>
      </w:r>
      <w:r>
        <w:t xml:space="preserve"> and the internal reliability compares favourably with other usability questionnaires (</w:t>
      </w:r>
      <w:r w:rsidRPr="004375CC">
        <w:rPr>
          <w:noProof/>
        </w:rPr>
        <w:t>Bangor, Kortum and Miller</w:t>
      </w:r>
      <w:r>
        <w:rPr>
          <w:noProof/>
        </w:rPr>
        <w:t xml:space="preserve">, </w:t>
      </w:r>
      <w:r>
        <w:fldChar w:fldCharType="begin" w:fldLock="1"/>
      </w:r>
      <w:r>
        <w:instrText>ADDIN CSL_CITATION {"citationItems":[{"id":"ITEM-1","itemData":{"DOI":"10.1080/10447310802205776","ISBN":"1044-7318","ISSN":"10447318","PMID":"33402155","abstract":"This article presents nearly 10 year's worth of System Usability Scale (SUS) data collected on numerous products in all phases of the development lifecycle. The SUS, developed by Brooke (1996), reflected a strong need in the usability community for a tool that could quickly and easily collect a user's subjective rating of a product's usability. The data in this study indicate that the SUS fulfills that need. Results from the analysis of this large number of SUS scores show that the SUS is a highly robust and versatile tool for usability professionals. The article presents these results and discusses their implications, describes nontraditional uses of the SUS, explains a proposed modification to the SUS to provide an adjective rating that correlates with a given score, and provides details of what constitutes an acceptable SUS score. This article presents nearly 10 year's worth of System Usability Scale (SUS) data collected on numerous products in all phases of the development lifecycle. The SUS, developed by Brooke (1996), reflected a strong need in the usability community for a tool that could quickly and easily collect a user's subjective rating of a product's usability. The data in this study indicate that the SUS fulfills that need. Results from the analysis of this large number of SUS scores show that the SUS is a highly robust and versatile tool for usability professionals. The article presents these results and discusses their implications, describes nontraditional uses of the SUS, explains a proposed modification to the SUS to provide an adjective rating that correlates with a given score, and provides details of what constitutes an acceptable SUS score.","author":[{"dropping-particle":"","family":"Bangor","given":"Aaron","non-dropping-particle":"","parse-names":false,"suffix":""},{"dropping-particle":"","family":"Kortum","given":"Philip T.","non-dropping-particle":"","parse-names":false,"suffix":""},{"dropping-particle":"","family":"Miller","given":"James T.","non-dropping-particle":"","parse-names":false,"suffix":""}],"container-title":"International Journal of Human-Computer Interaction","id":"ITEM-1","issue":"6","issued":{"date-parts":[["2008"]]},"page":"574-594","title":"An empirical evaluation of the system usability scale","type":"article-journal","volume":"24"},"uris":["http://www.mendeley.com/documents/?uuid=14b7e274-13a5-468b-86aa-7fc8907670d5"]}],"mendeley":{"formattedCitation":"(Bangor, Kortum and Miller, 2008)","manualFormatting":"2008)","plainTextFormattedCitation":"(Bangor, Kortum and Miller, 2008)","previouslyFormattedCitation":"(Bangor, Kortum and Miller, 2008)"},"properties":{"noteIndex":0},"schema":"https://github.com/citation-style-language/schema/raw/master/csl-citation.json"}</w:instrText>
      </w:r>
      <w:r>
        <w:fldChar w:fldCharType="separate"/>
      </w:r>
      <w:r w:rsidRPr="004375CC">
        <w:rPr>
          <w:noProof/>
        </w:rPr>
        <w:t>2008)</w:t>
      </w:r>
      <w:r>
        <w:fldChar w:fldCharType="end"/>
      </w:r>
      <w:r>
        <w:t xml:space="preserve">.  SUS was chosen for this study because its single measure output enables correlational analysis to be </w:t>
      </w:r>
      <w:proofErr w:type="gramStart"/>
      <w:r>
        <w:t>ran</w:t>
      </w:r>
      <w:proofErr w:type="gramEnd"/>
      <w:r>
        <w:t xml:space="preserve"> with other psychology-based scales being used in the study</w:t>
      </w:r>
      <w:r w:rsidR="00554CB4">
        <w:t xml:space="preserve">.  </w:t>
      </w:r>
      <w:r>
        <w:t>(</w:t>
      </w:r>
      <w:r w:rsidR="00BB37CC" w:rsidRPr="003B35A6">
        <w:rPr>
          <w:rFonts w:cs="Arial"/>
          <w:color w:val="222222"/>
          <w:shd w:val="clear" w:color="auto" w:fill="FFFFFF"/>
        </w:rPr>
        <w:t>See</w:t>
      </w:r>
      <w:r w:rsidR="00BB37CC">
        <w:rPr>
          <w:rFonts w:cs="Arial"/>
          <w:color w:val="222222"/>
          <w:shd w:val="clear" w:color="auto" w:fill="FFFFFF"/>
        </w:rPr>
        <w:t xml:space="preserve"> </w:t>
      </w:r>
      <w:r w:rsidR="00BB37CC" w:rsidRPr="003B35A6">
        <w:rPr>
          <w:rFonts w:cs="Arial"/>
          <w:bCs/>
          <w:color w:val="222222"/>
          <w:shd w:val="clear" w:color="auto" w:fill="FFFFFF"/>
        </w:rPr>
        <w:t>Appendix</w:t>
      </w:r>
      <w:r w:rsidR="00BB37CC" w:rsidRPr="003B35A6">
        <w:rPr>
          <w:rFonts w:cs="Arial"/>
          <w:color w:val="222222"/>
          <w:shd w:val="clear" w:color="auto" w:fill="FFFFFF"/>
        </w:rPr>
        <w:t xml:space="preserve"> C</w:t>
      </w:r>
      <w:r w:rsidR="00D84B8D">
        <w:rPr>
          <w:rFonts w:cs="Arial"/>
          <w:color w:val="222222"/>
          <w:shd w:val="clear" w:color="auto" w:fill="FFFFFF"/>
        </w:rPr>
        <w:t>4</w:t>
      </w:r>
      <w:r>
        <w:t>)</w:t>
      </w:r>
    </w:p>
    <w:p w14:paraId="4B047DDE" w14:textId="77777777" w:rsidR="00111E4D" w:rsidRDefault="00111E4D" w:rsidP="00111E4D">
      <w:pPr>
        <w:pStyle w:val="Heading2"/>
      </w:pPr>
      <w:bookmarkStart w:id="356" w:name="_Toc530598182"/>
      <w:bookmarkStart w:id="357" w:name="_Toc530660535"/>
      <w:bookmarkStart w:id="358" w:name="_Toc3538136"/>
      <w:r>
        <w:t>Procedure</w:t>
      </w:r>
      <w:bookmarkEnd w:id="356"/>
      <w:bookmarkEnd w:id="357"/>
      <w:bookmarkEnd w:id="358"/>
    </w:p>
    <w:p w14:paraId="065D8FA9" w14:textId="4EF19FDB" w:rsidR="00111E4D" w:rsidRDefault="00111E4D" w:rsidP="00111E4D">
      <w:pPr>
        <w:rPr>
          <w:noProof/>
        </w:rPr>
      </w:pPr>
      <w:r w:rsidRPr="00DE1D0E">
        <w:rPr>
          <w:noProof/>
        </w:rPr>
        <w:t>The study was approved by The University of</w:t>
      </w:r>
      <w:r>
        <w:t xml:space="preserve"> Sheffield Psychology Department Ethics Committee</w:t>
      </w:r>
      <w:r w:rsidR="005D4F34">
        <w:t xml:space="preserve"> (</w:t>
      </w:r>
      <w:r w:rsidR="001D62AF">
        <w:rPr>
          <w:rFonts w:cs="Arial"/>
          <w:color w:val="222222"/>
          <w:shd w:val="clear" w:color="auto" w:fill="FFFFFF"/>
        </w:rPr>
        <w:t>s</w:t>
      </w:r>
      <w:r w:rsidR="00BB37CC" w:rsidRPr="003B35A6">
        <w:rPr>
          <w:rFonts w:cs="Arial"/>
          <w:color w:val="222222"/>
          <w:shd w:val="clear" w:color="auto" w:fill="FFFFFF"/>
        </w:rPr>
        <w:t>ee</w:t>
      </w:r>
      <w:r w:rsidR="00BB37CC">
        <w:rPr>
          <w:rFonts w:cs="Arial"/>
          <w:color w:val="222222"/>
          <w:shd w:val="clear" w:color="auto" w:fill="FFFFFF"/>
        </w:rPr>
        <w:t xml:space="preserve"> </w:t>
      </w:r>
      <w:r w:rsidR="00BB37CC" w:rsidRPr="003B35A6">
        <w:rPr>
          <w:rFonts w:cs="Arial"/>
          <w:bCs/>
          <w:color w:val="222222"/>
          <w:shd w:val="clear" w:color="auto" w:fill="FFFFFF"/>
        </w:rPr>
        <w:t>Appendix</w:t>
      </w:r>
      <w:r w:rsidR="00BB37CC" w:rsidRPr="003B35A6">
        <w:rPr>
          <w:rFonts w:cs="Arial"/>
          <w:color w:val="222222"/>
          <w:shd w:val="clear" w:color="auto" w:fill="FFFFFF"/>
        </w:rPr>
        <w:t xml:space="preserve"> </w:t>
      </w:r>
      <w:r w:rsidR="00DF6411">
        <w:rPr>
          <w:rFonts w:cs="Arial"/>
          <w:color w:val="222222"/>
          <w:shd w:val="clear" w:color="auto" w:fill="FFFFFF"/>
        </w:rPr>
        <w:t>C</w:t>
      </w:r>
      <w:r w:rsidR="00D84B8D">
        <w:rPr>
          <w:rFonts w:cs="Arial"/>
          <w:color w:val="222222"/>
          <w:shd w:val="clear" w:color="auto" w:fill="FFFFFF"/>
        </w:rPr>
        <w:t>5</w:t>
      </w:r>
      <w:r w:rsidR="005D4F34">
        <w:t>)</w:t>
      </w:r>
      <w:r>
        <w:t xml:space="preserve">.  </w:t>
      </w:r>
      <w:r w:rsidRPr="633F8370">
        <w:t>Participants</w:t>
      </w:r>
      <w:r>
        <w:t xml:space="preserve"> either emailed or phoned the researcher after seeing the recruitment poster (</w:t>
      </w:r>
      <w:r w:rsidR="001D62AF">
        <w:rPr>
          <w:rFonts w:cs="Arial"/>
          <w:color w:val="222222"/>
          <w:shd w:val="clear" w:color="auto" w:fill="FFFFFF"/>
        </w:rPr>
        <w:t>s</w:t>
      </w:r>
      <w:r w:rsidR="00BB37CC" w:rsidRPr="003B35A6">
        <w:rPr>
          <w:rFonts w:cs="Arial"/>
          <w:color w:val="222222"/>
          <w:shd w:val="clear" w:color="auto" w:fill="FFFFFF"/>
        </w:rPr>
        <w:t>ee</w:t>
      </w:r>
      <w:r w:rsidR="00BB37CC">
        <w:rPr>
          <w:rFonts w:cs="Arial"/>
          <w:color w:val="222222"/>
          <w:shd w:val="clear" w:color="auto" w:fill="FFFFFF"/>
        </w:rPr>
        <w:t xml:space="preserve"> </w:t>
      </w:r>
      <w:r w:rsidR="00BB37CC" w:rsidRPr="003B35A6">
        <w:rPr>
          <w:rFonts w:cs="Arial"/>
          <w:bCs/>
          <w:color w:val="222222"/>
          <w:shd w:val="clear" w:color="auto" w:fill="FFFFFF"/>
        </w:rPr>
        <w:t>Appendix</w:t>
      </w:r>
      <w:r w:rsidR="00BB37CC" w:rsidRPr="003B35A6">
        <w:rPr>
          <w:rFonts w:cs="Arial"/>
          <w:color w:val="222222"/>
          <w:shd w:val="clear" w:color="auto" w:fill="FFFFFF"/>
        </w:rPr>
        <w:t xml:space="preserve"> C</w:t>
      </w:r>
      <w:r w:rsidR="00D84B8D">
        <w:rPr>
          <w:rFonts w:cs="Arial"/>
          <w:color w:val="222222"/>
          <w:shd w:val="clear" w:color="auto" w:fill="FFFFFF"/>
        </w:rPr>
        <w:t>6</w:t>
      </w:r>
      <w:r>
        <w:t>).  The researcher inputted the potential participant</w:t>
      </w:r>
      <w:r w:rsidR="001D62AF">
        <w:t>’</w:t>
      </w:r>
      <w:r>
        <w:t xml:space="preserve">s email into the </w:t>
      </w:r>
      <w:r w:rsidRPr="633F8370">
        <w:t xml:space="preserve">backend study management system (BSMS) </w:t>
      </w:r>
      <w:r>
        <w:t xml:space="preserve">and an email </w:t>
      </w:r>
      <w:proofErr w:type="gramStart"/>
      <w:r>
        <w:t>was</w:t>
      </w:r>
      <w:proofErr w:type="gramEnd"/>
      <w:r>
        <w:t xml:space="preserve"> automatically sent </w:t>
      </w:r>
      <w:r w:rsidRPr="633F8370">
        <w:t xml:space="preserve">containing a link to an online participant information sheet and consent form </w:t>
      </w:r>
      <w:r>
        <w:t>(</w:t>
      </w:r>
      <w:r w:rsidR="001D62AF">
        <w:rPr>
          <w:rFonts w:cs="Arial"/>
          <w:color w:val="222222"/>
          <w:shd w:val="clear" w:color="auto" w:fill="FFFFFF"/>
        </w:rPr>
        <w:t>se</w:t>
      </w:r>
      <w:r w:rsidR="00516CB4" w:rsidRPr="003B35A6">
        <w:rPr>
          <w:rFonts w:cs="Arial"/>
          <w:color w:val="222222"/>
          <w:shd w:val="clear" w:color="auto" w:fill="FFFFFF"/>
        </w:rPr>
        <w:t>e</w:t>
      </w:r>
      <w:r w:rsidR="00516CB4">
        <w:rPr>
          <w:rFonts w:cs="Arial"/>
          <w:color w:val="222222"/>
          <w:shd w:val="clear" w:color="auto" w:fill="FFFFFF"/>
        </w:rPr>
        <w:t xml:space="preserve"> </w:t>
      </w:r>
      <w:r w:rsidR="00516CB4" w:rsidRPr="003B35A6">
        <w:rPr>
          <w:rFonts w:cs="Arial"/>
          <w:bCs/>
          <w:color w:val="222222"/>
          <w:shd w:val="clear" w:color="auto" w:fill="FFFFFF"/>
        </w:rPr>
        <w:t>Appendix</w:t>
      </w:r>
      <w:r w:rsidR="00516CB4" w:rsidRPr="003B35A6">
        <w:rPr>
          <w:rFonts w:cs="Arial"/>
          <w:color w:val="222222"/>
          <w:shd w:val="clear" w:color="auto" w:fill="FFFFFF"/>
        </w:rPr>
        <w:t xml:space="preserve"> C</w:t>
      </w:r>
      <w:r w:rsidR="00D84B8D">
        <w:rPr>
          <w:rFonts w:cs="Arial"/>
          <w:color w:val="222222"/>
          <w:shd w:val="clear" w:color="auto" w:fill="FFFFFF"/>
        </w:rPr>
        <w:t>7</w:t>
      </w:r>
      <w:r>
        <w:t>).</w:t>
      </w:r>
      <w:r w:rsidRPr="633F8370">
        <w:t xml:space="preserve">  Upon consenting</w:t>
      </w:r>
      <w:r>
        <w:t>,</w:t>
      </w:r>
      <w:r w:rsidRPr="633F8370">
        <w:t xml:space="preserve"> participants</w:t>
      </w:r>
      <w:r>
        <w:t xml:space="preserve"> </w:t>
      </w:r>
      <w:r w:rsidRPr="633F8370">
        <w:t>were sent an email containing a further set of instructions about each stage of the study and a link to allow them to begin</w:t>
      </w:r>
      <w:r w:rsidR="00554CB4">
        <w:t xml:space="preserve">.  </w:t>
      </w:r>
      <w:r w:rsidRPr="633F8370">
        <w:t>Upon clicking the link</w:t>
      </w:r>
      <w:r>
        <w:t>,</w:t>
      </w:r>
      <w:r w:rsidRPr="633F8370">
        <w:t xml:space="preserve"> participants were taken to a set of baseline measures compris</w:t>
      </w:r>
      <w:r>
        <w:t xml:space="preserve">ing </w:t>
      </w:r>
      <w:r w:rsidRPr="633F8370">
        <w:t>the PRDS</w:t>
      </w:r>
      <w:r>
        <w:t xml:space="preserve"> and</w:t>
      </w:r>
      <w:r w:rsidRPr="633F8370">
        <w:t xml:space="preserve"> DASS-21 measures</w:t>
      </w:r>
      <w:r w:rsidRPr="00516CB4">
        <w:t>.  When</w:t>
      </w:r>
      <w:r>
        <w:t xml:space="preserve"> completed</w:t>
      </w:r>
      <w:r w:rsidRPr="633F8370">
        <w:t xml:space="preserve">, the BSMS randomly allocated the participant to either the MYLO or </w:t>
      </w:r>
      <w:r>
        <w:t xml:space="preserve">ELIZA </w:t>
      </w:r>
      <w:r w:rsidRPr="633F8370">
        <w:t xml:space="preserve">experimental group and generated an accompanying username, password and program link for participants to access their allocated </w:t>
      </w:r>
      <w:r>
        <w:t>program</w:t>
      </w:r>
      <w:r w:rsidRPr="633F8370">
        <w:t>.  The BSMS then emailed these details</w:t>
      </w:r>
      <w:r>
        <w:t xml:space="preserve"> </w:t>
      </w:r>
      <w:r w:rsidRPr="633F8370">
        <w:t>to the participants</w:t>
      </w:r>
      <w:r>
        <w:t xml:space="preserve"> along with a link to a guide video and tips web page (</w:t>
      </w:r>
      <w:r w:rsidR="00AF4801">
        <w:rPr>
          <w:rFonts w:cs="Arial"/>
          <w:color w:val="222222"/>
          <w:shd w:val="clear" w:color="auto" w:fill="FFFFFF"/>
        </w:rPr>
        <w:t>s</w:t>
      </w:r>
      <w:r w:rsidR="00516CB4" w:rsidRPr="00516CB4">
        <w:rPr>
          <w:rFonts w:cs="Arial"/>
          <w:color w:val="222222"/>
          <w:shd w:val="clear" w:color="auto" w:fill="FFFFFF"/>
        </w:rPr>
        <w:t>ee</w:t>
      </w:r>
      <w:r w:rsidR="00516CB4">
        <w:rPr>
          <w:rFonts w:cs="Arial"/>
          <w:color w:val="222222"/>
          <w:shd w:val="clear" w:color="auto" w:fill="FFFFFF"/>
        </w:rPr>
        <w:t xml:space="preserve"> </w:t>
      </w:r>
      <w:r w:rsidR="00516CB4" w:rsidRPr="00516CB4">
        <w:rPr>
          <w:rFonts w:cs="Arial"/>
          <w:bCs/>
          <w:color w:val="222222"/>
          <w:shd w:val="clear" w:color="auto" w:fill="FFFFFF"/>
        </w:rPr>
        <w:t>Appendix</w:t>
      </w:r>
      <w:r w:rsidR="00516CB4">
        <w:rPr>
          <w:rFonts w:cs="Arial"/>
          <w:color w:val="222222"/>
          <w:shd w:val="clear" w:color="auto" w:fill="FFFFFF"/>
        </w:rPr>
        <w:t xml:space="preserve"> </w:t>
      </w:r>
      <w:r w:rsidR="00516CB4" w:rsidRPr="00516CB4">
        <w:rPr>
          <w:rFonts w:cs="Arial"/>
          <w:color w:val="222222"/>
          <w:shd w:val="clear" w:color="auto" w:fill="FFFFFF"/>
        </w:rPr>
        <w:t>C</w:t>
      </w:r>
      <w:r w:rsidR="00D84B8D">
        <w:rPr>
          <w:rFonts w:cs="Arial"/>
          <w:color w:val="222222"/>
          <w:shd w:val="clear" w:color="auto" w:fill="FFFFFF"/>
        </w:rPr>
        <w:t>8</w:t>
      </w:r>
      <w:r w:rsidR="00516CB4">
        <w:rPr>
          <w:rFonts w:cs="Arial"/>
          <w:color w:val="222222"/>
          <w:shd w:val="clear" w:color="auto" w:fill="FFFFFF"/>
        </w:rPr>
        <w:t xml:space="preserve"> and C</w:t>
      </w:r>
      <w:r w:rsidR="00D84B8D">
        <w:rPr>
          <w:rFonts w:cs="Arial"/>
          <w:color w:val="222222"/>
          <w:shd w:val="clear" w:color="auto" w:fill="FFFFFF"/>
        </w:rPr>
        <w:t>9</w:t>
      </w:r>
      <w:r>
        <w:t>)</w:t>
      </w:r>
      <w:r w:rsidRPr="633F8370">
        <w:t xml:space="preserve">.  The participants </w:t>
      </w:r>
      <w:r>
        <w:t xml:space="preserve">were given 24 hours in which to </w:t>
      </w:r>
      <w:r w:rsidRPr="633F8370">
        <w:t>click the link in the email and log in to converse with the</w:t>
      </w:r>
      <w:r>
        <w:t>ir selected</w:t>
      </w:r>
      <w:r w:rsidRPr="633F8370">
        <w:t xml:space="preserve"> computer program for up to 20 minutes.  Because the study was running online the ability to control maximum talk time was not possible</w:t>
      </w:r>
      <w:r>
        <w:t xml:space="preserve">.  Conversation length was </w:t>
      </w:r>
      <w:r>
        <w:lastRenderedPageBreak/>
        <w:t xml:space="preserve">recorded at the end of the session by the </w:t>
      </w:r>
      <w:r w:rsidRPr="633F8370">
        <w:t>BMSM</w:t>
      </w:r>
      <w:r>
        <w:t xml:space="preserve"> through calculating the timestamp difference between the first and last entries in the conversation log.  </w:t>
      </w:r>
      <w:r w:rsidRPr="633F8370">
        <w:t>After ending the conversation with the program participants were taken to a set of post-measures compris</w:t>
      </w:r>
      <w:r>
        <w:t>ing</w:t>
      </w:r>
      <w:r w:rsidRPr="633F8370">
        <w:t xml:space="preserve"> </w:t>
      </w:r>
      <w:r>
        <w:t xml:space="preserve">of </w:t>
      </w:r>
      <w:r w:rsidRPr="633F8370">
        <w:t>the PRDS</w:t>
      </w:r>
      <w:r>
        <w:t xml:space="preserve">, </w:t>
      </w:r>
      <w:r w:rsidRPr="633F8370">
        <w:t xml:space="preserve">SUS, </w:t>
      </w:r>
      <w:proofErr w:type="gramStart"/>
      <w:r w:rsidRPr="633F8370">
        <w:t>DASS</w:t>
      </w:r>
      <w:proofErr w:type="gramEnd"/>
      <w:r w:rsidRPr="633F8370">
        <w:t>-21</w:t>
      </w:r>
      <w:r>
        <w:t xml:space="preserve"> a</w:t>
      </w:r>
      <w:r w:rsidRPr="633F8370">
        <w:t xml:space="preserve">nd </w:t>
      </w:r>
      <w:proofErr w:type="spellStart"/>
      <w:r w:rsidRPr="633F8370">
        <w:t>RoR</w:t>
      </w:r>
      <w:proofErr w:type="spellEnd"/>
      <w:r w:rsidRPr="633F8370">
        <w:t xml:space="preserve"> </w:t>
      </w:r>
      <w:r w:rsidRPr="00516CB4">
        <w:t xml:space="preserve">measures.  Two weeks following this session, the BSMS sent participants an email asking them to complete a set of follow-up measures to complete their involvement in the study.  These </w:t>
      </w:r>
      <w:r w:rsidRPr="00042147">
        <w:t xml:space="preserve">measures were the PRDS, DASS-21 and </w:t>
      </w:r>
      <w:proofErr w:type="spellStart"/>
      <w:r w:rsidRPr="00042147">
        <w:t>RoR</w:t>
      </w:r>
      <w:proofErr w:type="spellEnd"/>
      <w:r w:rsidRPr="00042147">
        <w:t>.</w:t>
      </w:r>
      <w:r w:rsidR="00042147" w:rsidRPr="00042147">
        <w:t xml:space="preserve">  Participants </w:t>
      </w:r>
      <w:r w:rsidR="00042147" w:rsidRPr="00042147">
        <w:rPr>
          <w:noProof/>
        </w:rPr>
        <w:t>were then debriefed (Appendix C</w:t>
      </w:r>
      <w:r w:rsidR="00D84B8D">
        <w:rPr>
          <w:noProof/>
        </w:rPr>
        <w:t>10</w:t>
      </w:r>
      <w:r w:rsidR="00042147" w:rsidRPr="00042147">
        <w:rPr>
          <w:noProof/>
        </w:rPr>
        <w:t>).</w:t>
      </w:r>
    </w:p>
    <w:p w14:paraId="4E5CE9FC" w14:textId="5C00FAC9" w:rsidR="00111E4D" w:rsidRPr="00F65B58" w:rsidRDefault="00111E4D" w:rsidP="00111E4D">
      <w:pPr>
        <w:pStyle w:val="Heading2"/>
      </w:pPr>
      <w:bookmarkStart w:id="359" w:name="_Toc530598183"/>
      <w:bookmarkStart w:id="360" w:name="_Toc530660536"/>
      <w:bookmarkStart w:id="361" w:name="_Toc3538137"/>
      <w:r>
        <w:t xml:space="preserve">Computer </w:t>
      </w:r>
      <w:r w:rsidR="005741BD">
        <w:t>P</w:t>
      </w:r>
      <w:r>
        <w:t>rograms</w:t>
      </w:r>
      <w:bookmarkEnd w:id="359"/>
      <w:bookmarkEnd w:id="360"/>
      <w:bookmarkEnd w:id="361"/>
    </w:p>
    <w:p w14:paraId="5D894D19" w14:textId="77777777" w:rsidR="00111E4D" w:rsidRPr="00574841" w:rsidRDefault="00111E4D" w:rsidP="00111E4D">
      <w:pPr>
        <w:pStyle w:val="Heading3"/>
        <w:rPr>
          <w:rFonts w:eastAsiaTheme="minorEastAsia"/>
        </w:rPr>
      </w:pPr>
      <w:bookmarkStart w:id="362" w:name="_Toc530598184"/>
      <w:bookmarkStart w:id="363" w:name="_Toc530660537"/>
      <w:bookmarkStart w:id="364" w:name="_Toc3538138"/>
      <w:r>
        <w:rPr>
          <w:rFonts w:eastAsiaTheme="minorEastAsia"/>
        </w:rPr>
        <w:t>ELIZA</w:t>
      </w:r>
      <w:bookmarkEnd w:id="362"/>
      <w:bookmarkEnd w:id="363"/>
      <w:bookmarkEnd w:id="364"/>
    </w:p>
    <w:p w14:paraId="775FAF24" w14:textId="268E67A8" w:rsidR="00111E4D" w:rsidRDefault="00111E4D" w:rsidP="00111E4D">
      <w:r>
        <w:t>ELIZA was one of the first computer</w:t>
      </w:r>
      <w:r w:rsidR="00AF4801">
        <w:t>s</w:t>
      </w:r>
      <w:r>
        <w:t xml:space="preserve"> to attempt to simulate the behaviour of a psychotherapist </w:t>
      </w:r>
      <w:r>
        <w:fldChar w:fldCharType="begin" w:fldLock="1"/>
      </w:r>
      <w:r>
        <w:instrText>ADDIN CSL_CITATION {"citationItems":[{"id":"ITEM-1","itemData":{"ISBN":"0716704641","author":[{"dropping-particle":"","family":"Weizenbaum","given":"Joseph","non-dropping-particle":"","parse-names":false,"suffix":""}],"id":"ITEM-1","issued":{"date-parts":[["1976","1","1"]]},"publisher":"W. H. Freeman &amp; Co.","title":"Computer Power and Human Reason: From Judgment to Calculation","type":"article-journal"},"uris":["http://www.mendeley.com/documents/?uuid=48ae0208-aaf5-4a0f-b0c1-849b4bc5b107"]}],"mendeley":{"formattedCitation":"(Weizenbaum, 1976)","plainTextFormattedCitation":"(Weizenbaum, 1976)","previouslyFormattedCitation":"(Weizenbaum, 1976)"},"properties":{"noteIndex":0},"schema":"https://github.com/citation-style-language/schema/raw/master/csl-citation.json"}</w:instrText>
      </w:r>
      <w:r>
        <w:fldChar w:fldCharType="separate"/>
      </w:r>
      <w:r w:rsidRPr="00572590">
        <w:rPr>
          <w:noProof/>
        </w:rPr>
        <w:t>(Weizenbaum, 1976)</w:t>
      </w:r>
      <w:r>
        <w:fldChar w:fldCharType="end"/>
      </w:r>
      <w:r>
        <w:t>.  The ELIZA used in</w:t>
      </w:r>
      <w:r w:rsidRPr="00574841">
        <w:t xml:space="preserve"> this </w:t>
      </w:r>
      <w:r>
        <w:t xml:space="preserve">study was based on the version used in Gaffney et al.’s study, which can be accessed online at </w:t>
      </w:r>
      <w:hyperlink r:id="rId32" w:history="1">
        <w:r w:rsidRPr="009C6829">
          <w:rPr>
            <w:rStyle w:val="Hyperlink"/>
          </w:rPr>
          <w:t>http://www.cyberpsych.org/eliza</w:t>
        </w:r>
      </w:hyperlink>
      <w:r>
        <w:t xml:space="preserve">.  A copy of the program’s JavaScript (JS) code was taken, re-written to the PHP </w:t>
      </w:r>
      <w:r w:rsidRPr="00F641E8">
        <w:t>Hypertext Pre-processor</w:t>
      </w:r>
      <w:r>
        <w:t xml:space="preserve"> (PHP) programming language and then hosted by the researcher to ensure control of the program’s functionality was maintained throughout the study.  </w:t>
      </w:r>
      <w:r>
        <w:fldChar w:fldCharType="begin"/>
      </w:r>
      <w:r>
        <w:instrText xml:space="preserve"> REF _Ref525559236 \h </w:instrText>
      </w:r>
      <w:r>
        <w:fldChar w:fldCharType="separate"/>
      </w:r>
      <w:r w:rsidR="00574650">
        <w:t xml:space="preserve">Figure </w:t>
      </w:r>
      <w:r w:rsidR="00574650">
        <w:rPr>
          <w:noProof/>
        </w:rPr>
        <w:t>5</w:t>
      </w:r>
      <w:r w:rsidR="00574650">
        <w:t>.</w:t>
      </w:r>
      <w:r w:rsidR="00574650">
        <w:rPr>
          <w:noProof/>
        </w:rPr>
        <w:t>5</w:t>
      </w:r>
      <w:r>
        <w:fldChar w:fldCharType="end"/>
      </w:r>
      <w:r>
        <w:t xml:space="preserve"> shows the study ELIZA UI.</w:t>
      </w:r>
    </w:p>
    <w:p w14:paraId="2CCEE9F8" w14:textId="5C8EFDE9" w:rsidR="00111E4D" w:rsidRDefault="00111E4D" w:rsidP="00111E4D">
      <w:pPr>
        <w:pStyle w:val="Caption"/>
        <w:keepNext/>
      </w:pPr>
      <w:bookmarkStart w:id="365" w:name="_Ref525559236"/>
      <w:bookmarkStart w:id="366" w:name="_Toc530684664"/>
      <w:proofErr w:type="gramStart"/>
      <w:r>
        <w:t xml:space="preserve">Figure </w:t>
      </w:r>
      <w:r w:rsidR="00371DCC">
        <w:fldChar w:fldCharType="begin"/>
      </w:r>
      <w:r w:rsidR="00371DCC">
        <w:instrText xml:space="preserve"> STYLEREF 1 \s </w:instrText>
      </w:r>
      <w:r w:rsidR="00371DCC">
        <w:fldChar w:fldCharType="separate"/>
      </w:r>
      <w:r w:rsidR="00574650">
        <w:rPr>
          <w:noProof/>
        </w:rPr>
        <w:t>5</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5</w:t>
      </w:r>
      <w:r w:rsidR="00371DCC">
        <w:fldChar w:fldCharType="end"/>
      </w:r>
      <w:bookmarkEnd w:id="365"/>
      <w:r>
        <w:t xml:space="preserve"> Screenshots of study ELIZA UI</w:t>
      </w:r>
      <w:bookmarkEnd w:id="366"/>
    </w:p>
    <w:tbl>
      <w:tblPr>
        <w:tblStyle w:val="TableGrid"/>
        <w:tblW w:w="25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0" w:type="dxa"/>
          <w:bottom w:w="57" w:type="dxa"/>
          <w:right w:w="0" w:type="dxa"/>
        </w:tblCellMar>
        <w:tblLook w:val="04A0" w:firstRow="1" w:lastRow="0" w:firstColumn="1" w:lastColumn="0" w:noHBand="0" w:noVBand="1"/>
      </w:tblPr>
      <w:tblGrid>
        <w:gridCol w:w="8550"/>
      </w:tblGrid>
      <w:tr w:rsidR="00111E4D" w14:paraId="30D1A44A" w14:textId="77777777" w:rsidTr="00111E4D">
        <w:tc>
          <w:tcPr>
            <w:tcW w:w="5000" w:type="pct"/>
          </w:tcPr>
          <w:p w14:paraId="18F2AC88" w14:textId="77777777" w:rsidR="00111E4D" w:rsidRDefault="00111E4D" w:rsidP="00111E4D">
            <w:pPr>
              <w:pStyle w:val="NoSpacing"/>
            </w:pPr>
            <w:r>
              <w:rPr>
                <w:noProof/>
                <w:lang w:eastAsia="en-GB"/>
              </w:rPr>
              <w:drawing>
                <wp:inline distT="0" distB="0" distL="0" distR="0" wp14:anchorId="1A719B6D" wp14:editId="1364548E">
                  <wp:extent cx="5400000" cy="2896832"/>
                  <wp:effectExtent l="19050" t="19050" r="10795" b="1841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00000" cy="2896832"/>
                          </a:xfrm>
                          <a:prstGeom prst="rect">
                            <a:avLst/>
                          </a:prstGeom>
                          <a:ln w="1270">
                            <a:solidFill>
                              <a:schemeClr val="tx1"/>
                            </a:solidFill>
                          </a:ln>
                        </pic:spPr>
                      </pic:pic>
                    </a:graphicData>
                  </a:graphic>
                </wp:inline>
              </w:drawing>
            </w:r>
          </w:p>
        </w:tc>
      </w:tr>
    </w:tbl>
    <w:p w14:paraId="75987E46" w14:textId="77777777" w:rsidR="00111E4D" w:rsidRDefault="00111E4D" w:rsidP="00111E4D">
      <w:pPr>
        <w:pStyle w:val="NoSpacing"/>
      </w:pPr>
    </w:p>
    <w:p w14:paraId="763149FF" w14:textId="77777777" w:rsidR="00111E4D" w:rsidRDefault="00111E4D" w:rsidP="00111E4D">
      <w:r>
        <w:t>To ensure that both systems were judged on the conversation they generated and not their user interface (UI) the layout and input of ELIZA was altered to mirror the MYLO program.</w:t>
      </w:r>
    </w:p>
    <w:p w14:paraId="5BF0C488" w14:textId="77777777" w:rsidR="00111E4D" w:rsidRDefault="00111E4D" w:rsidP="00111E4D">
      <w:r>
        <w:t xml:space="preserve">The software firstly asks the participant “Hello, let’s talk.” </w:t>
      </w:r>
      <w:r w:rsidRPr="00E84A72">
        <w:t xml:space="preserve">The participant progresses the conversation by typing their problem into a text input box and pressing the return key.  </w:t>
      </w:r>
      <w:r>
        <w:t>ELIZA</w:t>
      </w:r>
      <w:r w:rsidRPr="00E84A72">
        <w:t xml:space="preserve"> then responds with a question that is aimed at encouraging conversation regarding the participant’s problem.</w:t>
      </w:r>
    </w:p>
    <w:p w14:paraId="3EB069DA" w14:textId="77777777" w:rsidR="00111E4D" w:rsidRDefault="00111E4D" w:rsidP="00111E4D">
      <w:pPr>
        <w:pStyle w:val="Heading3"/>
      </w:pPr>
      <w:bookmarkStart w:id="367" w:name="_Toc530598185"/>
      <w:bookmarkStart w:id="368" w:name="_Toc530660538"/>
      <w:bookmarkStart w:id="369" w:name="_Toc3538139"/>
      <w:r>
        <w:lastRenderedPageBreak/>
        <w:t>Manage Your Life Online (MYLO)</w:t>
      </w:r>
      <w:bookmarkEnd w:id="367"/>
      <w:bookmarkEnd w:id="368"/>
      <w:bookmarkEnd w:id="369"/>
    </w:p>
    <w:p w14:paraId="2B26AF7A" w14:textId="77777777" w:rsidR="00574650" w:rsidRDefault="00111E4D" w:rsidP="00111E4D">
      <w:r>
        <w:t>Manage Your Life Online (MYLO) is an automated self-help computer program that emulates the type of conversation that could be expected between a client and a therapist</w:t>
      </w:r>
      <w:r>
        <w:fldChar w:fldCharType="begin"/>
      </w:r>
      <w:r>
        <w:instrText xml:space="preserve"> REF _Ref528950874 \h </w:instrText>
      </w:r>
      <w:r>
        <w:fldChar w:fldCharType="separate"/>
      </w:r>
    </w:p>
    <w:p w14:paraId="10D99EE0" w14:textId="14CD2568" w:rsidR="00111E4D" w:rsidRDefault="00574650" w:rsidP="00111E4D">
      <w:r w:rsidRPr="00092FDD">
        <w:t xml:space="preserve"> </w:t>
      </w:r>
      <w:proofErr w:type="gramStart"/>
      <w:r>
        <w:t xml:space="preserve">Figure </w:t>
      </w:r>
      <w:r>
        <w:rPr>
          <w:noProof/>
        </w:rPr>
        <w:t>5</w:t>
      </w:r>
      <w:r>
        <w:t>.</w:t>
      </w:r>
      <w:r>
        <w:rPr>
          <w:noProof/>
        </w:rPr>
        <w:t>6</w:t>
      </w:r>
      <w:r w:rsidR="00111E4D">
        <w:fldChar w:fldCharType="end"/>
      </w:r>
      <w:r w:rsidR="00111E4D">
        <w:t>).</w:t>
      </w:r>
      <w:proofErr w:type="gramEnd"/>
      <w:r w:rsidR="00111E4D">
        <w:t xml:space="preserve">  MYLO’s aim is to aid the participant in solving their problem by applying the principles of Method of Levels (MOL) therapy </w:t>
      </w:r>
      <w:r w:rsidR="00111E4D">
        <w:fldChar w:fldCharType="begin" w:fldLock="1"/>
      </w:r>
      <w:r w:rsidR="00111E4D">
        <w:instrText>ADDIN CSL_CITATION {"citationItems":[{"id":"ITEM-1","itemData":{"ISBN":"9780974015545","abstract":"CD-ROM has title: Perceptual control theory : introductions, tutorials, simulations, articles, links.","author":[{"dropping-particle":"","family":"Carey","given":"Timothy A.","non-dropping-particle":"","parse-names":false,"suffix":""}],"id":"ITEM-1","issued":{"date-parts":[["2006"]]},"page":"178","publisher":"Hayward, CA: Living Control Systems Publishing.","title":"The method of levels: how to do psychotherapy without getting in the way","type":"article-journal"},"uris":["http://www.mendeley.com/documents/?uuid=e0a7d341-deb7-4e95-9b2e-c1304446f080"]}],"mendeley":{"formattedCitation":"(Carey, 2006)","plainTextFormattedCitation":"(Carey, 2006)","previouslyFormattedCitation":"(Carey, 2006)"},"properties":{"noteIndex":0},"schema":"https://github.com/citation-style-language/schema/raw/master/csl-citation.json"}</w:instrText>
      </w:r>
      <w:r w:rsidR="00111E4D">
        <w:fldChar w:fldCharType="separate"/>
      </w:r>
      <w:r w:rsidR="00111E4D" w:rsidRPr="00572590">
        <w:rPr>
          <w:noProof/>
        </w:rPr>
        <w:t>(Carey, 2006)</w:t>
      </w:r>
      <w:r w:rsidR="00111E4D">
        <w:fldChar w:fldCharType="end"/>
      </w:r>
      <w:r w:rsidR="00111E4D">
        <w:t xml:space="preserve">.  The software firstly asks the participant “Please tell me what’s on your mind.” </w:t>
      </w:r>
      <w:r w:rsidR="00111E4D" w:rsidRPr="00E84A72">
        <w:t>The participant progresses the conversation by typing their problem int</w:t>
      </w:r>
      <w:r w:rsidR="00111E4D">
        <w:t>o a text input box and then clicking one of the response rating buttons</w:t>
      </w:r>
      <w:r w:rsidR="00111E4D" w:rsidRPr="00E84A72">
        <w:t xml:space="preserve">.  </w:t>
      </w:r>
      <w:r w:rsidR="00111E4D">
        <w:t>MYLO analyses textual responses from client input for key terms and themes and responds with questions about the participant’s problem aimed at “</w:t>
      </w:r>
      <w:r w:rsidR="00111E4D" w:rsidRPr="00A10E92">
        <w:t>encouraging conflict awareness and facilitating higher level awareness</w:t>
      </w:r>
      <w:r w:rsidR="00111E4D">
        <w:t xml:space="preserve">” </w:t>
      </w:r>
      <w:r w:rsidR="00111E4D" w:rsidRPr="00EF3C19">
        <w:fldChar w:fldCharType="begin" w:fldLock="1"/>
      </w:r>
      <w:r w:rsidR="00111E4D">
        <w:instrText>ADDIN CSL_CITATION {"citationItems":[{"id":"ITEM-1","itemData":{"DOI":"10.1017/S135246581300060X","ISBN":"1352-4658","ISSN":"14691833","PMID":"23899405","abstract":"Background: Computerized self-help that has an interactive, conversational format holds several advantages, such as flexibility across presenting problems and ease of use. We designed a new program called MYLO that utilizes the principles of Method of Levels (MOL) therapy - based upon Perceptual Control Theory (PCT). Aims: We tested the efficacy of MYLO, tested whether the psychological change mechanisms described by PCT mediated its efficacy, and evaluated effects of client expectancy. Method: Forty-eight student participants were randomly assigned to MYLO or a comparison program ELIZA. Participants discussed a problem they were currently experiencing with their assigned program and completed measures of distress, resolution and expectancy preintervention, postintervention and at 2-week follow-up. Results: MYLO and ELIZA were associated with reductions in distress, depression, anxiety and stress. MYLO was considered more helpful and led to greater problem resolution. The psychological change processes predicted higher ratings of MYLO's helpfulness and reductions in distress. Positive expectancies towards computer-based problem solving correlated with MYLO's perceived helpfulness and greater problem resolution, and this was partly mediated by the psychological change processes identified. Conclusions: The findings provide provisional support for the acceptability of the MYLO program in a non-clinical sample although its efficacy as an innovative computer-based aid to problem solving remains unclear. Nevertheless, the findings provide tentative early support for the mechanisms of psychological change identified within PCT and highlight the importance of client expectations on predicting engagement in computer-based self-help.","author":[{"dropping-particle":"","family":"Gaffney","given":"Hannah","non-dropping-particle":"","parse-names":false,"suffix":""},{"dropping-particle":"","family":"Mansell","given":"Warren","non-dropping-particle":"","parse-names":false,"suffix":""},{"dropping-particle":"","family":"Edwards","given":"Rachel","non-dropping-particle":"","parse-names":false,"suffix":""},{"dropping-particle":"","family":"Wright","given":"Jason","non-dropping-particle":"","parse-names":false,"suffix":""}],"container-title":"Behavioural and Cognitive Psychotherapy","id":"ITEM-1","issue":"6","issued":{"date-parts":[["2014"]]},"page":"731-746","title":"Manage Your Life Online (MYLO): A pilot trial of a conversational computer-based intervention for problem solving in a student sample","type":"article-journal","volume":"42"},"uris":["http://www.mendeley.com/documents/?uuid=a57316c1-59bb-4a79-a904-d9074a57d136"]}],"mendeley":{"formattedCitation":"(Gaffney &lt;i&gt;et al.&lt;/i&gt;, 2014)","manualFormatting":"(Gaffney et al. 2013)","plainTextFormattedCitation":"(Gaffney et al., 2014)","previouslyFormattedCitation":"(Gaffney &lt;i&gt;et al.&lt;/i&gt;, 2014)"},"properties":{"noteIndex":0},"schema":"https://github.com/citation-style-language/schema/raw/master/csl-citation.json"}</w:instrText>
      </w:r>
      <w:r w:rsidR="00111E4D" w:rsidRPr="00EF3C19">
        <w:fldChar w:fldCharType="separate"/>
      </w:r>
      <w:r w:rsidR="00111E4D" w:rsidRPr="00EF3C19">
        <w:rPr>
          <w:noProof/>
        </w:rPr>
        <w:t>(Gaffney et al. 2013)</w:t>
      </w:r>
      <w:r w:rsidR="00111E4D" w:rsidRPr="00EF3C19">
        <w:fldChar w:fldCharType="end"/>
      </w:r>
      <w:r w:rsidR="00111E4D">
        <w:t>.  The HTML code for the MYLO program was cleaned to ensure it worked in modern web browsers and on mobile, tablet and PC.</w:t>
      </w:r>
      <w:bookmarkStart w:id="370" w:name="_Ref528950874"/>
    </w:p>
    <w:p w14:paraId="07B0A037" w14:textId="644F6DB7" w:rsidR="00111E4D" w:rsidRDefault="00111E4D" w:rsidP="00111E4D">
      <w:pPr>
        <w:pStyle w:val="Caption"/>
        <w:keepNext/>
      </w:pPr>
      <w:r w:rsidRPr="00092FDD">
        <w:t xml:space="preserve"> </w:t>
      </w:r>
      <w:bookmarkStart w:id="371" w:name="_Ref530428317"/>
      <w:bookmarkStart w:id="372" w:name="_Toc530684665"/>
      <w:proofErr w:type="gramStart"/>
      <w:r>
        <w:t xml:space="preserve">Figure </w:t>
      </w:r>
      <w:r w:rsidR="00371DCC">
        <w:fldChar w:fldCharType="begin"/>
      </w:r>
      <w:r w:rsidR="00371DCC">
        <w:instrText xml:space="preserve"> STYLEREF 1 \s </w:instrText>
      </w:r>
      <w:r w:rsidR="00371DCC">
        <w:fldChar w:fldCharType="separate"/>
      </w:r>
      <w:r w:rsidR="00574650">
        <w:rPr>
          <w:noProof/>
        </w:rPr>
        <w:t>5</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6</w:t>
      </w:r>
      <w:r w:rsidR="00371DCC">
        <w:fldChar w:fldCharType="end"/>
      </w:r>
      <w:bookmarkEnd w:id="370"/>
      <w:bookmarkEnd w:id="371"/>
      <w:r>
        <w:t xml:space="preserve"> Screenshots of MYLO</w:t>
      </w:r>
      <w:bookmarkEnd w:id="372"/>
    </w:p>
    <w:tbl>
      <w:tblPr>
        <w:tblStyle w:val="TableGrid"/>
        <w:tblW w:w="25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0" w:type="dxa"/>
          <w:bottom w:w="57" w:type="dxa"/>
          <w:right w:w="0" w:type="dxa"/>
        </w:tblCellMar>
        <w:tblLook w:val="04A0" w:firstRow="1" w:lastRow="0" w:firstColumn="1" w:lastColumn="0" w:noHBand="0" w:noVBand="1"/>
      </w:tblPr>
      <w:tblGrid>
        <w:gridCol w:w="8550"/>
      </w:tblGrid>
      <w:tr w:rsidR="00111E4D" w14:paraId="5D44E790" w14:textId="77777777" w:rsidTr="00111E4D">
        <w:tc>
          <w:tcPr>
            <w:tcW w:w="5000" w:type="pct"/>
          </w:tcPr>
          <w:p w14:paraId="1DFF113C" w14:textId="77777777" w:rsidR="00111E4D" w:rsidRDefault="00111E4D" w:rsidP="00111E4D">
            <w:pPr>
              <w:pStyle w:val="NoSpacing"/>
            </w:pPr>
            <w:r>
              <w:rPr>
                <w:noProof/>
                <w:lang w:eastAsia="en-GB"/>
              </w:rPr>
              <w:drawing>
                <wp:inline distT="0" distB="0" distL="0" distR="0" wp14:anchorId="0B0C88A8" wp14:editId="7AE349ED">
                  <wp:extent cx="5400000" cy="2896830"/>
                  <wp:effectExtent l="19050" t="19050" r="10795" b="1841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0000" cy="2896830"/>
                          </a:xfrm>
                          <a:prstGeom prst="rect">
                            <a:avLst/>
                          </a:prstGeom>
                          <a:ln>
                            <a:solidFill>
                              <a:schemeClr val="tx1"/>
                            </a:solidFill>
                          </a:ln>
                        </pic:spPr>
                      </pic:pic>
                    </a:graphicData>
                  </a:graphic>
                </wp:inline>
              </w:drawing>
            </w:r>
          </w:p>
        </w:tc>
      </w:tr>
    </w:tbl>
    <w:p w14:paraId="7A275D7C" w14:textId="4412867B" w:rsidR="00A15F02" w:rsidRPr="000D747D" w:rsidRDefault="00A15F02" w:rsidP="00111E4D">
      <w:pPr>
        <w:pStyle w:val="Heading2"/>
      </w:pPr>
      <w:bookmarkStart w:id="373" w:name="_Toc3538140"/>
      <w:bookmarkStart w:id="374" w:name="_Toc530598186"/>
      <w:bookmarkStart w:id="375" w:name="_Toc530660539"/>
      <w:r w:rsidRPr="000D747D">
        <w:t>Sample Size Calculation</w:t>
      </w:r>
      <w:bookmarkEnd w:id="373"/>
    </w:p>
    <w:p w14:paraId="02864042" w14:textId="7AF5B407" w:rsidR="00A15F02" w:rsidRPr="000D747D" w:rsidRDefault="00B67124" w:rsidP="00A15F02">
      <w:pPr>
        <w:rPr>
          <w:color w:val="000000" w:themeColor="text1"/>
        </w:rPr>
      </w:pPr>
      <w:r w:rsidRPr="000D747D">
        <w:rPr>
          <w:color w:val="000000" w:themeColor="text1"/>
        </w:rPr>
        <w:t xml:space="preserve">To determine the minimum number of subjects for adequate study power </w:t>
      </w:r>
      <w:r w:rsidR="00F06936" w:rsidRPr="000D747D">
        <w:rPr>
          <w:color w:val="000000" w:themeColor="text1"/>
        </w:rPr>
        <w:t>the</w:t>
      </w:r>
      <w:r w:rsidR="00774C25" w:rsidRPr="000D747D">
        <w:rPr>
          <w:color w:val="000000" w:themeColor="text1"/>
        </w:rPr>
        <w:t xml:space="preserve"> </w:t>
      </w:r>
      <w:proofErr w:type="spellStart"/>
      <w:r w:rsidR="00774C25" w:rsidRPr="000D747D">
        <w:rPr>
          <w:color w:val="000000" w:themeColor="text1"/>
        </w:rPr>
        <w:t>ClinCalc</w:t>
      </w:r>
      <w:proofErr w:type="spellEnd"/>
      <w:r w:rsidR="00774C25" w:rsidRPr="000D747D">
        <w:rPr>
          <w:color w:val="000000" w:themeColor="text1"/>
        </w:rPr>
        <w:t xml:space="preserve"> Sample Size Calculator </w:t>
      </w:r>
      <w:r w:rsidR="00244C67" w:rsidRPr="000D747D">
        <w:rPr>
          <w:color w:val="000000" w:themeColor="text1"/>
        </w:rPr>
        <w:t>was used</w:t>
      </w:r>
      <w:r w:rsidR="00F06936" w:rsidRPr="000D747D">
        <w:rPr>
          <w:color w:val="000000" w:themeColor="text1"/>
        </w:rPr>
        <w:t>, as</w:t>
      </w:r>
      <w:r w:rsidR="00244C67" w:rsidRPr="000D747D">
        <w:rPr>
          <w:color w:val="000000" w:themeColor="text1"/>
        </w:rPr>
        <w:t xml:space="preserve"> based on </w:t>
      </w:r>
      <w:proofErr w:type="spellStart"/>
      <w:r w:rsidR="00244C67" w:rsidRPr="000D747D">
        <w:rPr>
          <w:color w:val="000000" w:themeColor="text1"/>
        </w:rPr>
        <w:t>Rosner</w:t>
      </w:r>
      <w:proofErr w:type="spellEnd"/>
      <w:r w:rsidR="00244C67" w:rsidRPr="000D747D">
        <w:rPr>
          <w:color w:val="000000" w:themeColor="text1"/>
        </w:rPr>
        <w:t> (2011)</w:t>
      </w:r>
      <w:r w:rsidRPr="000D747D">
        <w:rPr>
          <w:color w:val="000000" w:themeColor="text1"/>
        </w:rPr>
        <w:t>.  The calculation was carried out based on the study by Gaffney et al. (2014), where a Cohen’s d of 0.79 was found for the baseline and post-intervention comparison of distress scores of those in the MYLO group</w:t>
      </w:r>
      <w:r w:rsidR="00F06936" w:rsidRPr="000D747D">
        <w:rPr>
          <w:color w:val="000000" w:themeColor="text1"/>
        </w:rPr>
        <w:t>. A</w:t>
      </w:r>
      <w:r w:rsidRPr="000D747D">
        <w:rPr>
          <w:color w:val="000000" w:themeColor="text1"/>
        </w:rPr>
        <w:t xml:space="preserve"> power analysis indicated that the minimum group size required was 19 with adequate power (0.8).  However Gaffney et al. (2014) reported improvements in distress between MYLO and ELIZA groups as not having a significant effect</w:t>
      </w:r>
      <w:r w:rsidR="00421C74" w:rsidRPr="000D747D">
        <w:rPr>
          <w:color w:val="000000" w:themeColor="text1"/>
        </w:rPr>
        <w:t xml:space="preserve"> (</w:t>
      </w:r>
      <w:r w:rsidR="00421C74" w:rsidRPr="000D747D">
        <w:rPr>
          <w:i/>
          <w:color w:val="000000" w:themeColor="text1"/>
        </w:rPr>
        <w:t>p</w:t>
      </w:r>
      <w:r w:rsidR="00421C74" w:rsidRPr="000D747D">
        <w:rPr>
          <w:color w:val="000000" w:themeColor="text1"/>
        </w:rPr>
        <w:t xml:space="preserve"> = 0.13)</w:t>
      </w:r>
      <w:r w:rsidRPr="000D747D">
        <w:rPr>
          <w:color w:val="000000" w:themeColor="text1"/>
        </w:rPr>
        <w:t>.   As a result of this a further power analysis was carried out based upon the post-intervention distress scores of both MYLO and ELIZA</w:t>
      </w:r>
      <w:r w:rsidR="00421C74" w:rsidRPr="000D747D">
        <w:rPr>
          <w:color w:val="000000" w:themeColor="text1"/>
        </w:rPr>
        <w:t xml:space="preserve"> where a Cohen’s d of 0.5</w:t>
      </w:r>
      <w:r w:rsidR="00AD60AA" w:rsidRPr="000D747D">
        <w:rPr>
          <w:color w:val="000000" w:themeColor="text1"/>
        </w:rPr>
        <w:t>3</w:t>
      </w:r>
      <w:r w:rsidR="00421C74" w:rsidRPr="000D747D">
        <w:rPr>
          <w:color w:val="000000" w:themeColor="text1"/>
        </w:rPr>
        <w:t xml:space="preserve"> was found</w:t>
      </w:r>
      <w:r w:rsidRPr="000D747D">
        <w:rPr>
          <w:color w:val="000000" w:themeColor="text1"/>
        </w:rPr>
        <w:t>.  This indicated that the minimum group size required was 67 with adequate power of (0.8)</w:t>
      </w:r>
      <w:r w:rsidR="00A15F02" w:rsidRPr="000D747D">
        <w:rPr>
          <w:color w:val="000000" w:themeColor="text1"/>
        </w:rPr>
        <w:t>.</w:t>
      </w:r>
    </w:p>
    <w:p w14:paraId="37746511" w14:textId="10752C0B" w:rsidR="00111E4D" w:rsidRPr="00F65B58" w:rsidRDefault="00111E4D" w:rsidP="00111E4D">
      <w:pPr>
        <w:pStyle w:val="Heading2"/>
      </w:pPr>
      <w:bookmarkStart w:id="376" w:name="_Toc3538141"/>
      <w:r>
        <w:lastRenderedPageBreak/>
        <w:t xml:space="preserve">Data </w:t>
      </w:r>
      <w:r w:rsidR="005741BD">
        <w:t>A</w:t>
      </w:r>
      <w:r>
        <w:t>nalysis</w:t>
      </w:r>
      <w:bookmarkEnd w:id="374"/>
      <w:bookmarkEnd w:id="375"/>
      <w:bookmarkEnd w:id="376"/>
    </w:p>
    <w:p w14:paraId="07560A48" w14:textId="77777777" w:rsidR="00111E4D" w:rsidRDefault="00111E4D" w:rsidP="00111E4D">
      <w:r w:rsidRPr="007A494D">
        <w:rPr>
          <w:noProof/>
        </w:rPr>
        <w:t>All analyses were conducted using SPSS for Windows (Version 23</w:t>
      </w:r>
      <w:r>
        <w:t>).  The primary outcome measure for the study was problem-related distress.  DASS-21, problem resolution, and helpfulness, use again and system usability were secondary outcome measures.  While ANOVA analyses were intended, the assumptions of parametric tests were violated (data was not normally distributed).  Therefore, non-parametric analysis was used throughout.</w:t>
      </w:r>
    </w:p>
    <w:p w14:paraId="0AD51C1D" w14:textId="77777777" w:rsidR="00111E4D" w:rsidRPr="005D2B1E" w:rsidRDefault="00111E4D" w:rsidP="00111E4D">
      <w:r>
        <w:t xml:space="preserve">To investigate hypothesis one as to whether MYLO and ELIZA would both be associated with significant reductions in problem-related distress and psychopathology, fifteen Mann-Whitney U tests were performed on groups (MYLO and ELIZA) and time (baseline, post-intervention and 2-week follow-up) for problem-related distress, depression, anxiety, stress and total DASS-21 score.  Ten Friedman </w:t>
      </w:r>
      <w:r w:rsidRPr="005C36F4">
        <w:t>test</w:t>
      </w:r>
      <w:r>
        <w:t>s were carried out on time (baseline, post-intervention and 2-week follow-up) for scores of problem-related distress, depression, anxiety, stress and total DASS-21 for both MYLO and ELIZA groups.</w:t>
      </w:r>
    </w:p>
    <w:p w14:paraId="2CA4419A" w14:textId="77777777" w:rsidR="00111E4D" w:rsidRDefault="00111E4D" w:rsidP="00111E4D">
      <w:r>
        <w:t>To investigate hypothesis two as to whether MYLO was a more acceptable conversational agent for problem solving to older adults than ELIZA, one Mann-Whitney U test was carried out to compare groups (MYLO and ELIZA) for time spent using the intervention.  Six Mann-Whitney U tests were carried out to compare groups (MYLO and ELIZA) at post-intervention and follow-up for ratings of problem resolution, helpfulness and use again.  Two S</w:t>
      </w:r>
      <w:r w:rsidRPr="005C36F4">
        <w:t>ign test</w:t>
      </w:r>
      <w:r>
        <w:t>s were carried out on time (post-intervention and follow-up) for ratings of problem resolution on MYLO and ELIZA groups.</w:t>
      </w:r>
    </w:p>
    <w:p w14:paraId="34758C36" w14:textId="77777777" w:rsidR="00111E4D" w:rsidRDefault="00111E4D" w:rsidP="00111E4D">
      <w:r>
        <w:t xml:space="preserve">To investigate hypothesis three as to whether both MYLO and ELIZA had equal system usability, </w:t>
      </w:r>
      <w:r>
        <w:rPr>
          <w:noProof/>
        </w:rPr>
        <w:t>a</w:t>
      </w:r>
      <w:r w:rsidRPr="00DE1D0E">
        <w:rPr>
          <w:noProof/>
        </w:rPr>
        <w:t xml:space="preserve"> Mann-Whitney U test was carried out to</w:t>
      </w:r>
      <w:r>
        <w:t xml:space="preserve"> compare groups (MYLO and ELIZA) at post-intervention for system usability.</w:t>
      </w:r>
    </w:p>
    <w:p w14:paraId="1C90B03D" w14:textId="77777777" w:rsidR="00111E4D" w:rsidRDefault="00111E4D" w:rsidP="00111E4D">
      <w:proofErr w:type="gramStart"/>
      <w:r>
        <w:t>To investigate hypothesis four, as to whether higher system usability was associated with higher ratings of problem resolution, helpfulness and interest in using MYLO again.</w:t>
      </w:r>
      <w:proofErr w:type="gramEnd"/>
      <w:r>
        <w:t xml:space="preserve">  Spearman's rank-order correlations were performed.  The analyses used data from the MYLO condition only as ELIZA was not written with the purpose of being used for problem solving.</w:t>
      </w:r>
    </w:p>
    <w:p w14:paraId="75C5C59C" w14:textId="77777777" w:rsidR="00111E4D" w:rsidRDefault="00111E4D" w:rsidP="00111E4D">
      <w:pPr>
        <w:pStyle w:val="Heading2"/>
      </w:pPr>
      <w:bookmarkStart w:id="377" w:name="_Toc530598187"/>
      <w:bookmarkStart w:id="378" w:name="_Toc530660540"/>
      <w:bookmarkStart w:id="379" w:name="_Toc3538142"/>
      <w:r>
        <w:t>Results</w:t>
      </w:r>
      <w:bookmarkEnd w:id="377"/>
      <w:bookmarkEnd w:id="378"/>
      <w:bookmarkEnd w:id="379"/>
    </w:p>
    <w:p w14:paraId="3F3AED61" w14:textId="19CDE14F" w:rsidR="00111E4D" w:rsidRDefault="00111E4D" w:rsidP="00111E4D">
      <w:pPr>
        <w:pStyle w:val="Heading3"/>
      </w:pPr>
      <w:bookmarkStart w:id="380" w:name="_Toc530598188"/>
      <w:bookmarkStart w:id="381" w:name="_Toc530660541"/>
      <w:bookmarkStart w:id="382" w:name="_Toc3538143"/>
      <w:r>
        <w:t xml:space="preserve">Descriptive </w:t>
      </w:r>
      <w:r w:rsidR="005741BD">
        <w:t>S</w:t>
      </w:r>
      <w:r>
        <w:t>tatistics</w:t>
      </w:r>
      <w:bookmarkEnd w:id="380"/>
      <w:bookmarkEnd w:id="381"/>
      <w:bookmarkEnd w:id="382"/>
    </w:p>
    <w:p w14:paraId="52B177E1" w14:textId="70BAD845" w:rsidR="00111E4D" w:rsidRDefault="00111E4D" w:rsidP="00111E4D">
      <w:r w:rsidRPr="00DB580F">
        <w:t xml:space="preserve">A total of 112 participants completed a baseline questionnaire, of </w:t>
      </w:r>
      <w:proofErr w:type="gramStart"/>
      <w:r w:rsidR="000A2075">
        <w:t>whom</w:t>
      </w:r>
      <w:proofErr w:type="gramEnd"/>
      <w:r w:rsidRPr="00DB580F">
        <w:t xml:space="preserve"> 112 completed the randomisation process and took part in the intervention phase, </w:t>
      </w:r>
      <w:r w:rsidR="000A2075">
        <w:t xml:space="preserve">with </w:t>
      </w:r>
      <w:r w:rsidRPr="00DB580F">
        <w:t>98 providing immediate post-study data.  Out of those who completed the study, 94 (47 MYLO and 47 ELIZA) provided data at all three time-points (baseline, post-intervention and 2-week follow-up)</w:t>
      </w:r>
      <w:bookmarkStart w:id="383" w:name="_Hlk522196130"/>
      <w:r>
        <w:t xml:space="preserve">.  A participant flow diagram is provided (see </w:t>
      </w:r>
      <w:r>
        <w:fldChar w:fldCharType="begin"/>
      </w:r>
      <w:r>
        <w:instrText xml:space="preserve"> REF _Ref525560414 \h </w:instrText>
      </w:r>
      <w:r>
        <w:fldChar w:fldCharType="separate"/>
      </w:r>
      <w:r w:rsidR="00574650">
        <w:t xml:space="preserve">Figure </w:t>
      </w:r>
      <w:r w:rsidR="00574650">
        <w:rPr>
          <w:noProof/>
        </w:rPr>
        <w:t>5</w:t>
      </w:r>
      <w:r w:rsidR="00574650">
        <w:t>.</w:t>
      </w:r>
      <w:r w:rsidR="00574650">
        <w:rPr>
          <w:noProof/>
        </w:rPr>
        <w:t>4</w:t>
      </w:r>
      <w:r>
        <w:fldChar w:fldCharType="end"/>
      </w:r>
      <w:r>
        <w:t xml:space="preserve">).  </w:t>
      </w:r>
      <w:bookmarkEnd w:id="383"/>
      <w:r w:rsidRPr="00DB580F">
        <w:t>At baseline the age of participants ranged from 51 to 90 years, with a mean of 69.21 (SD 6.76).  This group was comprised of 82 (73.2%) females.  For those that provided data at all time points the average age was</w:t>
      </w:r>
      <w:r>
        <w:t xml:space="preserve"> 68.4 (SD 6.49) and 69 (73.4%) were female.  </w:t>
      </w:r>
      <w:r w:rsidRPr="633F8370">
        <w:t xml:space="preserve">The average length of time spent using MYLO was </w:t>
      </w:r>
      <w:r>
        <w:t>24.17 minutes</w:t>
      </w:r>
      <w:r w:rsidRPr="633F8370">
        <w:t xml:space="preserve"> (SD = 16.</w:t>
      </w:r>
      <w:r>
        <w:t>46</w:t>
      </w:r>
      <w:r w:rsidRPr="633F8370">
        <w:t>) and 15.</w:t>
      </w:r>
      <w:r>
        <w:t>17</w:t>
      </w:r>
      <w:r w:rsidRPr="633F8370">
        <w:t xml:space="preserve"> </w:t>
      </w:r>
      <w:r>
        <w:lastRenderedPageBreak/>
        <w:t xml:space="preserve">minutes </w:t>
      </w:r>
      <w:r w:rsidRPr="633F8370">
        <w:t>(SD = 8.</w:t>
      </w:r>
      <w:r>
        <w:t>77</w:t>
      </w:r>
      <w:r w:rsidRPr="633F8370">
        <w:t xml:space="preserve">) </w:t>
      </w:r>
      <w:r>
        <w:t>with</w:t>
      </w:r>
      <w:r w:rsidRPr="633F8370">
        <w:t xml:space="preserve"> </w:t>
      </w:r>
      <w:r>
        <w:t>ELIZA</w:t>
      </w:r>
      <w:r w:rsidR="00554CB4">
        <w:t xml:space="preserve">.  </w:t>
      </w:r>
      <w:r>
        <w:t xml:space="preserve">Descriptive statistics for distress, resolution, DASS-21 and post intervention and follow-up are presented in </w:t>
      </w:r>
      <w:r>
        <w:fldChar w:fldCharType="begin"/>
      </w:r>
      <w:r>
        <w:instrText xml:space="preserve"> REF _Ref530484268 \h </w:instrText>
      </w:r>
      <w:r>
        <w:fldChar w:fldCharType="separate"/>
      </w:r>
      <w:r w:rsidR="00574650">
        <w:t xml:space="preserve">Table </w:t>
      </w:r>
      <w:r w:rsidR="00574650">
        <w:rPr>
          <w:noProof/>
        </w:rPr>
        <w:t>5</w:t>
      </w:r>
      <w:r w:rsidR="00574650">
        <w:t>.</w:t>
      </w:r>
      <w:r w:rsidR="00574650">
        <w:rPr>
          <w:noProof/>
        </w:rPr>
        <w:t>2</w:t>
      </w:r>
      <w:r>
        <w:fldChar w:fldCharType="end"/>
      </w:r>
      <w:r>
        <w:t>.</w:t>
      </w:r>
    </w:p>
    <w:p w14:paraId="7D50E42D" w14:textId="23584905" w:rsidR="00111E4D" w:rsidRDefault="00111E4D" w:rsidP="00111E4D">
      <w:pPr>
        <w:pStyle w:val="Caption"/>
        <w:keepNext/>
      </w:pPr>
      <w:bookmarkStart w:id="384" w:name="_Ref530484268"/>
      <w:bookmarkStart w:id="385" w:name="_Toc530759492"/>
      <w:proofErr w:type="gramStart"/>
      <w:r>
        <w:t xml:space="preserve">Table </w:t>
      </w:r>
      <w:r w:rsidR="007E7BB7">
        <w:fldChar w:fldCharType="begin"/>
      </w:r>
      <w:r w:rsidR="007E7BB7">
        <w:instrText xml:space="preserve"> STYLEREF 1 \s </w:instrText>
      </w:r>
      <w:r w:rsidR="007E7BB7">
        <w:fldChar w:fldCharType="separate"/>
      </w:r>
      <w:r w:rsidR="00574650">
        <w:rPr>
          <w:noProof/>
        </w:rPr>
        <w:t>5</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r w:rsidR="00574650">
        <w:rPr>
          <w:noProof/>
        </w:rPr>
        <w:t>2</w:t>
      </w:r>
      <w:r w:rsidR="007E7BB7">
        <w:fldChar w:fldCharType="end"/>
      </w:r>
      <w:bookmarkEnd w:id="384"/>
      <w:r>
        <w:t xml:space="preserve">. </w:t>
      </w:r>
      <w:r w:rsidRPr="00DE1D0E">
        <w:rPr>
          <w:noProof/>
        </w:rPr>
        <w:t xml:space="preserve">Means and standard deviations for </w:t>
      </w:r>
      <w:r>
        <w:t>baseline,</w:t>
      </w:r>
      <w:r w:rsidRPr="00A6094C">
        <w:t xml:space="preserve"> post-intervention and follow-up</w:t>
      </w:r>
      <w:r w:rsidR="006441A6">
        <w:t xml:space="preserve"> </w:t>
      </w:r>
      <w:r w:rsidR="006441A6" w:rsidRPr="00DE1D0E">
        <w:rPr>
          <w:noProof/>
        </w:rPr>
        <w:t>measures</w:t>
      </w:r>
      <w:bookmarkEnd w:id="385"/>
    </w:p>
    <w:tbl>
      <w:tblPr>
        <w:tblStyle w:val="TableGrid"/>
        <w:tblW w:w="5000" w:type="pct"/>
        <w:tblCellMar>
          <w:top w:w="57" w:type="dxa"/>
          <w:left w:w="0" w:type="dxa"/>
          <w:bottom w:w="57" w:type="dxa"/>
          <w:right w:w="0" w:type="dxa"/>
        </w:tblCellMar>
        <w:tblLook w:val="04A0" w:firstRow="1" w:lastRow="0" w:firstColumn="1" w:lastColumn="0" w:noHBand="0" w:noVBand="1"/>
      </w:tblPr>
      <w:tblGrid>
        <w:gridCol w:w="1505"/>
        <w:gridCol w:w="1300"/>
        <w:gridCol w:w="1452"/>
        <w:gridCol w:w="1452"/>
        <w:gridCol w:w="1452"/>
        <w:gridCol w:w="1452"/>
        <w:gridCol w:w="1308"/>
      </w:tblGrid>
      <w:tr w:rsidR="00111E4D" w14:paraId="444A4AA6" w14:textId="77777777" w:rsidTr="00111E4D">
        <w:tc>
          <w:tcPr>
            <w:tcW w:w="758" w:type="pct"/>
            <w:tcBorders>
              <w:top w:val="single" w:sz="4" w:space="0" w:color="auto"/>
              <w:left w:val="nil"/>
              <w:bottom w:val="nil"/>
              <w:right w:val="nil"/>
            </w:tcBorders>
          </w:tcPr>
          <w:p w14:paraId="234E92B4" w14:textId="77777777" w:rsidR="00111E4D" w:rsidRDefault="00111E4D" w:rsidP="00111E4D">
            <w:pPr>
              <w:pStyle w:val="NoSpacing"/>
            </w:pPr>
          </w:p>
        </w:tc>
        <w:tc>
          <w:tcPr>
            <w:tcW w:w="2119" w:type="pct"/>
            <w:gridSpan w:val="3"/>
            <w:tcBorders>
              <w:left w:val="nil"/>
              <w:right w:val="nil"/>
            </w:tcBorders>
          </w:tcPr>
          <w:p w14:paraId="185EBCB7" w14:textId="77777777" w:rsidR="00111E4D" w:rsidRDefault="00111E4D" w:rsidP="00111E4D">
            <w:pPr>
              <w:pStyle w:val="NoSpacing"/>
              <w:jc w:val="center"/>
            </w:pPr>
            <w:r w:rsidRPr="633F8370">
              <w:rPr>
                <w:b/>
                <w:bCs/>
              </w:rPr>
              <w:t>MYLO</w:t>
            </w:r>
            <w:r>
              <w:t xml:space="preserve"> Mean (</w:t>
            </w:r>
            <w:r w:rsidRPr="633F8370">
              <w:rPr>
                <w:i/>
                <w:iCs/>
              </w:rPr>
              <w:t>SD</w:t>
            </w:r>
            <w:r>
              <w:t>)</w:t>
            </w:r>
          </w:p>
        </w:tc>
        <w:tc>
          <w:tcPr>
            <w:tcW w:w="2123" w:type="pct"/>
            <w:gridSpan w:val="3"/>
            <w:tcBorders>
              <w:left w:val="nil"/>
              <w:right w:val="nil"/>
            </w:tcBorders>
          </w:tcPr>
          <w:p w14:paraId="057A6A3D" w14:textId="77777777" w:rsidR="00111E4D" w:rsidRDefault="00111E4D" w:rsidP="00111E4D">
            <w:pPr>
              <w:pStyle w:val="NoSpacing"/>
              <w:jc w:val="center"/>
            </w:pPr>
            <w:r w:rsidRPr="633F8370">
              <w:rPr>
                <w:b/>
                <w:bCs/>
              </w:rPr>
              <w:t>ELIZA</w:t>
            </w:r>
            <w:r>
              <w:t xml:space="preserve"> Mean (</w:t>
            </w:r>
            <w:r w:rsidRPr="633F8370">
              <w:rPr>
                <w:i/>
                <w:iCs/>
              </w:rPr>
              <w:t>SD</w:t>
            </w:r>
            <w:r>
              <w:t>)</w:t>
            </w:r>
          </w:p>
        </w:tc>
      </w:tr>
      <w:tr w:rsidR="00111E4D" w14:paraId="3132D12B" w14:textId="77777777" w:rsidTr="00111E4D">
        <w:tc>
          <w:tcPr>
            <w:tcW w:w="758" w:type="pct"/>
            <w:tcBorders>
              <w:top w:val="nil"/>
              <w:left w:val="nil"/>
              <w:bottom w:val="single" w:sz="4" w:space="0" w:color="auto"/>
              <w:right w:val="nil"/>
            </w:tcBorders>
          </w:tcPr>
          <w:p w14:paraId="711EADC0" w14:textId="77777777" w:rsidR="00111E4D" w:rsidRDefault="00111E4D" w:rsidP="00111E4D">
            <w:pPr>
              <w:pStyle w:val="NoSpacing"/>
            </w:pPr>
            <w:r>
              <w:t>Measure</w:t>
            </w:r>
          </w:p>
        </w:tc>
        <w:tc>
          <w:tcPr>
            <w:tcW w:w="655" w:type="pct"/>
            <w:tcBorders>
              <w:left w:val="nil"/>
              <w:bottom w:val="single" w:sz="4" w:space="0" w:color="auto"/>
              <w:right w:val="nil"/>
            </w:tcBorders>
          </w:tcPr>
          <w:p w14:paraId="40FC8AB9" w14:textId="77777777" w:rsidR="00111E4D" w:rsidRDefault="00111E4D" w:rsidP="00111E4D">
            <w:pPr>
              <w:pStyle w:val="NoSpacing"/>
              <w:jc w:val="center"/>
            </w:pPr>
            <w:r>
              <w:t>Baseline</w:t>
            </w:r>
          </w:p>
        </w:tc>
        <w:tc>
          <w:tcPr>
            <w:tcW w:w="732" w:type="pct"/>
            <w:tcBorders>
              <w:left w:val="nil"/>
              <w:bottom w:val="single" w:sz="4" w:space="0" w:color="auto"/>
              <w:right w:val="nil"/>
            </w:tcBorders>
          </w:tcPr>
          <w:p w14:paraId="3362AB4E" w14:textId="77777777" w:rsidR="00111E4D" w:rsidRDefault="00111E4D" w:rsidP="00111E4D">
            <w:pPr>
              <w:pStyle w:val="NoSpacing"/>
              <w:jc w:val="center"/>
            </w:pPr>
            <w:r>
              <w:t>Post</w:t>
            </w:r>
          </w:p>
        </w:tc>
        <w:tc>
          <w:tcPr>
            <w:tcW w:w="732" w:type="pct"/>
            <w:tcBorders>
              <w:left w:val="nil"/>
              <w:bottom w:val="single" w:sz="4" w:space="0" w:color="auto"/>
              <w:right w:val="nil"/>
            </w:tcBorders>
          </w:tcPr>
          <w:p w14:paraId="6B52AFD7" w14:textId="77777777" w:rsidR="00111E4D" w:rsidRDefault="00111E4D" w:rsidP="00111E4D">
            <w:pPr>
              <w:pStyle w:val="NoSpacing"/>
              <w:jc w:val="center"/>
            </w:pPr>
            <w:r>
              <w:t>Follow-up</w:t>
            </w:r>
          </w:p>
        </w:tc>
        <w:tc>
          <w:tcPr>
            <w:tcW w:w="732" w:type="pct"/>
            <w:tcBorders>
              <w:left w:val="nil"/>
              <w:bottom w:val="single" w:sz="4" w:space="0" w:color="auto"/>
              <w:right w:val="nil"/>
            </w:tcBorders>
          </w:tcPr>
          <w:p w14:paraId="5E30C982" w14:textId="77777777" w:rsidR="00111E4D" w:rsidRDefault="00111E4D" w:rsidP="00111E4D">
            <w:pPr>
              <w:pStyle w:val="NoSpacing"/>
              <w:jc w:val="center"/>
            </w:pPr>
            <w:r>
              <w:t>Baseline</w:t>
            </w:r>
          </w:p>
        </w:tc>
        <w:tc>
          <w:tcPr>
            <w:tcW w:w="732" w:type="pct"/>
            <w:tcBorders>
              <w:left w:val="nil"/>
              <w:bottom w:val="single" w:sz="4" w:space="0" w:color="auto"/>
              <w:right w:val="nil"/>
            </w:tcBorders>
          </w:tcPr>
          <w:p w14:paraId="10AF6A8E" w14:textId="77777777" w:rsidR="00111E4D" w:rsidRDefault="00111E4D" w:rsidP="00111E4D">
            <w:pPr>
              <w:pStyle w:val="NoSpacing"/>
              <w:jc w:val="center"/>
            </w:pPr>
            <w:r>
              <w:t>Post</w:t>
            </w:r>
          </w:p>
        </w:tc>
        <w:tc>
          <w:tcPr>
            <w:tcW w:w="659" w:type="pct"/>
            <w:tcBorders>
              <w:left w:val="nil"/>
              <w:bottom w:val="single" w:sz="4" w:space="0" w:color="auto"/>
              <w:right w:val="nil"/>
            </w:tcBorders>
          </w:tcPr>
          <w:p w14:paraId="34977366" w14:textId="77777777" w:rsidR="00111E4D" w:rsidRDefault="00111E4D" w:rsidP="00111E4D">
            <w:pPr>
              <w:pStyle w:val="NoSpacing"/>
              <w:jc w:val="center"/>
            </w:pPr>
            <w:r>
              <w:t>Follow-up</w:t>
            </w:r>
          </w:p>
        </w:tc>
      </w:tr>
      <w:tr w:rsidR="00111E4D" w14:paraId="6F61F7FC" w14:textId="77777777" w:rsidTr="00111E4D">
        <w:tc>
          <w:tcPr>
            <w:tcW w:w="758" w:type="pct"/>
            <w:tcBorders>
              <w:left w:val="nil"/>
              <w:right w:val="nil"/>
            </w:tcBorders>
            <w:vAlign w:val="center"/>
          </w:tcPr>
          <w:p w14:paraId="058F328B" w14:textId="77777777" w:rsidR="00111E4D" w:rsidRDefault="00111E4D" w:rsidP="00111E4D">
            <w:pPr>
              <w:pStyle w:val="NoSpacing"/>
            </w:pPr>
            <w:r>
              <w:t>Distress</w:t>
            </w:r>
          </w:p>
        </w:tc>
        <w:tc>
          <w:tcPr>
            <w:tcW w:w="655" w:type="pct"/>
            <w:tcBorders>
              <w:left w:val="nil"/>
              <w:right w:val="nil"/>
            </w:tcBorders>
            <w:vAlign w:val="center"/>
          </w:tcPr>
          <w:p w14:paraId="6192C2C1" w14:textId="77777777" w:rsidR="00111E4D" w:rsidRDefault="00111E4D" w:rsidP="00111E4D">
            <w:pPr>
              <w:pStyle w:val="NoSpacing"/>
              <w:jc w:val="center"/>
            </w:pPr>
            <w:r>
              <w:t>6.17</w:t>
            </w:r>
          </w:p>
          <w:p w14:paraId="56465229" w14:textId="77777777" w:rsidR="00111E4D" w:rsidRDefault="00111E4D" w:rsidP="00111E4D">
            <w:pPr>
              <w:pStyle w:val="NoSpacing"/>
              <w:jc w:val="center"/>
            </w:pPr>
            <w:r>
              <w:t>(1.55)</w:t>
            </w:r>
          </w:p>
        </w:tc>
        <w:tc>
          <w:tcPr>
            <w:tcW w:w="732" w:type="pct"/>
            <w:tcBorders>
              <w:left w:val="nil"/>
              <w:right w:val="nil"/>
            </w:tcBorders>
            <w:vAlign w:val="center"/>
          </w:tcPr>
          <w:p w14:paraId="62CAC5E2" w14:textId="77777777" w:rsidR="00111E4D" w:rsidRDefault="00111E4D" w:rsidP="00111E4D">
            <w:pPr>
              <w:pStyle w:val="NoSpacing"/>
              <w:jc w:val="center"/>
            </w:pPr>
            <w:r>
              <w:t>3.68</w:t>
            </w:r>
          </w:p>
          <w:p w14:paraId="18166AE3" w14:textId="77777777" w:rsidR="00111E4D" w:rsidRDefault="00111E4D" w:rsidP="00111E4D">
            <w:pPr>
              <w:pStyle w:val="NoSpacing"/>
              <w:jc w:val="center"/>
            </w:pPr>
            <w:r>
              <w:t>(2.14)</w:t>
            </w:r>
          </w:p>
        </w:tc>
        <w:tc>
          <w:tcPr>
            <w:tcW w:w="732" w:type="pct"/>
            <w:tcBorders>
              <w:left w:val="nil"/>
              <w:right w:val="nil"/>
            </w:tcBorders>
            <w:vAlign w:val="center"/>
          </w:tcPr>
          <w:p w14:paraId="2F0F3CA4" w14:textId="77777777" w:rsidR="00111E4D" w:rsidRDefault="00111E4D" w:rsidP="00111E4D">
            <w:pPr>
              <w:pStyle w:val="NoSpacing"/>
              <w:jc w:val="center"/>
            </w:pPr>
            <w:r>
              <w:t>3.21</w:t>
            </w:r>
          </w:p>
          <w:p w14:paraId="76961F90" w14:textId="77777777" w:rsidR="00111E4D" w:rsidRDefault="00111E4D" w:rsidP="00111E4D">
            <w:pPr>
              <w:pStyle w:val="NoSpacing"/>
              <w:jc w:val="center"/>
            </w:pPr>
            <w:r>
              <w:t>(2.27)</w:t>
            </w:r>
          </w:p>
        </w:tc>
        <w:tc>
          <w:tcPr>
            <w:tcW w:w="732" w:type="pct"/>
            <w:tcBorders>
              <w:left w:val="nil"/>
              <w:right w:val="nil"/>
            </w:tcBorders>
            <w:vAlign w:val="center"/>
          </w:tcPr>
          <w:p w14:paraId="7845DC28" w14:textId="77777777" w:rsidR="00111E4D" w:rsidRDefault="00111E4D" w:rsidP="00111E4D">
            <w:pPr>
              <w:pStyle w:val="NoSpacing"/>
              <w:jc w:val="center"/>
            </w:pPr>
            <w:r>
              <w:t>6.02</w:t>
            </w:r>
          </w:p>
          <w:p w14:paraId="2B1BECAF" w14:textId="77777777" w:rsidR="00111E4D" w:rsidRDefault="00111E4D" w:rsidP="00111E4D">
            <w:pPr>
              <w:pStyle w:val="NoSpacing"/>
              <w:jc w:val="center"/>
            </w:pPr>
            <w:r>
              <w:t>(1.81)</w:t>
            </w:r>
          </w:p>
        </w:tc>
        <w:tc>
          <w:tcPr>
            <w:tcW w:w="732" w:type="pct"/>
            <w:tcBorders>
              <w:left w:val="nil"/>
              <w:right w:val="nil"/>
            </w:tcBorders>
            <w:vAlign w:val="center"/>
          </w:tcPr>
          <w:p w14:paraId="6953BCAE" w14:textId="77777777" w:rsidR="00111E4D" w:rsidRDefault="00111E4D" w:rsidP="00111E4D">
            <w:pPr>
              <w:pStyle w:val="NoSpacing"/>
              <w:jc w:val="center"/>
            </w:pPr>
            <w:r>
              <w:t>4.45</w:t>
            </w:r>
          </w:p>
          <w:p w14:paraId="4C7A4783" w14:textId="77777777" w:rsidR="00111E4D" w:rsidRDefault="00111E4D" w:rsidP="00111E4D">
            <w:pPr>
              <w:pStyle w:val="NoSpacing"/>
              <w:jc w:val="center"/>
            </w:pPr>
            <w:r>
              <w:t>(2.51)</w:t>
            </w:r>
          </w:p>
        </w:tc>
        <w:tc>
          <w:tcPr>
            <w:tcW w:w="659" w:type="pct"/>
            <w:tcBorders>
              <w:left w:val="nil"/>
              <w:right w:val="nil"/>
            </w:tcBorders>
            <w:vAlign w:val="center"/>
          </w:tcPr>
          <w:p w14:paraId="0A164070" w14:textId="77777777" w:rsidR="00111E4D" w:rsidRDefault="00111E4D" w:rsidP="00111E4D">
            <w:pPr>
              <w:pStyle w:val="NoSpacing"/>
              <w:jc w:val="center"/>
            </w:pPr>
            <w:r>
              <w:t>4.23</w:t>
            </w:r>
          </w:p>
          <w:p w14:paraId="12B2C5FB" w14:textId="77777777" w:rsidR="00111E4D" w:rsidRDefault="00111E4D" w:rsidP="00111E4D">
            <w:pPr>
              <w:pStyle w:val="NoSpacing"/>
              <w:jc w:val="center"/>
            </w:pPr>
            <w:r>
              <w:t>(2.67)</w:t>
            </w:r>
          </w:p>
        </w:tc>
      </w:tr>
      <w:tr w:rsidR="00111E4D" w14:paraId="656BEFED" w14:textId="77777777" w:rsidTr="00111E4D">
        <w:tc>
          <w:tcPr>
            <w:tcW w:w="758" w:type="pct"/>
            <w:tcBorders>
              <w:left w:val="nil"/>
              <w:right w:val="nil"/>
            </w:tcBorders>
            <w:vAlign w:val="center"/>
          </w:tcPr>
          <w:p w14:paraId="1C737B88" w14:textId="77777777" w:rsidR="00111E4D" w:rsidRDefault="00111E4D" w:rsidP="00111E4D">
            <w:pPr>
              <w:pStyle w:val="NoSpacing"/>
            </w:pPr>
            <w:r>
              <w:t>Problem Resolvability</w:t>
            </w:r>
          </w:p>
        </w:tc>
        <w:tc>
          <w:tcPr>
            <w:tcW w:w="655" w:type="pct"/>
            <w:tcBorders>
              <w:left w:val="nil"/>
              <w:right w:val="nil"/>
            </w:tcBorders>
            <w:vAlign w:val="center"/>
          </w:tcPr>
          <w:p w14:paraId="1556C2FC" w14:textId="77777777" w:rsidR="00111E4D" w:rsidRDefault="00111E4D" w:rsidP="00111E4D">
            <w:pPr>
              <w:pStyle w:val="NoSpacing"/>
              <w:jc w:val="center"/>
            </w:pPr>
            <w:r>
              <w:t>4.09</w:t>
            </w:r>
          </w:p>
          <w:p w14:paraId="3C830853" w14:textId="77777777" w:rsidR="00111E4D" w:rsidRDefault="00111E4D" w:rsidP="00111E4D">
            <w:pPr>
              <w:pStyle w:val="NoSpacing"/>
              <w:jc w:val="center"/>
            </w:pPr>
            <w:r>
              <w:t>(2.35)</w:t>
            </w:r>
          </w:p>
        </w:tc>
        <w:tc>
          <w:tcPr>
            <w:tcW w:w="732" w:type="pct"/>
            <w:tcBorders>
              <w:left w:val="nil"/>
              <w:right w:val="nil"/>
            </w:tcBorders>
            <w:vAlign w:val="center"/>
          </w:tcPr>
          <w:p w14:paraId="09E33CA3" w14:textId="77777777" w:rsidR="00111E4D" w:rsidRDefault="00111E4D" w:rsidP="00111E4D">
            <w:pPr>
              <w:pStyle w:val="NoSpacing"/>
              <w:jc w:val="center"/>
            </w:pPr>
            <w:r>
              <w:t>//</w:t>
            </w:r>
          </w:p>
        </w:tc>
        <w:tc>
          <w:tcPr>
            <w:tcW w:w="732" w:type="pct"/>
            <w:tcBorders>
              <w:left w:val="nil"/>
              <w:right w:val="nil"/>
            </w:tcBorders>
            <w:vAlign w:val="center"/>
          </w:tcPr>
          <w:p w14:paraId="6D99DC94" w14:textId="77777777" w:rsidR="00111E4D" w:rsidRDefault="00111E4D" w:rsidP="00111E4D">
            <w:pPr>
              <w:pStyle w:val="NoSpacing"/>
              <w:jc w:val="center"/>
            </w:pPr>
            <w:r>
              <w:t>//</w:t>
            </w:r>
          </w:p>
        </w:tc>
        <w:tc>
          <w:tcPr>
            <w:tcW w:w="732" w:type="pct"/>
            <w:tcBorders>
              <w:left w:val="nil"/>
              <w:right w:val="nil"/>
            </w:tcBorders>
            <w:vAlign w:val="center"/>
          </w:tcPr>
          <w:p w14:paraId="42B00FC7" w14:textId="77777777" w:rsidR="00111E4D" w:rsidRDefault="00111E4D" w:rsidP="00111E4D">
            <w:pPr>
              <w:pStyle w:val="NoSpacing"/>
              <w:jc w:val="center"/>
            </w:pPr>
            <w:r>
              <w:t>3.55</w:t>
            </w:r>
          </w:p>
          <w:p w14:paraId="775A226D" w14:textId="77777777" w:rsidR="00111E4D" w:rsidRDefault="00111E4D" w:rsidP="00111E4D">
            <w:pPr>
              <w:pStyle w:val="NoSpacing"/>
              <w:jc w:val="center"/>
            </w:pPr>
            <w:r>
              <w:t>(2.25)</w:t>
            </w:r>
          </w:p>
        </w:tc>
        <w:tc>
          <w:tcPr>
            <w:tcW w:w="732" w:type="pct"/>
            <w:tcBorders>
              <w:left w:val="nil"/>
              <w:right w:val="nil"/>
            </w:tcBorders>
            <w:vAlign w:val="center"/>
          </w:tcPr>
          <w:p w14:paraId="57E7A755" w14:textId="77777777" w:rsidR="00111E4D" w:rsidRDefault="00111E4D" w:rsidP="00111E4D">
            <w:pPr>
              <w:pStyle w:val="NoSpacing"/>
              <w:jc w:val="center"/>
            </w:pPr>
            <w:r>
              <w:t>//</w:t>
            </w:r>
          </w:p>
        </w:tc>
        <w:tc>
          <w:tcPr>
            <w:tcW w:w="659" w:type="pct"/>
            <w:tcBorders>
              <w:left w:val="nil"/>
              <w:right w:val="nil"/>
            </w:tcBorders>
            <w:vAlign w:val="center"/>
          </w:tcPr>
          <w:p w14:paraId="6D0B4BE8" w14:textId="77777777" w:rsidR="00111E4D" w:rsidRDefault="00111E4D" w:rsidP="00111E4D">
            <w:pPr>
              <w:pStyle w:val="NoSpacing"/>
              <w:jc w:val="center"/>
            </w:pPr>
            <w:r>
              <w:t>//</w:t>
            </w:r>
          </w:p>
        </w:tc>
      </w:tr>
      <w:tr w:rsidR="00111E4D" w14:paraId="1BC45155" w14:textId="77777777" w:rsidTr="00111E4D">
        <w:tc>
          <w:tcPr>
            <w:tcW w:w="758" w:type="pct"/>
            <w:tcBorders>
              <w:left w:val="nil"/>
              <w:right w:val="nil"/>
            </w:tcBorders>
            <w:vAlign w:val="center"/>
          </w:tcPr>
          <w:p w14:paraId="78E03F9F" w14:textId="77777777" w:rsidR="00111E4D" w:rsidRDefault="00111E4D" w:rsidP="00111E4D">
            <w:pPr>
              <w:pStyle w:val="NoSpacing"/>
            </w:pPr>
            <w:r>
              <w:t>Problem Resolution</w:t>
            </w:r>
          </w:p>
        </w:tc>
        <w:tc>
          <w:tcPr>
            <w:tcW w:w="655" w:type="pct"/>
            <w:tcBorders>
              <w:left w:val="nil"/>
              <w:right w:val="nil"/>
            </w:tcBorders>
            <w:vAlign w:val="center"/>
          </w:tcPr>
          <w:p w14:paraId="4DF59F83" w14:textId="77777777" w:rsidR="00111E4D" w:rsidRDefault="00111E4D" w:rsidP="00111E4D">
            <w:pPr>
              <w:pStyle w:val="NoSpacing"/>
              <w:jc w:val="center"/>
            </w:pPr>
            <w:r>
              <w:t>//</w:t>
            </w:r>
          </w:p>
        </w:tc>
        <w:tc>
          <w:tcPr>
            <w:tcW w:w="732" w:type="pct"/>
            <w:tcBorders>
              <w:left w:val="nil"/>
              <w:right w:val="nil"/>
            </w:tcBorders>
            <w:vAlign w:val="center"/>
          </w:tcPr>
          <w:p w14:paraId="62F53C08" w14:textId="77777777" w:rsidR="00111E4D" w:rsidRDefault="00111E4D" w:rsidP="00111E4D">
            <w:pPr>
              <w:pStyle w:val="NoSpacing"/>
              <w:jc w:val="center"/>
            </w:pPr>
            <w:r>
              <w:t>2.17</w:t>
            </w:r>
          </w:p>
          <w:p w14:paraId="750CD7C5" w14:textId="77777777" w:rsidR="00111E4D" w:rsidRDefault="00111E4D" w:rsidP="00111E4D">
            <w:pPr>
              <w:pStyle w:val="NoSpacing"/>
              <w:jc w:val="center"/>
            </w:pPr>
            <w:r>
              <w:t>(2.62)</w:t>
            </w:r>
          </w:p>
        </w:tc>
        <w:tc>
          <w:tcPr>
            <w:tcW w:w="732" w:type="pct"/>
            <w:tcBorders>
              <w:left w:val="nil"/>
              <w:right w:val="nil"/>
            </w:tcBorders>
            <w:vAlign w:val="center"/>
          </w:tcPr>
          <w:p w14:paraId="08BE8ABE" w14:textId="77777777" w:rsidR="00111E4D" w:rsidRDefault="00111E4D" w:rsidP="00111E4D">
            <w:pPr>
              <w:pStyle w:val="NoSpacing"/>
              <w:jc w:val="center"/>
            </w:pPr>
            <w:r>
              <w:t>3.77</w:t>
            </w:r>
          </w:p>
          <w:p w14:paraId="10DD5D57" w14:textId="77777777" w:rsidR="00111E4D" w:rsidRDefault="00111E4D" w:rsidP="00111E4D">
            <w:pPr>
              <w:pStyle w:val="NoSpacing"/>
              <w:jc w:val="center"/>
            </w:pPr>
            <w:r>
              <w:t>(3.29)</w:t>
            </w:r>
          </w:p>
        </w:tc>
        <w:tc>
          <w:tcPr>
            <w:tcW w:w="732" w:type="pct"/>
            <w:tcBorders>
              <w:left w:val="nil"/>
              <w:right w:val="nil"/>
            </w:tcBorders>
            <w:vAlign w:val="center"/>
          </w:tcPr>
          <w:p w14:paraId="17527C91" w14:textId="77777777" w:rsidR="00111E4D" w:rsidRDefault="00111E4D" w:rsidP="00111E4D">
            <w:pPr>
              <w:pStyle w:val="NoSpacing"/>
              <w:jc w:val="center"/>
            </w:pPr>
            <w:r>
              <w:t>//</w:t>
            </w:r>
          </w:p>
        </w:tc>
        <w:tc>
          <w:tcPr>
            <w:tcW w:w="732" w:type="pct"/>
            <w:tcBorders>
              <w:left w:val="nil"/>
              <w:right w:val="nil"/>
            </w:tcBorders>
            <w:vAlign w:val="center"/>
          </w:tcPr>
          <w:p w14:paraId="528195B9" w14:textId="77777777" w:rsidR="00111E4D" w:rsidRDefault="00111E4D" w:rsidP="00111E4D">
            <w:pPr>
              <w:pStyle w:val="NoSpacing"/>
              <w:jc w:val="center"/>
            </w:pPr>
            <w:r>
              <w:t>1.43</w:t>
            </w:r>
          </w:p>
          <w:p w14:paraId="5059CC3F" w14:textId="77777777" w:rsidR="00111E4D" w:rsidRDefault="00111E4D" w:rsidP="00111E4D">
            <w:pPr>
              <w:pStyle w:val="NoSpacing"/>
              <w:jc w:val="center"/>
            </w:pPr>
            <w:r>
              <w:t>(1.86)</w:t>
            </w:r>
          </w:p>
        </w:tc>
        <w:tc>
          <w:tcPr>
            <w:tcW w:w="659" w:type="pct"/>
            <w:tcBorders>
              <w:left w:val="nil"/>
              <w:right w:val="nil"/>
            </w:tcBorders>
            <w:vAlign w:val="center"/>
          </w:tcPr>
          <w:p w14:paraId="1FFD7843" w14:textId="77777777" w:rsidR="00111E4D" w:rsidRDefault="00111E4D" w:rsidP="00111E4D">
            <w:pPr>
              <w:pStyle w:val="NoSpacing"/>
              <w:jc w:val="center"/>
            </w:pPr>
            <w:r>
              <w:t>1.91</w:t>
            </w:r>
          </w:p>
          <w:p w14:paraId="59FB60FB" w14:textId="77777777" w:rsidR="00111E4D" w:rsidRDefault="00111E4D" w:rsidP="00111E4D">
            <w:pPr>
              <w:pStyle w:val="NoSpacing"/>
              <w:jc w:val="center"/>
            </w:pPr>
            <w:r>
              <w:t>(2.21)</w:t>
            </w:r>
          </w:p>
        </w:tc>
      </w:tr>
      <w:tr w:rsidR="00111E4D" w14:paraId="532FCA6E" w14:textId="77777777" w:rsidTr="00111E4D">
        <w:tc>
          <w:tcPr>
            <w:tcW w:w="758" w:type="pct"/>
            <w:tcBorders>
              <w:left w:val="nil"/>
              <w:right w:val="nil"/>
            </w:tcBorders>
            <w:vAlign w:val="center"/>
          </w:tcPr>
          <w:p w14:paraId="5570DCAE" w14:textId="77777777" w:rsidR="00111E4D" w:rsidRDefault="00111E4D" w:rsidP="00111E4D">
            <w:pPr>
              <w:pStyle w:val="NoSpacing"/>
            </w:pPr>
            <w:r>
              <w:t>Depression</w:t>
            </w:r>
          </w:p>
        </w:tc>
        <w:tc>
          <w:tcPr>
            <w:tcW w:w="655" w:type="pct"/>
            <w:tcBorders>
              <w:left w:val="nil"/>
              <w:right w:val="nil"/>
            </w:tcBorders>
            <w:vAlign w:val="center"/>
          </w:tcPr>
          <w:p w14:paraId="65CEDEE4" w14:textId="77777777" w:rsidR="00111E4D" w:rsidRDefault="00111E4D" w:rsidP="00111E4D">
            <w:pPr>
              <w:pStyle w:val="NoSpacing"/>
              <w:jc w:val="center"/>
            </w:pPr>
            <w:r>
              <w:t>9.66</w:t>
            </w:r>
          </w:p>
          <w:p w14:paraId="4C49CF4F" w14:textId="77777777" w:rsidR="00111E4D" w:rsidRDefault="00111E4D" w:rsidP="00111E4D">
            <w:pPr>
              <w:pStyle w:val="NoSpacing"/>
              <w:jc w:val="center"/>
            </w:pPr>
            <w:r>
              <w:t>(6.14)</w:t>
            </w:r>
          </w:p>
        </w:tc>
        <w:tc>
          <w:tcPr>
            <w:tcW w:w="732" w:type="pct"/>
            <w:tcBorders>
              <w:left w:val="nil"/>
              <w:right w:val="nil"/>
            </w:tcBorders>
            <w:vAlign w:val="center"/>
          </w:tcPr>
          <w:p w14:paraId="46A2D48D" w14:textId="77777777" w:rsidR="00111E4D" w:rsidRDefault="00111E4D" w:rsidP="00111E4D">
            <w:pPr>
              <w:pStyle w:val="NoSpacing"/>
              <w:jc w:val="center"/>
            </w:pPr>
            <w:r>
              <w:t>6.51</w:t>
            </w:r>
          </w:p>
          <w:p w14:paraId="6FC110AB" w14:textId="77777777" w:rsidR="00111E4D" w:rsidRDefault="00111E4D" w:rsidP="00111E4D">
            <w:pPr>
              <w:pStyle w:val="NoSpacing"/>
              <w:jc w:val="center"/>
            </w:pPr>
            <w:r>
              <w:t>(5.36)</w:t>
            </w:r>
          </w:p>
        </w:tc>
        <w:tc>
          <w:tcPr>
            <w:tcW w:w="732" w:type="pct"/>
            <w:tcBorders>
              <w:left w:val="nil"/>
              <w:right w:val="nil"/>
            </w:tcBorders>
            <w:vAlign w:val="center"/>
          </w:tcPr>
          <w:p w14:paraId="5CA95C17" w14:textId="77777777" w:rsidR="00111E4D" w:rsidRDefault="00111E4D" w:rsidP="00111E4D">
            <w:pPr>
              <w:pStyle w:val="NoSpacing"/>
              <w:jc w:val="center"/>
            </w:pPr>
            <w:r>
              <w:t>4.98</w:t>
            </w:r>
          </w:p>
          <w:p w14:paraId="683ED4D1" w14:textId="77777777" w:rsidR="00111E4D" w:rsidRDefault="00111E4D" w:rsidP="00111E4D">
            <w:pPr>
              <w:pStyle w:val="NoSpacing"/>
              <w:jc w:val="center"/>
            </w:pPr>
            <w:r>
              <w:t>(5.00)</w:t>
            </w:r>
          </w:p>
        </w:tc>
        <w:tc>
          <w:tcPr>
            <w:tcW w:w="732" w:type="pct"/>
            <w:tcBorders>
              <w:left w:val="nil"/>
              <w:right w:val="nil"/>
            </w:tcBorders>
            <w:vAlign w:val="center"/>
          </w:tcPr>
          <w:p w14:paraId="4D77366F" w14:textId="77777777" w:rsidR="00111E4D" w:rsidRDefault="00111E4D" w:rsidP="00111E4D">
            <w:pPr>
              <w:pStyle w:val="NoSpacing"/>
              <w:jc w:val="center"/>
            </w:pPr>
            <w:r>
              <w:t>9.88</w:t>
            </w:r>
          </w:p>
          <w:p w14:paraId="7170185D" w14:textId="77777777" w:rsidR="00111E4D" w:rsidRDefault="00111E4D" w:rsidP="00111E4D">
            <w:pPr>
              <w:pStyle w:val="NoSpacing"/>
              <w:jc w:val="center"/>
            </w:pPr>
            <w:r>
              <w:t>(8.29)</w:t>
            </w:r>
          </w:p>
        </w:tc>
        <w:tc>
          <w:tcPr>
            <w:tcW w:w="732" w:type="pct"/>
            <w:tcBorders>
              <w:left w:val="nil"/>
              <w:right w:val="nil"/>
            </w:tcBorders>
            <w:vAlign w:val="center"/>
          </w:tcPr>
          <w:p w14:paraId="74639208" w14:textId="77777777" w:rsidR="00111E4D" w:rsidRDefault="00111E4D" w:rsidP="00111E4D">
            <w:pPr>
              <w:pStyle w:val="NoSpacing"/>
              <w:jc w:val="center"/>
            </w:pPr>
            <w:r>
              <w:t>7.79</w:t>
            </w:r>
          </w:p>
          <w:p w14:paraId="2AE62CA0" w14:textId="77777777" w:rsidR="00111E4D" w:rsidRDefault="00111E4D" w:rsidP="00111E4D">
            <w:pPr>
              <w:pStyle w:val="NoSpacing"/>
              <w:jc w:val="center"/>
            </w:pPr>
            <w:r>
              <w:t>(7.45)</w:t>
            </w:r>
          </w:p>
        </w:tc>
        <w:tc>
          <w:tcPr>
            <w:tcW w:w="659" w:type="pct"/>
            <w:tcBorders>
              <w:left w:val="nil"/>
              <w:right w:val="nil"/>
            </w:tcBorders>
            <w:vAlign w:val="center"/>
          </w:tcPr>
          <w:p w14:paraId="5B4AC95E" w14:textId="77777777" w:rsidR="00111E4D" w:rsidRDefault="00111E4D" w:rsidP="00111E4D">
            <w:pPr>
              <w:pStyle w:val="NoSpacing"/>
              <w:jc w:val="center"/>
            </w:pPr>
            <w:r>
              <w:t>5.91</w:t>
            </w:r>
          </w:p>
          <w:p w14:paraId="5F1C13C8" w14:textId="77777777" w:rsidR="00111E4D" w:rsidRDefault="00111E4D" w:rsidP="00111E4D">
            <w:pPr>
              <w:pStyle w:val="NoSpacing"/>
              <w:jc w:val="center"/>
            </w:pPr>
            <w:r>
              <w:t>(6.80)</w:t>
            </w:r>
          </w:p>
        </w:tc>
      </w:tr>
      <w:tr w:rsidR="00111E4D" w14:paraId="21DD2DF2" w14:textId="77777777" w:rsidTr="00111E4D">
        <w:tc>
          <w:tcPr>
            <w:tcW w:w="758" w:type="pct"/>
            <w:tcBorders>
              <w:left w:val="nil"/>
              <w:right w:val="nil"/>
            </w:tcBorders>
            <w:vAlign w:val="center"/>
          </w:tcPr>
          <w:p w14:paraId="6B75B194" w14:textId="77777777" w:rsidR="00111E4D" w:rsidRDefault="00111E4D" w:rsidP="00111E4D">
            <w:pPr>
              <w:pStyle w:val="NoSpacing"/>
            </w:pPr>
            <w:r>
              <w:t>Anxiety</w:t>
            </w:r>
          </w:p>
        </w:tc>
        <w:tc>
          <w:tcPr>
            <w:tcW w:w="655" w:type="pct"/>
            <w:tcBorders>
              <w:left w:val="nil"/>
              <w:right w:val="nil"/>
            </w:tcBorders>
            <w:vAlign w:val="center"/>
          </w:tcPr>
          <w:p w14:paraId="1D2A6FE2" w14:textId="77777777" w:rsidR="00111E4D" w:rsidRDefault="00111E4D" w:rsidP="00111E4D">
            <w:pPr>
              <w:pStyle w:val="NoSpacing"/>
              <w:jc w:val="center"/>
            </w:pPr>
            <w:r>
              <w:t>4.21</w:t>
            </w:r>
          </w:p>
          <w:p w14:paraId="0012E0FC" w14:textId="77777777" w:rsidR="00111E4D" w:rsidRDefault="00111E4D" w:rsidP="00111E4D">
            <w:pPr>
              <w:pStyle w:val="NoSpacing"/>
              <w:jc w:val="center"/>
            </w:pPr>
            <w:r>
              <w:t>(5.52)</w:t>
            </w:r>
          </w:p>
        </w:tc>
        <w:tc>
          <w:tcPr>
            <w:tcW w:w="732" w:type="pct"/>
            <w:tcBorders>
              <w:left w:val="nil"/>
              <w:right w:val="nil"/>
            </w:tcBorders>
            <w:vAlign w:val="center"/>
          </w:tcPr>
          <w:p w14:paraId="6F4DD9A4" w14:textId="77777777" w:rsidR="00111E4D" w:rsidRDefault="00111E4D" w:rsidP="00111E4D">
            <w:pPr>
              <w:pStyle w:val="NoSpacing"/>
              <w:jc w:val="center"/>
            </w:pPr>
            <w:r>
              <w:t>2.77</w:t>
            </w:r>
          </w:p>
          <w:p w14:paraId="18A36E54" w14:textId="77777777" w:rsidR="00111E4D" w:rsidRDefault="00111E4D" w:rsidP="00111E4D">
            <w:pPr>
              <w:pStyle w:val="NoSpacing"/>
              <w:jc w:val="center"/>
            </w:pPr>
            <w:r>
              <w:t>(4.06)</w:t>
            </w:r>
          </w:p>
        </w:tc>
        <w:tc>
          <w:tcPr>
            <w:tcW w:w="732" w:type="pct"/>
            <w:tcBorders>
              <w:left w:val="nil"/>
              <w:right w:val="nil"/>
            </w:tcBorders>
            <w:vAlign w:val="center"/>
          </w:tcPr>
          <w:p w14:paraId="50CC5678" w14:textId="77777777" w:rsidR="00111E4D" w:rsidRDefault="00111E4D" w:rsidP="00111E4D">
            <w:pPr>
              <w:pStyle w:val="NoSpacing"/>
              <w:jc w:val="center"/>
            </w:pPr>
            <w:r>
              <w:t>2.64</w:t>
            </w:r>
          </w:p>
          <w:p w14:paraId="4A1E1E26" w14:textId="77777777" w:rsidR="00111E4D" w:rsidRDefault="00111E4D" w:rsidP="00111E4D">
            <w:pPr>
              <w:pStyle w:val="NoSpacing"/>
              <w:jc w:val="center"/>
            </w:pPr>
            <w:r>
              <w:t>(4.11)</w:t>
            </w:r>
          </w:p>
        </w:tc>
        <w:tc>
          <w:tcPr>
            <w:tcW w:w="732" w:type="pct"/>
            <w:tcBorders>
              <w:left w:val="nil"/>
              <w:right w:val="nil"/>
            </w:tcBorders>
            <w:vAlign w:val="center"/>
          </w:tcPr>
          <w:p w14:paraId="00776882" w14:textId="77777777" w:rsidR="00111E4D" w:rsidRDefault="00111E4D" w:rsidP="00111E4D">
            <w:pPr>
              <w:pStyle w:val="NoSpacing"/>
              <w:jc w:val="center"/>
            </w:pPr>
            <w:r>
              <w:t>4.34</w:t>
            </w:r>
          </w:p>
          <w:p w14:paraId="7FF0E863" w14:textId="77777777" w:rsidR="00111E4D" w:rsidRDefault="00111E4D" w:rsidP="00111E4D">
            <w:pPr>
              <w:pStyle w:val="NoSpacing"/>
              <w:jc w:val="center"/>
            </w:pPr>
            <w:r>
              <w:t>(4.83)</w:t>
            </w:r>
          </w:p>
        </w:tc>
        <w:tc>
          <w:tcPr>
            <w:tcW w:w="732" w:type="pct"/>
            <w:tcBorders>
              <w:left w:val="nil"/>
              <w:right w:val="nil"/>
            </w:tcBorders>
            <w:vAlign w:val="center"/>
          </w:tcPr>
          <w:p w14:paraId="581021C4" w14:textId="77777777" w:rsidR="00111E4D" w:rsidRDefault="00111E4D" w:rsidP="00111E4D">
            <w:pPr>
              <w:pStyle w:val="NoSpacing"/>
              <w:jc w:val="center"/>
            </w:pPr>
            <w:r>
              <w:t>2.64</w:t>
            </w:r>
          </w:p>
          <w:p w14:paraId="7DEC2EB2" w14:textId="77777777" w:rsidR="00111E4D" w:rsidRDefault="00111E4D" w:rsidP="00111E4D">
            <w:pPr>
              <w:pStyle w:val="NoSpacing"/>
              <w:jc w:val="center"/>
            </w:pPr>
            <w:r>
              <w:t>(3.91)</w:t>
            </w:r>
          </w:p>
        </w:tc>
        <w:tc>
          <w:tcPr>
            <w:tcW w:w="659" w:type="pct"/>
            <w:tcBorders>
              <w:left w:val="nil"/>
              <w:right w:val="nil"/>
            </w:tcBorders>
            <w:vAlign w:val="center"/>
          </w:tcPr>
          <w:p w14:paraId="68C86257" w14:textId="77777777" w:rsidR="00111E4D" w:rsidRDefault="00111E4D" w:rsidP="00111E4D">
            <w:pPr>
              <w:pStyle w:val="NoSpacing"/>
              <w:jc w:val="center"/>
            </w:pPr>
            <w:r>
              <w:t>2.38</w:t>
            </w:r>
          </w:p>
          <w:p w14:paraId="6A719139" w14:textId="77777777" w:rsidR="00111E4D" w:rsidRDefault="00111E4D" w:rsidP="00111E4D">
            <w:pPr>
              <w:pStyle w:val="NoSpacing"/>
              <w:jc w:val="center"/>
            </w:pPr>
            <w:r>
              <w:t>(3.22)</w:t>
            </w:r>
          </w:p>
        </w:tc>
      </w:tr>
      <w:tr w:rsidR="00111E4D" w14:paraId="7D223356" w14:textId="77777777" w:rsidTr="00111E4D">
        <w:tc>
          <w:tcPr>
            <w:tcW w:w="758" w:type="pct"/>
            <w:tcBorders>
              <w:left w:val="nil"/>
              <w:right w:val="nil"/>
            </w:tcBorders>
            <w:vAlign w:val="center"/>
          </w:tcPr>
          <w:p w14:paraId="3D386884" w14:textId="77777777" w:rsidR="00111E4D" w:rsidRDefault="00111E4D" w:rsidP="00111E4D">
            <w:pPr>
              <w:pStyle w:val="NoSpacing"/>
            </w:pPr>
            <w:r>
              <w:t>Stress</w:t>
            </w:r>
          </w:p>
        </w:tc>
        <w:tc>
          <w:tcPr>
            <w:tcW w:w="655" w:type="pct"/>
            <w:tcBorders>
              <w:left w:val="nil"/>
              <w:right w:val="nil"/>
            </w:tcBorders>
            <w:vAlign w:val="center"/>
          </w:tcPr>
          <w:p w14:paraId="380E745C" w14:textId="77777777" w:rsidR="00111E4D" w:rsidRDefault="00111E4D" w:rsidP="00111E4D">
            <w:pPr>
              <w:pStyle w:val="NoSpacing"/>
              <w:jc w:val="center"/>
            </w:pPr>
            <w:r>
              <w:t>13.19</w:t>
            </w:r>
          </w:p>
          <w:p w14:paraId="1D92B02F" w14:textId="77777777" w:rsidR="00111E4D" w:rsidRDefault="00111E4D" w:rsidP="00111E4D">
            <w:pPr>
              <w:pStyle w:val="NoSpacing"/>
              <w:jc w:val="center"/>
            </w:pPr>
            <w:r>
              <w:t>(9.23)</w:t>
            </w:r>
          </w:p>
        </w:tc>
        <w:tc>
          <w:tcPr>
            <w:tcW w:w="732" w:type="pct"/>
            <w:tcBorders>
              <w:left w:val="nil"/>
              <w:right w:val="nil"/>
            </w:tcBorders>
            <w:vAlign w:val="center"/>
          </w:tcPr>
          <w:p w14:paraId="1F7DCED9" w14:textId="77777777" w:rsidR="00111E4D" w:rsidRDefault="00111E4D" w:rsidP="00111E4D">
            <w:pPr>
              <w:pStyle w:val="NoSpacing"/>
              <w:jc w:val="center"/>
            </w:pPr>
            <w:r>
              <w:t>10.72</w:t>
            </w:r>
          </w:p>
          <w:p w14:paraId="38751128" w14:textId="77777777" w:rsidR="00111E4D" w:rsidRDefault="00111E4D" w:rsidP="00111E4D">
            <w:pPr>
              <w:pStyle w:val="NoSpacing"/>
              <w:jc w:val="center"/>
            </w:pPr>
            <w:r>
              <w:t>(8.51)</w:t>
            </w:r>
          </w:p>
        </w:tc>
        <w:tc>
          <w:tcPr>
            <w:tcW w:w="732" w:type="pct"/>
            <w:tcBorders>
              <w:left w:val="nil"/>
              <w:right w:val="nil"/>
            </w:tcBorders>
            <w:vAlign w:val="center"/>
          </w:tcPr>
          <w:p w14:paraId="7E1FF974" w14:textId="77777777" w:rsidR="00111E4D" w:rsidRDefault="00111E4D" w:rsidP="00111E4D">
            <w:pPr>
              <w:pStyle w:val="NoSpacing"/>
              <w:jc w:val="center"/>
            </w:pPr>
            <w:r>
              <w:t>8.51</w:t>
            </w:r>
          </w:p>
          <w:p w14:paraId="2BB1D3BF" w14:textId="77777777" w:rsidR="00111E4D" w:rsidRDefault="00111E4D" w:rsidP="00111E4D">
            <w:pPr>
              <w:pStyle w:val="NoSpacing"/>
              <w:jc w:val="center"/>
            </w:pPr>
            <w:r>
              <w:t>(7.52)</w:t>
            </w:r>
          </w:p>
        </w:tc>
        <w:tc>
          <w:tcPr>
            <w:tcW w:w="732" w:type="pct"/>
            <w:tcBorders>
              <w:left w:val="nil"/>
              <w:right w:val="nil"/>
            </w:tcBorders>
            <w:vAlign w:val="center"/>
          </w:tcPr>
          <w:p w14:paraId="601522EC" w14:textId="77777777" w:rsidR="00111E4D" w:rsidRDefault="00111E4D" w:rsidP="00111E4D">
            <w:pPr>
              <w:pStyle w:val="NoSpacing"/>
              <w:jc w:val="center"/>
            </w:pPr>
            <w:r>
              <w:t>14.30</w:t>
            </w:r>
          </w:p>
          <w:p w14:paraId="25E99E17" w14:textId="77777777" w:rsidR="00111E4D" w:rsidRDefault="00111E4D" w:rsidP="00111E4D">
            <w:pPr>
              <w:pStyle w:val="NoSpacing"/>
              <w:jc w:val="center"/>
            </w:pPr>
            <w:r>
              <w:t>(9.03)</w:t>
            </w:r>
          </w:p>
        </w:tc>
        <w:tc>
          <w:tcPr>
            <w:tcW w:w="732" w:type="pct"/>
            <w:tcBorders>
              <w:left w:val="nil"/>
              <w:right w:val="nil"/>
            </w:tcBorders>
            <w:vAlign w:val="center"/>
          </w:tcPr>
          <w:p w14:paraId="0E62907B" w14:textId="77777777" w:rsidR="00111E4D" w:rsidRDefault="00111E4D" w:rsidP="00111E4D">
            <w:pPr>
              <w:pStyle w:val="NoSpacing"/>
              <w:jc w:val="center"/>
            </w:pPr>
            <w:r>
              <w:t>10.21</w:t>
            </w:r>
          </w:p>
          <w:p w14:paraId="764D7408" w14:textId="77777777" w:rsidR="00111E4D" w:rsidRDefault="00111E4D" w:rsidP="00111E4D">
            <w:pPr>
              <w:pStyle w:val="NoSpacing"/>
              <w:jc w:val="center"/>
            </w:pPr>
            <w:r>
              <w:t>(8.35)</w:t>
            </w:r>
          </w:p>
        </w:tc>
        <w:tc>
          <w:tcPr>
            <w:tcW w:w="659" w:type="pct"/>
            <w:tcBorders>
              <w:left w:val="nil"/>
              <w:right w:val="nil"/>
            </w:tcBorders>
            <w:vAlign w:val="center"/>
          </w:tcPr>
          <w:p w14:paraId="14693D56" w14:textId="77777777" w:rsidR="00111E4D" w:rsidRDefault="00111E4D" w:rsidP="00111E4D">
            <w:pPr>
              <w:pStyle w:val="NoSpacing"/>
              <w:jc w:val="center"/>
            </w:pPr>
            <w:r>
              <w:t>8.89</w:t>
            </w:r>
          </w:p>
          <w:p w14:paraId="2462CB69" w14:textId="77777777" w:rsidR="00111E4D" w:rsidRDefault="00111E4D" w:rsidP="00111E4D">
            <w:pPr>
              <w:pStyle w:val="NoSpacing"/>
              <w:jc w:val="center"/>
            </w:pPr>
            <w:r>
              <w:t>(7.60)</w:t>
            </w:r>
          </w:p>
        </w:tc>
      </w:tr>
      <w:tr w:rsidR="00111E4D" w14:paraId="0F68EC38" w14:textId="77777777" w:rsidTr="00111E4D">
        <w:tc>
          <w:tcPr>
            <w:tcW w:w="758" w:type="pct"/>
            <w:tcBorders>
              <w:left w:val="nil"/>
              <w:right w:val="nil"/>
            </w:tcBorders>
            <w:vAlign w:val="center"/>
          </w:tcPr>
          <w:p w14:paraId="2418734A" w14:textId="77777777" w:rsidR="00111E4D" w:rsidRDefault="00111E4D" w:rsidP="00111E4D">
            <w:pPr>
              <w:pStyle w:val="NoSpacing"/>
            </w:pPr>
            <w:r>
              <w:t>DASS total</w:t>
            </w:r>
          </w:p>
        </w:tc>
        <w:tc>
          <w:tcPr>
            <w:tcW w:w="655" w:type="pct"/>
            <w:tcBorders>
              <w:left w:val="nil"/>
              <w:right w:val="nil"/>
            </w:tcBorders>
            <w:vAlign w:val="center"/>
          </w:tcPr>
          <w:p w14:paraId="590B99E6" w14:textId="77777777" w:rsidR="00111E4D" w:rsidRDefault="00111E4D" w:rsidP="00111E4D">
            <w:pPr>
              <w:pStyle w:val="NoSpacing"/>
              <w:jc w:val="center"/>
            </w:pPr>
            <w:r>
              <w:t>27.06</w:t>
            </w:r>
          </w:p>
          <w:p w14:paraId="2D1BF95A" w14:textId="77777777" w:rsidR="00111E4D" w:rsidRDefault="00111E4D" w:rsidP="00111E4D">
            <w:pPr>
              <w:pStyle w:val="NoSpacing"/>
              <w:jc w:val="center"/>
            </w:pPr>
            <w:r>
              <w:t>(16.18)</w:t>
            </w:r>
          </w:p>
        </w:tc>
        <w:tc>
          <w:tcPr>
            <w:tcW w:w="732" w:type="pct"/>
            <w:tcBorders>
              <w:left w:val="nil"/>
              <w:right w:val="nil"/>
            </w:tcBorders>
            <w:vAlign w:val="center"/>
          </w:tcPr>
          <w:p w14:paraId="2539C1A5" w14:textId="77777777" w:rsidR="00111E4D" w:rsidRDefault="00111E4D" w:rsidP="00111E4D">
            <w:pPr>
              <w:pStyle w:val="NoSpacing"/>
              <w:jc w:val="center"/>
            </w:pPr>
            <w:r>
              <w:t>20.00</w:t>
            </w:r>
          </w:p>
          <w:p w14:paraId="33C6A983" w14:textId="77777777" w:rsidR="00111E4D" w:rsidRDefault="00111E4D" w:rsidP="00111E4D">
            <w:pPr>
              <w:pStyle w:val="NoSpacing"/>
              <w:jc w:val="center"/>
            </w:pPr>
            <w:r>
              <w:t>(14.59)</w:t>
            </w:r>
          </w:p>
        </w:tc>
        <w:tc>
          <w:tcPr>
            <w:tcW w:w="732" w:type="pct"/>
            <w:tcBorders>
              <w:left w:val="nil"/>
              <w:right w:val="nil"/>
            </w:tcBorders>
            <w:vAlign w:val="center"/>
          </w:tcPr>
          <w:p w14:paraId="6761E6DF" w14:textId="77777777" w:rsidR="00111E4D" w:rsidRDefault="00111E4D" w:rsidP="00111E4D">
            <w:pPr>
              <w:pStyle w:val="NoSpacing"/>
              <w:jc w:val="center"/>
            </w:pPr>
            <w:r>
              <w:t>16.13</w:t>
            </w:r>
          </w:p>
          <w:p w14:paraId="31E2E283" w14:textId="77777777" w:rsidR="00111E4D" w:rsidRDefault="00111E4D" w:rsidP="00111E4D">
            <w:pPr>
              <w:pStyle w:val="NoSpacing"/>
              <w:jc w:val="center"/>
            </w:pPr>
            <w:r>
              <w:t>(13.91)</w:t>
            </w:r>
          </w:p>
        </w:tc>
        <w:tc>
          <w:tcPr>
            <w:tcW w:w="732" w:type="pct"/>
            <w:tcBorders>
              <w:left w:val="nil"/>
              <w:right w:val="nil"/>
            </w:tcBorders>
            <w:vAlign w:val="center"/>
          </w:tcPr>
          <w:p w14:paraId="68188BD6" w14:textId="77777777" w:rsidR="00111E4D" w:rsidRDefault="00111E4D" w:rsidP="00111E4D">
            <w:pPr>
              <w:pStyle w:val="NoSpacing"/>
              <w:jc w:val="center"/>
            </w:pPr>
            <w:r>
              <w:t>28.51</w:t>
            </w:r>
          </w:p>
          <w:p w14:paraId="10B97F31" w14:textId="77777777" w:rsidR="00111E4D" w:rsidRDefault="00111E4D" w:rsidP="00111E4D">
            <w:pPr>
              <w:pStyle w:val="NoSpacing"/>
              <w:jc w:val="center"/>
            </w:pPr>
            <w:r>
              <w:t>(19.17)</w:t>
            </w:r>
          </w:p>
        </w:tc>
        <w:tc>
          <w:tcPr>
            <w:tcW w:w="732" w:type="pct"/>
            <w:tcBorders>
              <w:left w:val="nil"/>
              <w:right w:val="nil"/>
            </w:tcBorders>
            <w:vAlign w:val="center"/>
          </w:tcPr>
          <w:p w14:paraId="3751243D" w14:textId="77777777" w:rsidR="00111E4D" w:rsidRDefault="00111E4D" w:rsidP="00111E4D">
            <w:pPr>
              <w:pStyle w:val="NoSpacing"/>
              <w:jc w:val="center"/>
            </w:pPr>
            <w:r>
              <w:t>20.64</w:t>
            </w:r>
          </w:p>
          <w:p w14:paraId="3EE7FCCB" w14:textId="77777777" w:rsidR="00111E4D" w:rsidRDefault="00111E4D" w:rsidP="00111E4D">
            <w:pPr>
              <w:pStyle w:val="NoSpacing"/>
              <w:jc w:val="center"/>
            </w:pPr>
            <w:r>
              <w:t>(15.04)</w:t>
            </w:r>
          </w:p>
        </w:tc>
        <w:tc>
          <w:tcPr>
            <w:tcW w:w="659" w:type="pct"/>
            <w:tcBorders>
              <w:left w:val="nil"/>
              <w:right w:val="nil"/>
            </w:tcBorders>
            <w:vAlign w:val="center"/>
          </w:tcPr>
          <w:p w14:paraId="64D9E045" w14:textId="77777777" w:rsidR="00111E4D" w:rsidRDefault="00111E4D" w:rsidP="00111E4D">
            <w:pPr>
              <w:pStyle w:val="NoSpacing"/>
              <w:jc w:val="center"/>
            </w:pPr>
            <w:r>
              <w:t>17.19</w:t>
            </w:r>
          </w:p>
          <w:p w14:paraId="157D9FD2" w14:textId="77777777" w:rsidR="00111E4D" w:rsidRDefault="00111E4D" w:rsidP="00111E4D">
            <w:pPr>
              <w:pStyle w:val="NoSpacing"/>
              <w:jc w:val="center"/>
            </w:pPr>
            <w:r>
              <w:t>(14.71)</w:t>
            </w:r>
          </w:p>
        </w:tc>
      </w:tr>
      <w:tr w:rsidR="00111E4D" w14:paraId="7A619327" w14:textId="77777777" w:rsidTr="00111E4D">
        <w:tc>
          <w:tcPr>
            <w:tcW w:w="758" w:type="pct"/>
            <w:tcBorders>
              <w:left w:val="nil"/>
              <w:right w:val="nil"/>
            </w:tcBorders>
            <w:vAlign w:val="center"/>
          </w:tcPr>
          <w:p w14:paraId="473AEB46" w14:textId="77777777" w:rsidR="00111E4D" w:rsidRDefault="00111E4D" w:rsidP="00111E4D">
            <w:pPr>
              <w:pStyle w:val="NoSpacing"/>
            </w:pPr>
            <w:r>
              <w:t>Helpfulness</w:t>
            </w:r>
          </w:p>
        </w:tc>
        <w:tc>
          <w:tcPr>
            <w:tcW w:w="655" w:type="pct"/>
            <w:tcBorders>
              <w:left w:val="nil"/>
              <w:right w:val="nil"/>
            </w:tcBorders>
            <w:vAlign w:val="center"/>
          </w:tcPr>
          <w:p w14:paraId="3A60A87C" w14:textId="77777777" w:rsidR="00111E4D" w:rsidRDefault="00111E4D" w:rsidP="00111E4D">
            <w:pPr>
              <w:pStyle w:val="NoSpacing"/>
              <w:jc w:val="center"/>
            </w:pPr>
            <w:r>
              <w:t>//</w:t>
            </w:r>
          </w:p>
        </w:tc>
        <w:tc>
          <w:tcPr>
            <w:tcW w:w="732" w:type="pct"/>
            <w:tcBorders>
              <w:left w:val="nil"/>
              <w:right w:val="nil"/>
            </w:tcBorders>
            <w:vAlign w:val="center"/>
          </w:tcPr>
          <w:p w14:paraId="292C5E89" w14:textId="77777777" w:rsidR="00111E4D" w:rsidRDefault="00111E4D" w:rsidP="00111E4D">
            <w:pPr>
              <w:pStyle w:val="NoSpacing"/>
              <w:jc w:val="center"/>
            </w:pPr>
            <w:r>
              <w:t>2.94</w:t>
            </w:r>
          </w:p>
          <w:p w14:paraId="26337E2B" w14:textId="77777777" w:rsidR="00111E4D" w:rsidRDefault="00111E4D" w:rsidP="00111E4D">
            <w:pPr>
              <w:pStyle w:val="NoSpacing"/>
              <w:jc w:val="center"/>
            </w:pPr>
            <w:r>
              <w:t>(2.89)</w:t>
            </w:r>
          </w:p>
        </w:tc>
        <w:tc>
          <w:tcPr>
            <w:tcW w:w="732" w:type="pct"/>
            <w:tcBorders>
              <w:left w:val="nil"/>
              <w:right w:val="nil"/>
            </w:tcBorders>
            <w:vAlign w:val="center"/>
          </w:tcPr>
          <w:p w14:paraId="207C0DA4" w14:textId="77777777" w:rsidR="00111E4D" w:rsidRDefault="00111E4D" w:rsidP="00111E4D">
            <w:pPr>
              <w:pStyle w:val="NoSpacing"/>
              <w:jc w:val="center"/>
            </w:pPr>
            <w:r>
              <w:t>3.23</w:t>
            </w:r>
          </w:p>
          <w:p w14:paraId="52241422" w14:textId="77777777" w:rsidR="00111E4D" w:rsidRDefault="00111E4D" w:rsidP="00111E4D">
            <w:pPr>
              <w:pStyle w:val="NoSpacing"/>
              <w:jc w:val="center"/>
            </w:pPr>
            <w:r>
              <w:t>(2.81)</w:t>
            </w:r>
          </w:p>
        </w:tc>
        <w:tc>
          <w:tcPr>
            <w:tcW w:w="732" w:type="pct"/>
            <w:tcBorders>
              <w:left w:val="nil"/>
              <w:right w:val="nil"/>
            </w:tcBorders>
            <w:vAlign w:val="center"/>
          </w:tcPr>
          <w:p w14:paraId="4D254819" w14:textId="77777777" w:rsidR="00111E4D" w:rsidRDefault="00111E4D" w:rsidP="00111E4D">
            <w:pPr>
              <w:pStyle w:val="NoSpacing"/>
              <w:jc w:val="center"/>
            </w:pPr>
            <w:r>
              <w:t>//</w:t>
            </w:r>
          </w:p>
        </w:tc>
        <w:tc>
          <w:tcPr>
            <w:tcW w:w="732" w:type="pct"/>
            <w:tcBorders>
              <w:left w:val="nil"/>
              <w:right w:val="nil"/>
            </w:tcBorders>
            <w:vAlign w:val="center"/>
          </w:tcPr>
          <w:p w14:paraId="2A4BC891" w14:textId="77777777" w:rsidR="00111E4D" w:rsidRDefault="00111E4D" w:rsidP="00111E4D">
            <w:pPr>
              <w:pStyle w:val="NoSpacing"/>
              <w:jc w:val="center"/>
            </w:pPr>
            <w:r>
              <w:t>1.43</w:t>
            </w:r>
          </w:p>
          <w:p w14:paraId="385A2237" w14:textId="77777777" w:rsidR="00111E4D" w:rsidRDefault="00111E4D" w:rsidP="00111E4D">
            <w:pPr>
              <w:pStyle w:val="NoSpacing"/>
              <w:jc w:val="center"/>
            </w:pPr>
            <w:r>
              <w:t>(1.86)</w:t>
            </w:r>
          </w:p>
        </w:tc>
        <w:tc>
          <w:tcPr>
            <w:tcW w:w="659" w:type="pct"/>
            <w:tcBorders>
              <w:left w:val="nil"/>
              <w:right w:val="nil"/>
            </w:tcBorders>
            <w:vAlign w:val="center"/>
          </w:tcPr>
          <w:p w14:paraId="74DF7304" w14:textId="77777777" w:rsidR="00111E4D" w:rsidRDefault="00111E4D" w:rsidP="00111E4D">
            <w:pPr>
              <w:pStyle w:val="NoSpacing"/>
              <w:jc w:val="center"/>
            </w:pPr>
            <w:r>
              <w:t>1.91</w:t>
            </w:r>
          </w:p>
          <w:p w14:paraId="3B4C54E4" w14:textId="77777777" w:rsidR="00111E4D" w:rsidRDefault="00111E4D" w:rsidP="00111E4D">
            <w:pPr>
              <w:pStyle w:val="NoSpacing"/>
              <w:jc w:val="center"/>
            </w:pPr>
            <w:r>
              <w:t>(2.21)</w:t>
            </w:r>
          </w:p>
        </w:tc>
      </w:tr>
      <w:tr w:rsidR="00111E4D" w14:paraId="57A05BEC" w14:textId="77777777" w:rsidTr="00111E4D">
        <w:tc>
          <w:tcPr>
            <w:tcW w:w="758" w:type="pct"/>
            <w:tcBorders>
              <w:left w:val="nil"/>
              <w:right w:val="nil"/>
            </w:tcBorders>
            <w:vAlign w:val="center"/>
          </w:tcPr>
          <w:p w14:paraId="0C5747B1" w14:textId="77777777" w:rsidR="00111E4D" w:rsidRDefault="00111E4D" w:rsidP="00111E4D">
            <w:pPr>
              <w:pStyle w:val="NoSpacing"/>
            </w:pPr>
            <w:r>
              <w:t>Use Again</w:t>
            </w:r>
          </w:p>
        </w:tc>
        <w:tc>
          <w:tcPr>
            <w:tcW w:w="655" w:type="pct"/>
            <w:tcBorders>
              <w:left w:val="nil"/>
              <w:right w:val="nil"/>
            </w:tcBorders>
            <w:vAlign w:val="center"/>
          </w:tcPr>
          <w:p w14:paraId="0B6602FB" w14:textId="77777777" w:rsidR="00111E4D" w:rsidRDefault="00111E4D" w:rsidP="00111E4D">
            <w:pPr>
              <w:pStyle w:val="NoSpacing"/>
              <w:jc w:val="center"/>
            </w:pPr>
            <w:r>
              <w:t>//</w:t>
            </w:r>
          </w:p>
        </w:tc>
        <w:tc>
          <w:tcPr>
            <w:tcW w:w="732" w:type="pct"/>
            <w:tcBorders>
              <w:left w:val="nil"/>
              <w:right w:val="nil"/>
            </w:tcBorders>
            <w:vAlign w:val="center"/>
          </w:tcPr>
          <w:p w14:paraId="638D1B11" w14:textId="77777777" w:rsidR="00111E4D" w:rsidRDefault="00111E4D" w:rsidP="00111E4D">
            <w:pPr>
              <w:pStyle w:val="NoSpacing"/>
              <w:jc w:val="center"/>
            </w:pPr>
            <w:r>
              <w:t>4.21</w:t>
            </w:r>
          </w:p>
          <w:p w14:paraId="37544ABF" w14:textId="77777777" w:rsidR="00111E4D" w:rsidRDefault="00111E4D" w:rsidP="00111E4D">
            <w:pPr>
              <w:pStyle w:val="NoSpacing"/>
              <w:jc w:val="center"/>
            </w:pPr>
            <w:r>
              <w:t>(3.14)</w:t>
            </w:r>
          </w:p>
        </w:tc>
        <w:tc>
          <w:tcPr>
            <w:tcW w:w="732" w:type="pct"/>
            <w:tcBorders>
              <w:left w:val="nil"/>
              <w:right w:val="nil"/>
            </w:tcBorders>
            <w:vAlign w:val="center"/>
          </w:tcPr>
          <w:p w14:paraId="37C4469F" w14:textId="77777777" w:rsidR="00111E4D" w:rsidRDefault="00111E4D" w:rsidP="00111E4D">
            <w:pPr>
              <w:pStyle w:val="NoSpacing"/>
              <w:jc w:val="center"/>
            </w:pPr>
            <w:r>
              <w:t>4.43</w:t>
            </w:r>
          </w:p>
          <w:p w14:paraId="7FD6154E" w14:textId="77777777" w:rsidR="00111E4D" w:rsidRDefault="00111E4D" w:rsidP="00111E4D">
            <w:pPr>
              <w:pStyle w:val="NoSpacing"/>
              <w:jc w:val="center"/>
            </w:pPr>
            <w:r>
              <w:t>(3.48)</w:t>
            </w:r>
          </w:p>
        </w:tc>
        <w:tc>
          <w:tcPr>
            <w:tcW w:w="732" w:type="pct"/>
            <w:tcBorders>
              <w:left w:val="nil"/>
              <w:right w:val="nil"/>
            </w:tcBorders>
            <w:vAlign w:val="center"/>
          </w:tcPr>
          <w:p w14:paraId="52FC3F7B" w14:textId="77777777" w:rsidR="00111E4D" w:rsidRDefault="00111E4D" w:rsidP="00111E4D">
            <w:pPr>
              <w:pStyle w:val="NoSpacing"/>
              <w:jc w:val="center"/>
            </w:pPr>
            <w:r>
              <w:t>//</w:t>
            </w:r>
          </w:p>
        </w:tc>
        <w:tc>
          <w:tcPr>
            <w:tcW w:w="732" w:type="pct"/>
            <w:tcBorders>
              <w:left w:val="nil"/>
              <w:right w:val="nil"/>
            </w:tcBorders>
            <w:vAlign w:val="center"/>
          </w:tcPr>
          <w:p w14:paraId="321C2C20" w14:textId="77777777" w:rsidR="00111E4D" w:rsidRDefault="00111E4D" w:rsidP="00111E4D">
            <w:pPr>
              <w:pStyle w:val="NoSpacing"/>
              <w:jc w:val="center"/>
            </w:pPr>
            <w:r>
              <w:t>2.45</w:t>
            </w:r>
          </w:p>
          <w:p w14:paraId="7DD58450" w14:textId="77777777" w:rsidR="00111E4D" w:rsidRDefault="00111E4D" w:rsidP="00111E4D">
            <w:pPr>
              <w:pStyle w:val="NoSpacing"/>
              <w:jc w:val="center"/>
            </w:pPr>
            <w:r>
              <w:t>(2.79)</w:t>
            </w:r>
          </w:p>
        </w:tc>
        <w:tc>
          <w:tcPr>
            <w:tcW w:w="659" w:type="pct"/>
            <w:tcBorders>
              <w:left w:val="nil"/>
              <w:right w:val="nil"/>
            </w:tcBorders>
            <w:vAlign w:val="center"/>
          </w:tcPr>
          <w:p w14:paraId="0341F637" w14:textId="77777777" w:rsidR="00111E4D" w:rsidRDefault="00111E4D" w:rsidP="00111E4D">
            <w:pPr>
              <w:pStyle w:val="NoSpacing"/>
              <w:jc w:val="center"/>
            </w:pPr>
            <w:r>
              <w:t>2.70</w:t>
            </w:r>
          </w:p>
          <w:p w14:paraId="148F46EB" w14:textId="77777777" w:rsidR="00111E4D" w:rsidRDefault="00111E4D" w:rsidP="00111E4D">
            <w:pPr>
              <w:pStyle w:val="NoSpacing"/>
              <w:jc w:val="center"/>
            </w:pPr>
            <w:r>
              <w:t>(3.04)</w:t>
            </w:r>
          </w:p>
        </w:tc>
      </w:tr>
      <w:tr w:rsidR="00111E4D" w14:paraId="71CB7106" w14:textId="77777777" w:rsidTr="00111E4D">
        <w:tc>
          <w:tcPr>
            <w:tcW w:w="758" w:type="pct"/>
            <w:tcBorders>
              <w:left w:val="nil"/>
              <w:right w:val="nil"/>
            </w:tcBorders>
            <w:vAlign w:val="center"/>
          </w:tcPr>
          <w:p w14:paraId="3DF34034" w14:textId="77777777" w:rsidR="00111E4D" w:rsidRDefault="00111E4D" w:rsidP="00111E4D">
            <w:pPr>
              <w:pStyle w:val="NoSpacing"/>
            </w:pPr>
            <w:r>
              <w:t>System Usability</w:t>
            </w:r>
          </w:p>
        </w:tc>
        <w:tc>
          <w:tcPr>
            <w:tcW w:w="655" w:type="pct"/>
            <w:tcBorders>
              <w:left w:val="nil"/>
              <w:right w:val="nil"/>
            </w:tcBorders>
            <w:vAlign w:val="center"/>
          </w:tcPr>
          <w:p w14:paraId="37F2F211" w14:textId="77777777" w:rsidR="00111E4D" w:rsidRDefault="00111E4D" w:rsidP="00111E4D">
            <w:pPr>
              <w:pStyle w:val="NoSpacing"/>
              <w:jc w:val="center"/>
            </w:pPr>
            <w:r>
              <w:t>//</w:t>
            </w:r>
          </w:p>
        </w:tc>
        <w:tc>
          <w:tcPr>
            <w:tcW w:w="732" w:type="pct"/>
            <w:tcBorders>
              <w:left w:val="nil"/>
              <w:right w:val="nil"/>
            </w:tcBorders>
            <w:vAlign w:val="center"/>
          </w:tcPr>
          <w:p w14:paraId="7E3D5495" w14:textId="77777777" w:rsidR="00111E4D" w:rsidRDefault="00111E4D" w:rsidP="00111E4D">
            <w:pPr>
              <w:pStyle w:val="NoSpacing"/>
              <w:jc w:val="center"/>
            </w:pPr>
            <w:r>
              <w:t>63.56</w:t>
            </w:r>
          </w:p>
          <w:p w14:paraId="11E2D33D" w14:textId="77777777" w:rsidR="00111E4D" w:rsidRDefault="00111E4D" w:rsidP="00111E4D">
            <w:pPr>
              <w:pStyle w:val="NoSpacing"/>
              <w:jc w:val="center"/>
            </w:pPr>
            <w:r>
              <w:t>(17.90)</w:t>
            </w:r>
          </w:p>
        </w:tc>
        <w:tc>
          <w:tcPr>
            <w:tcW w:w="732" w:type="pct"/>
            <w:tcBorders>
              <w:left w:val="nil"/>
              <w:right w:val="nil"/>
            </w:tcBorders>
            <w:vAlign w:val="center"/>
          </w:tcPr>
          <w:p w14:paraId="45CE8F6B" w14:textId="77777777" w:rsidR="00111E4D" w:rsidRDefault="00111E4D" w:rsidP="00111E4D">
            <w:pPr>
              <w:pStyle w:val="NoSpacing"/>
              <w:jc w:val="center"/>
            </w:pPr>
            <w:r>
              <w:t>//</w:t>
            </w:r>
          </w:p>
        </w:tc>
        <w:tc>
          <w:tcPr>
            <w:tcW w:w="732" w:type="pct"/>
            <w:tcBorders>
              <w:left w:val="nil"/>
              <w:right w:val="nil"/>
            </w:tcBorders>
            <w:vAlign w:val="center"/>
          </w:tcPr>
          <w:p w14:paraId="2060E7EC" w14:textId="77777777" w:rsidR="00111E4D" w:rsidRDefault="00111E4D" w:rsidP="00111E4D">
            <w:pPr>
              <w:pStyle w:val="NoSpacing"/>
              <w:jc w:val="center"/>
            </w:pPr>
            <w:r>
              <w:t>//</w:t>
            </w:r>
          </w:p>
        </w:tc>
        <w:tc>
          <w:tcPr>
            <w:tcW w:w="732" w:type="pct"/>
            <w:tcBorders>
              <w:left w:val="nil"/>
              <w:right w:val="nil"/>
            </w:tcBorders>
            <w:vAlign w:val="center"/>
          </w:tcPr>
          <w:p w14:paraId="40ADF95D" w14:textId="77777777" w:rsidR="00111E4D" w:rsidRDefault="00111E4D" w:rsidP="00111E4D">
            <w:pPr>
              <w:pStyle w:val="NoSpacing"/>
              <w:jc w:val="center"/>
            </w:pPr>
            <w:r>
              <w:t>56.97</w:t>
            </w:r>
          </w:p>
          <w:p w14:paraId="6D443A33" w14:textId="77777777" w:rsidR="00111E4D" w:rsidRDefault="00111E4D" w:rsidP="00111E4D">
            <w:pPr>
              <w:pStyle w:val="NoSpacing"/>
              <w:jc w:val="center"/>
            </w:pPr>
            <w:r>
              <w:t>(19.46)</w:t>
            </w:r>
          </w:p>
        </w:tc>
        <w:tc>
          <w:tcPr>
            <w:tcW w:w="659" w:type="pct"/>
            <w:tcBorders>
              <w:left w:val="nil"/>
              <w:right w:val="nil"/>
            </w:tcBorders>
            <w:vAlign w:val="center"/>
          </w:tcPr>
          <w:p w14:paraId="6D79B96D" w14:textId="77777777" w:rsidR="00111E4D" w:rsidRDefault="00111E4D" w:rsidP="00111E4D">
            <w:pPr>
              <w:pStyle w:val="NoSpacing"/>
              <w:jc w:val="center"/>
            </w:pPr>
            <w:r>
              <w:t>//</w:t>
            </w:r>
          </w:p>
        </w:tc>
      </w:tr>
    </w:tbl>
    <w:p w14:paraId="24BBD8B6" w14:textId="77777777" w:rsidR="00111E4D" w:rsidRDefault="00111E4D" w:rsidP="00111E4D">
      <w:pPr>
        <w:pStyle w:val="Caption"/>
      </w:pPr>
      <w:r>
        <w:t>Note: DASS = Depression, Anxiety &amp; Stress Scale;</w:t>
      </w:r>
    </w:p>
    <w:p w14:paraId="164B9D9E" w14:textId="7EB05819" w:rsidR="00111E4D" w:rsidRDefault="00CE0A7B" w:rsidP="00111E4D">
      <w:pPr>
        <w:pStyle w:val="Heading3"/>
      </w:pPr>
      <w:bookmarkStart w:id="386" w:name="_Toc3538144"/>
      <w:r w:rsidRPr="00CE0A7B">
        <w:t xml:space="preserve">Are Both </w:t>
      </w:r>
      <w:r>
        <w:t>MYLO</w:t>
      </w:r>
      <w:r w:rsidRPr="00CE0A7B">
        <w:t xml:space="preserve"> and </w:t>
      </w:r>
      <w:r>
        <w:t>ELIZA</w:t>
      </w:r>
      <w:r w:rsidRPr="00CE0A7B">
        <w:t xml:space="preserve"> Effective with Older Adults?</w:t>
      </w:r>
      <w:bookmarkEnd w:id="386"/>
    </w:p>
    <w:p w14:paraId="6DEA6E38" w14:textId="77777777" w:rsidR="00111E4D" w:rsidRPr="00F65B58" w:rsidRDefault="00111E4D" w:rsidP="00111E4D">
      <w:pPr>
        <w:pStyle w:val="Heading4"/>
      </w:pPr>
      <w:r>
        <w:t>Problem-related distress</w:t>
      </w:r>
    </w:p>
    <w:p w14:paraId="5593408C" w14:textId="77777777" w:rsidR="00111E4D" w:rsidRDefault="00111E4D" w:rsidP="00111E4D">
      <w:bookmarkStart w:id="387" w:name="_Hlk520661061"/>
      <w:bookmarkStart w:id="388" w:name="_Hlk520655295"/>
      <w:r w:rsidRPr="00DE1D0E">
        <w:rPr>
          <w:noProof/>
        </w:rPr>
        <w:t>A Mann-Whitney U test was run to determine if there were differences in</w:t>
      </w:r>
      <w:r w:rsidRPr="00B934D4">
        <w:t xml:space="preserve"> </w:t>
      </w:r>
      <w:r>
        <w:t>baseline problem-related distress</w:t>
      </w:r>
      <w:r w:rsidRPr="004073D7">
        <w:t xml:space="preserve"> </w:t>
      </w:r>
      <w:r w:rsidRPr="00B934D4">
        <w:t xml:space="preserve">between </w:t>
      </w:r>
      <w:r>
        <w:t>MYLO</w:t>
      </w:r>
      <w:r w:rsidRPr="00B934D4">
        <w:t xml:space="preserve"> and </w:t>
      </w:r>
      <w:r>
        <w:t>ELIZA</w:t>
      </w:r>
      <w:r w:rsidRPr="00B934D4">
        <w:t xml:space="preserve">. </w:t>
      </w:r>
      <w:r>
        <w:t xml:space="preserve"> </w:t>
      </w:r>
      <w:r w:rsidRPr="00B934D4">
        <w:t xml:space="preserve">Distributions of the </w:t>
      </w:r>
      <w:r>
        <w:t>baseline problem-related distress</w:t>
      </w:r>
      <w:r w:rsidRPr="00EC4BBE">
        <w:t xml:space="preserve"> </w:t>
      </w:r>
      <w:r w:rsidRPr="004073D7">
        <w:t xml:space="preserve">for MYLO and ELIZA were not similar, as assessed by visual inspection.  </w:t>
      </w:r>
      <w:r>
        <w:t>Baseline problem-related distress</w:t>
      </w:r>
      <w:r w:rsidRPr="004073D7">
        <w:t xml:space="preserve"> </w:t>
      </w:r>
      <w:r w:rsidRPr="00EC4BBE">
        <w:t xml:space="preserve">for </w:t>
      </w:r>
      <w:r w:rsidRPr="004073D7">
        <w:t xml:space="preserve">MYLO (mean rank = </w:t>
      </w:r>
      <w:r>
        <w:t>46.07)</w:t>
      </w:r>
      <w:r w:rsidRPr="00EC4BBE">
        <w:t xml:space="preserve"> and </w:t>
      </w:r>
      <w:r w:rsidRPr="004073D7">
        <w:t xml:space="preserve">ELIZA (mean rank = </w:t>
      </w:r>
      <w:r>
        <w:t>48.93</w:t>
      </w:r>
      <w:r w:rsidRPr="004073D7">
        <w:t>)</w:t>
      </w:r>
      <w:r w:rsidRPr="00EC4BBE">
        <w:t xml:space="preserve"> were not statistically significantly different, </w:t>
      </w:r>
      <w:r w:rsidRPr="005F2B64">
        <w:rPr>
          <w:i/>
        </w:rPr>
        <w:t>U</w:t>
      </w:r>
      <w:r w:rsidRPr="00EC4BBE">
        <w:t xml:space="preserve"> = </w:t>
      </w:r>
      <w:r>
        <w:t>1,038</w:t>
      </w:r>
      <w:r w:rsidRPr="00EC4BBE">
        <w:t>, </w:t>
      </w:r>
      <w:r w:rsidRPr="005F2B64">
        <w:rPr>
          <w:i/>
        </w:rPr>
        <w:t>z</w:t>
      </w:r>
      <w:r w:rsidRPr="00EC4BBE">
        <w:t> = -.</w:t>
      </w:r>
      <w:r>
        <w:t>516</w:t>
      </w:r>
      <w:r w:rsidRPr="00EC4BBE">
        <w:t>, </w:t>
      </w:r>
      <w:r w:rsidRPr="005F2B64">
        <w:rPr>
          <w:i/>
        </w:rPr>
        <w:t>p</w:t>
      </w:r>
      <w:r w:rsidRPr="00EC4BBE">
        <w:t> = .</w:t>
      </w:r>
      <w:r>
        <w:t>606</w:t>
      </w:r>
      <w:r w:rsidRPr="00EC4BBE">
        <w:t>.</w:t>
      </w:r>
      <w:r>
        <w:t xml:space="preserve">  The result indicates that there were no between-group differences in problem-related distress at baseline.</w:t>
      </w:r>
    </w:p>
    <w:p w14:paraId="0D200B69" w14:textId="77777777" w:rsidR="00111E4D" w:rsidRDefault="00111E4D" w:rsidP="00111E4D">
      <w:r w:rsidRPr="00DE1D0E">
        <w:rPr>
          <w:noProof/>
        </w:rPr>
        <w:t>A Mann-Whitney U test was run to determine if there were differences in</w:t>
      </w:r>
      <w:r w:rsidRPr="00B934D4">
        <w:t xml:space="preserve"> </w:t>
      </w:r>
      <w:r>
        <w:t>post-intervention problem-related distress</w:t>
      </w:r>
      <w:r w:rsidRPr="004073D7">
        <w:t xml:space="preserve"> </w:t>
      </w:r>
      <w:r w:rsidRPr="00B934D4">
        <w:t xml:space="preserve">between </w:t>
      </w:r>
      <w:r>
        <w:t>MYLO</w:t>
      </w:r>
      <w:r w:rsidRPr="00B934D4">
        <w:t xml:space="preserve"> and </w:t>
      </w:r>
      <w:r>
        <w:t>ELIZA</w:t>
      </w:r>
      <w:r w:rsidRPr="00B934D4">
        <w:t xml:space="preserve">. </w:t>
      </w:r>
      <w:r>
        <w:t xml:space="preserve"> </w:t>
      </w:r>
      <w:r w:rsidRPr="00B934D4">
        <w:t xml:space="preserve">Distributions of the </w:t>
      </w:r>
      <w:r>
        <w:t>post-intervention problem-related distress</w:t>
      </w:r>
      <w:r w:rsidRPr="00EC4BBE">
        <w:t xml:space="preserve"> </w:t>
      </w:r>
      <w:r w:rsidRPr="004073D7">
        <w:t xml:space="preserve">for MYLO and ELIZA were not similar, as assessed by visual inspection.  </w:t>
      </w:r>
      <w:r>
        <w:t>However, post-intervention problem-related distress</w:t>
      </w:r>
      <w:r w:rsidRPr="004073D7">
        <w:t xml:space="preserve"> </w:t>
      </w:r>
      <w:r w:rsidRPr="00EC4BBE">
        <w:t xml:space="preserve">for </w:t>
      </w:r>
      <w:r w:rsidRPr="004073D7">
        <w:t xml:space="preserve">MYLO (mean rank = </w:t>
      </w:r>
      <w:r>
        <w:t>43.45)</w:t>
      </w:r>
      <w:r w:rsidRPr="00EC4BBE">
        <w:t xml:space="preserve"> and </w:t>
      </w:r>
      <w:r w:rsidRPr="004073D7">
        <w:t xml:space="preserve">ELIZA (mean rank = </w:t>
      </w:r>
      <w:r>
        <w:t>51.55</w:t>
      </w:r>
      <w:r w:rsidRPr="004073D7">
        <w:t>)</w:t>
      </w:r>
      <w:r w:rsidRPr="00EC4BBE">
        <w:t xml:space="preserve"> were not statistically significantly different, </w:t>
      </w:r>
      <w:r w:rsidRPr="006D59B7">
        <w:rPr>
          <w:i/>
        </w:rPr>
        <w:t>U</w:t>
      </w:r>
      <w:r w:rsidRPr="00EC4BBE">
        <w:t xml:space="preserve"> = </w:t>
      </w:r>
      <w:r>
        <w:t>1,295</w:t>
      </w:r>
      <w:r w:rsidRPr="00EC4BBE">
        <w:t>, </w:t>
      </w:r>
      <w:r w:rsidRPr="006D59B7">
        <w:rPr>
          <w:i/>
        </w:rPr>
        <w:t>z</w:t>
      </w:r>
      <w:r w:rsidRPr="00EC4BBE">
        <w:t xml:space="preserve"> = </w:t>
      </w:r>
      <w:r>
        <w:t>1</w:t>
      </w:r>
      <w:r w:rsidRPr="00EC4BBE">
        <w:t>.</w:t>
      </w:r>
      <w:r>
        <w:t>463</w:t>
      </w:r>
      <w:r w:rsidRPr="00EC4BBE">
        <w:t>, </w:t>
      </w:r>
      <w:r w:rsidRPr="006D59B7">
        <w:rPr>
          <w:i/>
        </w:rPr>
        <w:t>p</w:t>
      </w:r>
      <w:r w:rsidRPr="00EC4BBE">
        <w:t> = .</w:t>
      </w:r>
      <w:r>
        <w:t>143</w:t>
      </w:r>
      <w:r w:rsidRPr="00EC4BBE">
        <w:t>.</w:t>
      </w:r>
      <w:r>
        <w:t xml:space="preserve">  The result indicates that there were no between-group differences in problem-related distress at post-intervention.</w:t>
      </w:r>
    </w:p>
    <w:p w14:paraId="216278BD" w14:textId="3F37B1D0" w:rsidR="00111E4D" w:rsidRDefault="00111E4D" w:rsidP="00111E4D">
      <w:r w:rsidRPr="00DE1D0E">
        <w:rPr>
          <w:noProof/>
        </w:rPr>
        <w:lastRenderedPageBreak/>
        <w:t>A Mann-Whitney U test was run to determine if there were differences in</w:t>
      </w:r>
      <w:r w:rsidRPr="00B934D4">
        <w:t xml:space="preserve"> </w:t>
      </w:r>
      <w:r>
        <w:t>follow-up problem-related distress</w:t>
      </w:r>
      <w:r w:rsidRPr="004073D7">
        <w:t xml:space="preserve"> </w:t>
      </w:r>
      <w:r w:rsidRPr="00B934D4">
        <w:t xml:space="preserve">between </w:t>
      </w:r>
      <w:r>
        <w:t>MYLO</w:t>
      </w:r>
      <w:r w:rsidRPr="00B934D4">
        <w:t xml:space="preserve"> and </w:t>
      </w:r>
      <w:r>
        <w:t>ELIZA</w:t>
      </w:r>
      <w:r w:rsidRPr="00B934D4">
        <w:t xml:space="preserve">. </w:t>
      </w:r>
      <w:r>
        <w:t xml:space="preserve"> </w:t>
      </w:r>
      <w:r w:rsidRPr="00B934D4">
        <w:t xml:space="preserve">Distributions of the </w:t>
      </w:r>
      <w:r>
        <w:t>follow-up problem-related distress</w:t>
      </w:r>
      <w:r w:rsidRPr="00EC4BBE">
        <w:t xml:space="preserve"> </w:t>
      </w:r>
      <w:r w:rsidRPr="004073D7">
        <w:t>for MYLO and ELIZA were not similar, as assessed by visual inspection.</w:t>
      </w:r>
      <w:r w:rsidR="00554CB4">
        <w:t xml:space="preserve">  </w:t>
      </w:r>
      <w:r>
        <w:t>Follow-up problem</w:t>
      </w:r>
      <w:r>
        <w:noBreakHyphen/>
        <w:t>related distress</w:t>
      </w:r>
      <w:r w:rsidRPr="004073D7">
        <w:t xml:space="preserve"> </w:t>
      </w:r>
      <w:r w:rsidRPr="00EC4BBE">
        <w:t xml:space="preserve">for </w:t>
      </w:r>
      <w:r w:rsidRPr="004073D7">
        <w:t xml:space="preserve">MYLO (mean rank = </w:t>
      </w:r>
      <w:r>
        <w:t>42.46)</w:t>
      </w:r>
      <w:r w:rsidRPr="00EC4BBE">
        <w:t xml:space="preserve"> and </w:t>
      </w:r>
      <w:r w:rsidRPr="004073D7">
        <w:t xml:space="preserve">ELIZA (mean rank = </w:t>
      </w:r>
      <w:r>
        <w:t>52.54</w:t>
      </w:r>
      <w:r w:rsidRPr="004073D7">
        <w:t>)</w:t>
      </w:r>
      <w:r w:rsidRPr="00EC4BBE">
        <w:t xml:space="preserve"> were not statistically significantly different, </w:t>
      </w:r>
      <w:r w:rsidRPr="006D59B7">
        <w:rPr>
          <w:i/>
        </w:rPr>
        <w:t>U</w:t>
      </w:r>
      <w:r w:rsidRPr="00EC4BBE">
        <w:t xml:space="preserve"> = </w:t>
      </w:r>
      <w:r>
        <w:t>1,341</w:t>
      </w:r>
      <w:r w:rsidRPr="00EC4BBE">
        <w:t>, </w:t>
      </w:r>
      <w:r w:rsidRPr="006D59B7">
        <w:rPr>
          <w:i/>
        </w:rPr>
        <w:t>z</w:t>
      </w:r>
      <w:r w:rsidRPr="00EC4BBE">
        <w:t> = -</w:t>
      </w:r>
      <w:r>
        <w:t>1</w:t>
      </w:r>
      <w:r w:rsidRPr="00EC4BBE">
        <w:t>.</w:t>
      </w:r>
      <w:r>
        <w:t>808</w:t>
      </w:r>
      <w:r w:rsidRPr="00EC4BBE">
        <w:t>, </w:t>
      </w:r>
      <w:r w:rsidRPr="006D59B7">
        <w:rPr>
          <w:i/>
        </w:rPr>
        <w:t>p</w:t>
      </w:r>
      <w:r w:rsidRPr="00EC4BBE">
        <w:t> = .</w:t>
      </w:r>
      <w:r>
        <w:t>071</w:t>
      </w:r>
      <w:r w:rsidRPr="00EC4BBE">
        <w:t>.</w:t>
      </w:r>
      <w:r>
        <w:t xml:space="preserve">  The result indicates that there were no between-group differences in problem-related distress at follow-up.</w:t>
      </w:r>
    </w:p>
    <w:p w14:paraId="59BEA9F9" w14:textId="6EBEC110" w:rsidR="00111E4D" w:rsidRPr="005474AA" w:rsidRDefault="00111E4D" w:rsidP="00111E4D">
      <w:r w:rsidRPr="00DE1D0E">
        <w:rPr>
          <w:noProof/>
        </w:rPr>
        <w:t>A Friedman test was run to determine if there were differences in</w:t>
      </w:r>
      <w:r w:rsidRPr="005474AA">
        <w:t xml:space="preserve"> </w:t>
      </w:r>
      <w:r>
        <w:t>problem-related distress</w:t>
      </w:r>
      <w:r w:rsidRPr="005474AA">
        <w:t xml:space="preserve"> </w:t>
      </w:r>
      <w:r>
        <w:t>between baseline, post-intervention and follow-up for MYLO</w:t>
      </w:r>
      <w:r w:rsidRPr="005474AA">
        <w:t xml:space="preserve">. </w:t>
      </w:r>
      <w:r>
        <w:t xml:space="preserve"> </w:t>
      </w:r>
      <w:r w:rsidRPr="005474AA">
        <w:t>Pairwise comparisons were performed (SPSS Statistics, 2012) with a Bonferroni correction for multiple comparisons.</w:t>
      </w:r>
      <w:r>
        <w:t xml:space="preserve"> </w:t>
      </w:r>
      <w:r w:rsidRPr="005474AA">
        <w:t xml:space="preserve"> </w:t>
      </w:r>
      <w:r>
        <w:t>Problem-related distress</w:t>
      </w:r>
      <w:r w:rsidRPr="005474AA">
        <w:t xml:space="preserve"> was significantly different at the different time points during the </w:t>
      </w:r>
      <w:r>
        <w:t>MYLO intervention</w:t>
      </w:r>
      <w:r w:rsidRPr="005474AA">
        <w:t xml:space="preserve">, </w:t>
      </w:r>
      <w:proofErr w:type="gramStart"/>
      <w:r w:rsidRPr="005474AA">
        <w:t>χ</w:t>
      </w:r>
      <w:r w:rsidRPr="005474AA">
        <w:rPr>
          <w:vertAlign w:val="superscript"/>
        </w:rPr>
        <w:t>2</w:t>
      </w:r>
      <w:r w:rsidRPr="005474AA">
        <w:t>(</w:t>
      </w:r>
      <w:proofErr w:type="gramEnd"/>
      <w:r w:rsidRPr="005474AA">
        <w:t xml:space="preserve">2) = </w:t>
      </w:r>
      <w:r>
        <w:t>38</w:t>
      </w:r>
      <w:r w:rsidRPr="005474AA">
        <w:t>.</w:t>
      </w:r>
      <w:r>
        <w:t>392</w:t>
      </w:r>
      <w:r w:rsidRPr="005474AA">
        <w:t>, </w:t>
      </w:r>
      <w:r w:rsidRPr="00B659EF">
        <w:rPr>
          <w:i/>
        </w:rPr>
        <w:t>p</w:t>
      </w:r>
      <w:r w:rsidRPr="005474AA">
        <w:t> &lt; .</w:t>
      </w:r>
      <w:r>
        <w:t>001</w:t>
      </w:r>
      <w:r w:rsidRPr="005474AA">
        <w:t xml:space="preserve">. </w:t>
      </w:r>
      <w:r>
        <w:t xml:space="preserve"> </w:t>
      </w:r>
      <w:r w:rsidRPr="00DE1D0E">
        <w:rPr>
          <w:noProof/>
        </w:rPr>
        <w:t>Post hoc analysis revealed statistically significant differences in</w:t>
      </w:r>
      <w:r w:rsidRPr="005474AA">
        <w:t xml:space="preserve"> </w:t>
      </w:r>
      <w:r>
        <w:t>problem</w:t>
      </w:r>
      <w:r>
        <w:noBreakHyphen/>
        <w:t>related distress</w:t>
      </w:r>
      <w:r w:rsidRPr="005474AA">
        <w:t xml:space="preserve"> from </w:t>
      </w:r>
      <w:r>
        <w:t>baseline</w:t>
      </w:r>
      <w:r w:rsidRPr="005474AA">
        <w:t xml:space="preserve"> (</w:t>
      </w:r>
      <w:proofErr w:type="spellStart"/>
      <w:r w:rsidRPr="00E656AD">
        <w:rPr>
          <w:i/>
        </w:rPr>
        <w:t>Mdn</w:t>
      </w:r>
      <w:proofErr w:type="spellEnd"/>
      <w:r w:rsidRPr="005474AA">
        <w:t xml:space="preserve"> = </w:t>
      </w:r>
      <w:r>
        <w:t>6.00</w:t>
      </w:r>
      <w:r w:rsidRPr="005474AA">
        <w:t xml:space="preserve">) to </w:t>
      </w:r>
      <w:r>
        <w:t>follow-up</w:t>
      </w:r>
      <w:r w:rsidRPr="005474AA">
        <w:t xml:space="preserve"> (</w:t>
      </w:r>
      <w:proofErr w:type="spellStart"/>
      <w:r w:rsidRPr="00E656AD">
        <w:rPr>
          <w:i/>
        </w:rPr>
        <w:t>Mdn</w:t>
      </w:r>
      <w:proofErr w:type="spellEnd"/>
      <w:r w:rsidRPr="005474AA">
        <w:t xml:space="preserve"> = </w:t>
      </w:r>
      <w:r>
        <w:t>3.00</w:t>
      </w:r>
      <w:r w:rsidRPr="005474AA">
        <w:t>) (</w:t>
      </w:r>
      <w:r w:rsidRPr="00B659EF">
        <w:rPr>
          <w:i/>
        </w:rPr>
        <w:t>p</w:t>
      </w:r>
      <w:r w:rsidRPr="005474AA">
        <w:t> &lt; .</w:t>
      </w:r>
      <w:r>
        <w:t>001) and post</w:t>
      </w:r>
      <w:r>
        <w:noBreakHyphen/>
      </w:r>
      <w:r w:rsidRPr="005474AA">
        <w:t>intervention (</w:t>
      </w:r>
      <w:proofErr w:type="spellStart"/>
      <w:r w:rsidRPr="00E656AD">
        <w:rPr>
          <w:i/>
        </w:rPr>
        <w:t>Mdn</w:t>
      </w:r>
      <w:proofErr w:type="spellEnd"/>
      <w:r w:rsidRPr="005474AA">
        <w:t xml:space="preserve"> = </w:t>
      </w:r>
      <w:r>
        <w:t>3.00</w:t>
      </w:r>
      <w:r w:rsidRPr="005474AA">
        <w:t>) (</w:t>
      </w:r>
      <w:r w:rsidRPr="00B659EF">
        <w:rPr>
          <w:i/>
        </w:rPr>
        <w:t>p</w:t>
      </w:r>
      <w:proofErr w:type="gramStart"/>
      <w:r w:rsidRPr="005474AA">
        <w:t>  &lt;</w:t>
      </w:r>
      <w:proofErr w:type="gramEnd"/>
      <w:r w:rsidRPr="005474AA">
        <w:t xml:space="preserve"> .</w:t>
      </w:r>
      <w:r>
        <w:t>001</w:t>
      </w:r>
      <w:r w:rsidRPr="005474AA">
        <w:t xml:space="preserve">) but not post-intervention </w:t>
      </w:r>
      <w:r>
        <w:t>to</w:t>
      </w:r>
      <w:r w:rsidRPr="005474AA">
        <w:t xml:space="preserve"> </w:t>
      </w:r>
      <w:r>
        <w:t>follow-up</w:t>
      </w:r>
      <w:r w:rsidRPr="005474AA">
        <w:t>.</w:t>
      </w:r>
    </w:p>
    <w:p w14:paraId="028BA1F5" w14:textId="7ECFD06C" w:rsidR="00111E4D" w:rsidRDefault="00111E4D" w:rsidP="00111E4D">
      <w:r w:rsidRPr="00DE1D0E">
        <w:rPr>
          <w:noProof/>
        </w:rPr>
        <w:t>A Friedman test was run to determine if there were differences in</w:t>
      </w:r>
      <w:r w:rsidRPr="005474AA">
        <w:t xml:space="preserve"> </w:t>
      </w:r>
      <w:r>
        <w:t>problem-related distress</w:t>
      </w:r>
      <w:r w:rsidRPr="005474AA">
        <w:t xml:space="preserve"> </w:t>
      </w:r>
      <w:r>
        <w:t>between baseline, post-intervention and follow-up for ELIZA</w:t>
      </w:r>
      <w:r w:rsidRPr="005474AA">
        <w:t xml:space="preserve">. </w:t>
      </w:r>
      <w:r>
        <w:t xml:space="preserve"> </w:t>
      </w:r>
      <w:r w:rsidRPr="005474AA">
        <w:t>Pairwise comparisons were performed (SPSS Statistics, 2012) with a Bonferroni correction for multiple comparisons.</w:t>
      </w:r>
      <w:r>
        <w:t xml:space="preserve"> </w:t>
      </w:r>
      <w:r w:rsidRPr="005474AA">
        <w:t xml:space="preserve"> </w:t>
      </w:r>
      <w:r>
        <w:t>Problem-related distress</w:t>
      </w:r>
      <w:r w:rsidRPr="005474AA">
        <w:t xml:space="preserve"> was statistically significantly different at the different time points during the </w:t>
      </w:r>
      <w:r>
        <w:t>ELIZA intervention</w:t>
      </w:r>
      <w:r w:rsidRPr="005474AA">
        <w:t xml:space="preserve">, </w:t>
      </w:r>
      <w:proofErr w:type="gramStart"/>
      <w:r w:rsidRPr="005474AA">
        <w:t>χ</w:t>
      </w:r>
      <w:r w:rsidRPr="005474AA">
        <w:rPr>
          <w:vertAlign w:val="superscript"/>
        </w:rPr>
        <w:t>2</w:t>
      </w:r>
      <w:r w:rsidRPr="005474AA">
        <w:t>(</w:t>
      </w:r>
      <w:proofErr w:type="gramEnd"/>
      <w:r w:rsidRPr="005474AA">
        <w:t xml:space="preserve">2) = </w:t>
      </w:r>
      <w:r>
        <w:t>25</w:t>
      </w:r>
      <w:r w:rsidRPr="005474AA">
        <w:t>.</w:t>
      </w:r>
      <w:r>
        <w:t>000</w:t>
      </w:r>
      <w:r w:rsidRPr="005474AA">
        <w:t>, </w:t>
      </w:r>
      <w:r w:rsidRPr="00B659EF">
        <w:rPr>
          <w:i/>
        </w:rPr>
        <w:t>p</w:t>
      </w:r>
      <w:r w:rsidRPr="005474AA">
        <w:t> &lt; .</w:t>
      </w:r>
      <w:r>
        <w:t>001</w:t>
      </w:r>
      <w:r w:rsidRPr="005474AA">
        <w:t xml:space="preserve">. </w:t>
      </w:r>
      <w:r>
        <w:t xml:space="preserve"> </w:t>
      </w:r>
      <w:r w:rsidRPr="00DE1D0E">
        <w:rPr>
          <w:noProof/>
        </w:rPr>
        <w:t>Post hoc analysis revealed statistically significant differences in</w:t>
      </w:r>
      <w:r w:rsidRPr="005474AA">
        <w:t xml:space="preserve"> </w:t>
      </w:r>
      <w:r>
        <w:t>problem-related distress</w:t>
      </w:r>
      <w:r w:rsidRPr="005474AA">
        <w:t xml:space="preserve"> from </w:t>
      </w:r>
      <w:r>
        <w:t>baseline</w:t>
      </w:r>
      <w:r w:rsidRPr="005474AA">
        <w:t xml:space="preserve"> (</w:t>
      </w:r>
      <w:proofErr w:type="spellStart"/>
      <w:r w:rsidRPr="00AF33DA">
        <w:rPr>
          <w:i/>
        </w:rPr>
        <w:t>Mdn</w:t>
      </w:r>
      <w:proofErr w:type="spellEnd"/>
      <w:r w:rsidRPr="005474AA">
        <w:t xml:space="preserve"> = </w:t>
      </w:r>
      <w:r>
        <w:t>6.00</w:t>
      </w:r>
      <w:r w:rsidRPr="005474AA">
        <w:t xml:space="preserve">) to </w:t>
      </w:r>
      <w:r>
        <w:t>follow-up</w:t>
      </w:r>
      <w:r w:rsidRPr="005474AA">
        <w:t xml:space="preserve"> (</w:t>
      </w:r>
      <w:proofErr w:type="spellStart"/>
      <w:r w:rsidRPr="00AF33DA">
        <w:rPr>
          <w:i/>
        </w:rPr>
        <w:t>Mdn</w:t>
      </w:r>
      <w:proofErr w:type="spellEnd"/>
      <w:r w:rsidRPr="005474AA">
        <w:t xml:space="preserve"> = </w:t>
      </w:r>
      <w:r>
        <w:t>4.00</w:t>
      </w:r>
      <w:r w:rsidRPr="005474AA">
        <w:t>) (</w:t>
      </w:r>
      <w:r w:rsidRPr="00853891">
        <w:rPr>
          <w:i/>
        </w:rPr>
        <w:t>p</w:t>
      </w:r>
      <w:r w:rsidRPr="005474AA">
        <w:t> &lt; .</w:t>
      </w:r>
      <w:r>
        <w:t>001</w:t>
      </w:r>
      <w:r w:rsidRPr="005474AA">
        <w:t>) and post-intervention (</w:t>
      </w:r>
      <w:proofErr w:type="spellStart"/>
      <w:r w:rsidRPr="00AF33DA">
        <w:rPr>
          <w:i/>
        </w:rPr>
        <w:t>Mdn</w:t>
      </w:r>
      <w:proofErr w:type="spellEnd"/>
      <w:r w:rsidRPr="005474AA">
        <w:t xml:space="preserve"> = </w:t>
      </w:r>
      <w:r>
        <w:t>5.00</w:t>
      </w:r>
      <w:r w:rsidRPr="005474AA">
        <w:t>) (</w:t>
      </w:r>
      <w:r w:rsidRPr="00853891">
        <w:rPr>
          <w:i/>
        </w:rPr>
        <w:t>p</w:t>
      </w:r>
      <w:proofErr w:type="gramStart"/>
      <w:r w:rsidRPr="005474AA">
        <w:t>  &lt;</w:t>
      </w:r>
      <w:proofErr w:type="gramEnd"/>
      <w:r w:rsidRPr="005474AA">
        <w:t xml:space="preserve"> .</w:t>
      </w:r>
      <w:r>
        <w:t>001</w:t>
      </w:r>
      <w:r w:rsidRPr="005474AA">
        <w:t xml:space="preserve">) but not post-intervention </w:t>
      </w:r>
      <w:r>
        <w:t>to</w:t>
      </w:r>
      <w:r w:rsidRPr="005474AA">
        <w:t xml:space="preserve"> </w:t>
      </w:r>
      <w:r>
        <w:t>follow-up</w:t>
      </w:r>
      <w:r w:rsidRPr="005474AA">
        <w:t>.</w:t>
      </w:r>
    </w:p>
    <w:bookmarkEnd w:id="387"/>
    <w:bookmarkEnd w:id="388"/>
    <w:p w14:paraId="41D0E814" w14:textId="77777777" w:rsidR="00111E4D" w:rsidRDefault="00111E4D" w:rsidP="00111E4D">
      <w:pPr>
        <w:pStyle w:val="Heading4"/>
      </w:pPr>
      <w:r>
        <w:t>Depression</w:t>
      </w:r>
    </w:p>
    <w:p w14:paraId="06642A54" w14:textId="5C9DBCFE" w:rsidR="00111E4D" w:rsidRDefault="00111E4D" w:rsidP="00111E4D">
      <w:r w:rsidRPr="00DE1D0E">
        <w:rPr>
          <w:noProof/>
        </w:rPr>
        <w:t>A Mann-Whitney U test was run to determine if there were differences in</w:t>
      </w:r>
      <w:r w:rsidRPr="00B934D4">
        <w:t xml:space="preserve"> </w:t>
      </w:r>
      <w:r>
        <w:t>baseline depression</w:t>
      </w:r>
      <w:r w:rsidRPr="00EC4BBE">
        <w:t xml:space="preserve"> </w:t>
      </w:r>
      <w:r w:rsidRPr="00B934D4">
        <w:t xml:space="preserve">between </w:t>
      </w:r>
      <w:r>
        <w:t>MYLO</w:t>
      </w:r>
      <w:r w:rsidRPr="00B934D4">
        <w:t xml:space="preserve"> and </w:t>
      </w:r>
      <w:r>
        <w:t>ELIZA</w:t>
      </w:r>
      <w:r w:rsidR="00554CB4">
        <w:t xml:space="preserve">.  </w:t>
      </w:r>
      <w:r w:rsidRPr="00B934D4">
        <w:t xml:space="preserve">Distributions of the </w:t>
      </w:r>
      <w:r>
        <w:t>depression</w:t>
      </w:r>
      <w:r w:rsidRPr="00EC4BBE">
        <w:t xml:space="preserve"> </w:t>
      </w:r>
      <w:r w:rsidRPr="004073D7">
        <w:t xml:space="preserve">for MYLO and ELIZA were not similar, as assessed by visual inspection.  </w:t>
      </w:r>
      <w:r>
        <w:t>Baseline depression</w:t>
      </w:r>
      <w:r w:rsidRPr="004073D7">
        <w:t xml:space="preserve"> </w:t>
      </w:r>
      <w:r w:rsidRPr="00EC4BBE">
        <w:t xml:space="preserve">for </w:t>
      </w:r>
      <w:r w:rsidRPr="004073D7">
        <w:t xml:space="preserve">MYLO (mean rank = </w:t>
      </w:r>
      <w:r>
        <w:t>48.56)</w:t>
      </w:r>
      <w:r w:rsidRPr="00EC4BBE">
        <w:t xml:space="preserve"> and </w:t>
      </w:r>
      <w:r w:rsidRPr="004073D7">
        <w:t xml:space="preserve">ELIZA (mean rank = </w:t>
      </w:r>
      <w:r>
        <w:t>46.44</w:t>
      </w:r>
      <w:r w:rsidRPr="004073D7">
        <w:t>)</w:t>
      </w:r>
      <w:r w:rsidRPr="00EC4BBE">
        <w:t xml:space="preserve"> were not statistically significantly different, </w:t>
      </w:r>
      <w:r w:rsidRPr="00762774">
        <w:rPr>
          <w:i/>
        </w:rPr>
        <w:t>U</w:t>
      </w:r>
      <w:r w:rsidRPr="00EC4BBE">
        <w:t xml:space="preserve"> = </w:t>
      </w:r>
      <w:r>
        <w:t>1,054</w:t>
      </w:r>
      <w:r w:rsidRPr="00EC4BBE">
        <w:t>, </w:t>
      </w:r>
      <w:r w:rsidRPr="00762774">
        <w:rPr>
          <w:i/>
        </w:rPr>
        <w:t>z</w:t>
      </w:r>
      <w:r w:rsidRPr="00EC4BBE">
        <w:t> = -.</w:t>
      </w:r>
      <w:r>
        <w:t>380</w:t>
      </w:r>
      <w:r w:rsidRPr="00EC4BBE">
        <w:t>, </w:t>
      </w:r>
      <w:r w:rsidRPr="00762774">
        <w:rPr>
          <w:i/>
        </w:rPr>
        <w:t>p</w:t>
      </w:r>
      <w:r w:rsidRPr="00EC4BBE">
        <w:t> = .</w:t>
      </w:r>
      <w:r>
        <w:t>704</w:t>
      </w:r>
      <w:r w:rsidRPr="00EC4BBE">
        <w:t>.</w:t>
      </w:r>
      <w:r>
        <w:t xml:space="preserve">  The result indicates that there were no between-group differences in depression at baseline.</w:t>
      </w:r>
    </w:p>
    <w:p w14:paraId="4BB88193" w14:textId="7DE4C631" w:rsidR="00111E4D" w:rsidRDefault="00111E4D" w:rsidP="00111E4D">
      <w:r w:rsidRPr="00DE1D0E">
        <w:rPr>
          <w:noProof/>
        </w:rPr>
        <w:t>A Mann-Whitney U test was run to determine if there were differences in</w:t>
      </w:r>
      <w:r w:rsidRPr="00B934D4">
        <w:t xml:space="preserve"> </w:t>
      </w:r>
      <w:r>
        <w:t>post-intervention depression</w:t>
      </w:r>
      <w:r w:rsidRPr="004073D7">
        <w:t xml:space="preserve"> </w:t>
      </w:r>
      <w:r w:rsidRPr="00B934D4">
        <w:t xml:space="preserve">between </w:t>
      </w:r>
      <w:r>
        <w:t>MYLO</w:t>
      </w:r>
      <w:r w:rsidRPr="00B934D4">
        <w:t xml:space="preserve"> and </w:t>
      </w:r>
      <w:r>
        <w:t>ELIZA</w:t>
      </w:r>
      <w:r w:rsidR="00554CB4">
        <w:t xml:space="preserve">.  </w:t>
      </w:r>
      <w:r w:rsidRPr="00B934D4">
        <w:t xml:space="preserve">Distributions of the </w:t>
      </w:r>
      <w:r>
        <w:t>post-intervention depression</w:t>
      </w:r>
      <w:r w:rsidRPr="00EC4BBE">
        <w:t xml:space="preserve"> </w:t>
      </w:r>
      <w:r w:rsidRPr="004073D7">
        <w:t xml:space="preserve">for MYLO and ELIZA were not similar, as assessed by visual inspection.  </w:t>
      </w:r>
      <w:r>
        <w:t>Post-intervention depression</w:t>
      </w:r>
      <w:r w:rsidRPr="004073D7">
        <w:t xml:space="preserve"> </w:t>
      </w:r>
      <w:r w:rsidRPr="00EC4BBE">
        <w:t xml:space="preserve">for </w:t>
      </w:r>
      <w:r w:rsidRPr="004073D7">
        <w:t xml:space="preserve">MYLO (mean rank = </w:t>
      </w:r>
      <w:r>
        <w:t>46.41)</w:t>
      </w:r>
      <w:r w:rsidRPr="00EC4BBE">
        <w:t xml:space="preserve"> and </w:t>
      </w:r>
      <w:r w:rsidRPr="004073D7">
        <w:t xml:space="preserve">ELIZA (mean rank = </w:t>
      </w:r>
      <w:r>
        <w:t>48.59</w:t>
      </w:r>
      <w:r w:rsidRPr="004073D7">
        <w:t>)</w:t>
      </w:r>
      <w:r w:rsidRPr="00EC4BBE">
        <w:t xml:space="preserve"> were not statistically significantly different, </w:t>
      </w:r>
      <w:r w:rsidRPr="00CD4D78">
        <w:rPr>
          <w:i/>
        </w:rPr>
        <w:t>U</w:t>
      </w:r>
      <w:r w:rsidRPr="00EC4BBE">
        <w:t xml:space="preserve"> = </w:t>
      </w:r>
      <w:r>
        <w:t>1,155</w:t>
      </w:r>
      <w:r w:rsidRPr="00EC4BBE">
        <w:t>, </w:t>
      </w:r>
      <w:r w:rsidRPr="00CD4D78">
        <w:rPr>
          <w:i/>
        </w:rPr>
        <w:t>z</w:t>
      </w:r>
      <w:r w:rsidRPr="00EC4BBE">
        <w:t> = .</w:t>
      </w:r>
      <w:r>
        <w:t>390</w:t>
      </w:r>
      <w:r w:rsidRPr="00EC4BBE">
        <w:t>, </w:t>
      </w:r>
      <w:r w:rsidRPr="00CD4D78">
        <w:rPr>
          <w:i/>
        </w:rPr>
        <w:t>p</w:t>
      </w:r>
      <w:r w:rsidRPr="00EC4BBE">
        <w:t> = .</w:t>
      </w:r>
      <w:r>
        <w:t>697</w:t>
      </w:r>
      <w:r w:rsidRPr="00EC4BBE">
        <w:t>.</w:t>
      </w:r>
      <w:r>
        <w:t xml:space="preserve">  The result indicates that there were no between-group differences in depression at post intervention.</w:t>
      </w:r>
    </w:p>
    <w:p w14:paraId="004FD2ED" w14:textId="77777777" w:rsidR="00111E4D" w:rsidRDefault="00111E4D" w:rsidP="00111E4D">
      <w:r w:rsidRPr="00DE1D0E">
        <w:rPr>
          <w:noProof/>
        </w:rPr>
        <w:t>A Mann-Whitney U test was run to determine if there were differences in</w:t>
      </w:r>
      <w:r w:rsidRPr="00B934D4">
        <w:t xml:space="preserve"> </w:t>
      </w:r>
      <w:r>
        <w:t>follow-up depression</w:t>
      </w:r>
      <w:r w:rsidRPr="004073D7">
        <w:t xml:space="preserve"> </w:t>
      </w:r>
      <w:r w:rsidRPr="00B934D4">
        <w:t xml:space="preserve">between </w:t>
      </w:r>
      <w:r>
        <w:t>MYLO</w:t>
      </w:r>
      <w:r w:rsidRPr="00B934D4">
        <w:t xml:space="preserve"> and </w:t>
      </w:r>
      <w:r>
        <w:t>ELIZA</w:t>
      </w:r>
      <w:r w:rsidRPr="00B934D4">
        <w:t>.</w:t>
      </w:r>
      <w:r>
        <w:t xml:space="preserve"> </w:t>
      </w:r>
      <w:r w:rsidRPr="00B934D4">
        <w:t xml:space="preserve"> Distributions of the </w:t>
      </w:r>
      <w:r>
        <w:t>follow-up depression</w:t>
      </w:r>
      <w:r w:rsidRPr="00EC4BBE">
        <w:t xml:space="preserve"> </w:t>
      </w:r>
      <w:r w:rsidRPr="004073D7">
        <w:t xml:space="preserve">for MYLO and ELIZA were not similar, as assessed by visual inspection.  </w:t>
      </w:r>
      <w:r>
        <w:t>Follow-up depression</w:t>
      </w:r>
      <w:r w:rsidRPr="004073D7">
        <w:t xml:space="preserve"> </w:t>
      </w:r>
      <w:r w:rsidRPr="00EC4BBE">
        <w:t xml:space="preserve">for </w:t>
      </w:r>
      <w:r w:rsidRPr="004073D7">
        <w:t xml:space="preserve">MYLO (mean rank = </w:t>
      </w:r>
      <w:r>
        <w:t>47.12)</w:t>
      </w:r>
      <w:r w:rsidRPr="00EC4BBE">
        <w:t xml:space="preserve"> and </w:t>
      </w:r>
      <w:r w:rsidRPr="004073D7">
        <w:t xml:space="preserve">ELIZA (mean rank = </w:t>
      </w:r>
      <w:r>
        <w:t>47.88</w:t>
      </w:r>
      <w:r w:rsidRPr="004073D7">
        <w:t>)</w:t>
      </w:r>
      <w:r w:rsidRPr="00EC4BBE">
        <w:t xml:space="preserve"> were not statistically significantly different, </w:t>
      </w:r>
      <w:r w:rsidRPr="00CD4D78">
        <w:rPr>
          <w:i/>
        </w:rPr>
        <w:t>U</w:t>
      </w:r>
      <w:r w:rsidRPr="00EC4BBE">
        <w:t xml:space="preserve"> = </w:t>
      </w:r>
      <w:r>
        <w:t>1,123</w:t>
      </w:r>
      <w:r w:rsidRPr="00EC4BBE">
        <w:t>, </w:t>
      </w:r>
      <w:r w:rsidRPr="00CD4D78">
        <w:rPr>
          <w:i/>
        </w:rPr>
        <w:t>z</w:t>
      </w:r>
      <w:r w:rsidRPr="00EC4BBE">
        <w:t> = .</w:t>
      </w:r>
      <w:r>
        <w:t>138</w:t>
      </w:r>
      <w:r w:rsidRPr="00EC4BBE">
        <w:t>, </w:t>
      </w:r>
      <w:r w:rsidRPr="00CD4D78">
        <w:rPr>
          <w:i/>
        </w:rPr>
        <w:t>p</w:t>
      </w:r>
      <w:r w:rsidRPr="00EC4BBE">
        <w:t> = .</w:t>
      </w:r>
      <w:r>
        <w:t>890</w:t>
      </w:r>
      <w:r w:rsidRPr="00EC4BBE">
        <w:t>.</w:t>
      </w:r>
      <w:r>
        <w:t xml:space="preserve">  The result indicates that there were no between-group differences in depression at follow-up.</w:t>
      </w:r>
    </w:p>
    <w:p w14:paraId="115B7E81" w14:textId="5F540DAC" w:rsidR="00111E4D" w:rsidRPr="005474AA" w:rsidRDefault="00111E4D" w:rsidP="00111E4D">
      <w:r w:rsidRPr="00DE1D0E">
        <w:rPr>
          <w:noProof/>
        </w:rPr>
        <w:lastRenderedPageBreak/>
        <w:t>A Friedman test was run to determine if there were differences in</w:t>
      </w:r>
      <w:r w:rsidRPr="005474AA">
        <w:t xml:space="preserve"> </w:t>
      </w:r>
      <w:r>
        <w:t>depression</w:t>
      </w:r>
      <w:r w:rsidRPr="005474AA">
        <w:t xml:space="preserve"> </w:t>
      </w:r>
      <w:r>
        <w:t>between baseline, post-intervention and follow-up for MYLO</w:t>
      </w:r>
      <w:r w:rsidRPr="005474AA">
        <w:t xml:space="preserve">. </w:t>
      </w:r>
      <w:r>
        <w:t xml:space="preserve"> </w:t>
      </w:r>
      <w:r w:rsidRPr="005474AA">
        <w:t xml:space="preserve">Pairwise comparisons were performed (SPSS Statistics, 2012) with a Bonferroni correction for multiple comparisons. </w:t>
      </w:r>
      <w:r>
        <w:t xml:space="preserve"> Depression</w:t>
      </w:r>
      <w:r w:rsidRPr="005474AA">
        <w:t xml:space="preserve"> was statistically significantly different at the different time points during the </w:t>
      </w:r>
      <w:r>
        <w:t>MYLO intervention</w:t>
      </w:r>
      <w:r w:rsidRPr="005474AA">
        <w:t xml:space="preserve">, </w:t>
      </w:r>
      <w:proofErr w:type="gramStart"/>
      <w:r w:rsidRPr="005474AA">
        <w:t>χ</w:t>
      </w:r>
      <w:r w:rsidRPr="005474AA">
        <w:rPr>
          <w:vertAlign w:val="superscript"/>
        </w:rPr>
        <w:t>2</w:t>
      </w:r>
      <w:r w:rsidRPr="005474AA">
        <w:t>(</w:t>
      </w:r>
      <w:proofErr w:type="gramEnd"/>
      <w:r w:rsidRPr="005474AA">
        <w:t xml:space="preserve">2) = </w:t>
      </w:r>
      <w:r>
        <w:t>38</w:t>
      </w:r>
      <w:r w:rsidRPr="005474AA">
        <w:t>.</w:t>
      </w:r>
      <w:r>
        <w:t>392</w:t>
      </w:r>
      <w:r w:rsidRPr="005474AA">
        <w:t>, </w:t>
      </w:r>
      <w:r w:rsidRPr="00CD4D78">
        <w:rPr>
          <w:i/>
        </w:rPr>
        <w:t>p</w:t>
      </w:r>
      <w:r>
        <w:t xml:space="preserve"> &lt; </w:t>
      </w:r>
      <w:r w:rsidRPr="005474AA">
        <w:t>.</w:t>
      </w:r>
      <w:r>
        <w:t>001</w:t>
      </w:r>
      <w:r w:rsidRPr="005474AA">
        <w:t xml:space="preserve">. </w:t>
      </w:r>
      <w:r>
        <w:t xml:space="preserve"> </w:t>
      </w:r>
      <w:r w:rsidRPr="00DE1D0E">
        <w:rPr>
          <w:noProof/>
        </w:rPr>
        <w:t>Post hoc analysis revealed statistically significant differences in</w:t>
      </w:r>
      <w:r w:rsidRPr="005474AA">
        <w:t xml:space="preserve"> </w:t>
      </w:r>
      <w:r>
        <w:t>depression</w:t>
      </w:r>
      <w:r w:rsidRPr="005474AA">
        <w:t xml:space="preserve"> from </w:t>
      </w:r>
      <w:r>
        <w:t>baseline</w:t>
      </w:r>
      <w:r w:rsidRPr="005474AA">
        <w:t xml:space="preserve"> (</w:t>
      </w:r>
      <w:proofErr w:type="spellStart"/>
      <w:r w:rsidRPr="00762774">
        <w:rPr>
          <w:i/>
        </w:rPr>
        <w:t>Mdn</w:t>
      </w:r>
      <w:proofErr w:type="spellEnd"/>
      <w:r w:rsidRPr="005474AA">
        <w:t xml:space="preserve"> = </w:t>
      </w:r>
      <w:r>
        <w:t>6.00</w:t>
      </w:r>
      <w:r w:rsidRPr="005474AA">
        <w:t xml:space="preserve">) to </w:t>
      </w:r>
      <w:r>
        <w:t>follow-up</w:t>
      </w:r>
      <w:r w:rsidRPr="005474AA">
        <w:t xml:space="preserve"> (</w:t>
      </w:r>
      <w:proofErr w:type="spellStart"/>
      <w:r w:rsidRPr="00762774">
        <w:rPr>
          <w:i/>
        </w:rPr>
        <w:t>Mdn</w:t>
      </w:r>
      <w:proofErr w:type="spellEnd"/>
      <w:r w:rsidRPr="005474AA">
        <w:t xml:space="preserve"> = </w:t>
      </w:r>
      <w:r>
        <w:t>3.00</w:t>
      </w:r>
      <w:r w:rsidRPr="005474AA">
        <w:t>) (</w:t>
      </w:r>
      <w:r w:rsidRPr="00CD4D78">
        <w:rPr>
          <w:i/>
        </w:rPr>
        <w:t>p</w:t>
      </w:r>
      <w:r w:rsidRPr="005474AA">
        <w:t> &lt; .</w:t>
      </w:r>
      <w:r>
        <w:t>001</w:t>
      </w:r>
      <w:r w:rsidRPr="005474AA">
        <w:t xml:space="preserve">) and </w:t>
      </w:r>
      <w:r>
        <w:t xml:space="preserve">to </w:t>
      </w:r>
      <w:r w:rsidRPr="005474AA">
        <w:t>post-intervention (</w:t>
      </w:r>
      <w:proofErr w:type="spellStart"/>
      <w:r w:rsidRPr="00762774">
        <w:rPr>
          <w:i/>
        </w:rPr>
        <w:t>Mdn</w:t>
      </w:r>
      <w:proofErr w:type="spellEnd"/>
      <w:r w:rsidRPr="005474AA">
        <w:t xml:space="preserve"> = </w:t>
      </w:r>
      <w:r>
        <w:t>3.00</w:t>
      </w:r>
      <w:r w:rsidRPr="005474AA">
        <w:t>) (</w:t>
      </w:r>
      <w:r w:rsidRPr="00CD4D78">
        <w:rPr>
          <w:i/>
        </w:rPr>
        <w:t>p</w:t>
      </w:r>
      <w:proofErr w:type="gramStart"/>
      <w:r w:rsidRPr="005474AA">
        <w:t>  &lt;</w:t>
      </w:r>
      <w:proofErr w:type="gramEnd"/>
      <w:r w:rsidRPr="005474AA">
        <w:t xml:space="preserve"> .</w:t>
      </w:r>
      <w:r>
        <w:t>001</w:t>
      </w:r>
      <w:r w:rsidRPr="005474AA">
        <w:t xml:space="preserve">), but not post-intervention </w:t>
      </w:r>
      <w:r>
        <w:t>to</w:t>
      </w:r>
      <w:r w:rsidRPr="005474AA">
        <w:t xml:space="preserve"> </w:t>
      </w:r>
      <w:r>
        <w:t>follow-up</w:t>
      </w:r>
      <w:r w:rsidRPr="005474AA">
        <w:t>.</w:t>
      </w:r>
    </w:p>
    <w:p w14:paraId="7E10DB60" w14:textId="4DCBF313" w:rsidR="00111E4D" w:rsidRPr="005474AA" w:rsidRDefault="00111E4D" w:rsidP="00111E4D">
      <w:r w:rsidRPr="00DE1D0E">
        <w:rPr>
          <w:noProof/>
        </w:rPr>
        <w:t>A Friedman test was run to determine if there were differences in</w:t>
      </w:r>
      <w:r w:rsidRPr="005474AA">
        <w:t xml:space="preserve"> </w:t>
      </w:r>
      <w:r>
        <w:t>depression</w:t>
      </w:r>
      <w:r w:rsidRPr="005474AA">
        <w:t xml:space="preserve"> </w:t>
      </w:r>
      <w:r>
        <w:t>between baseline, post-intervention and follow-up for ELIZA</w:t>
      </w:r>
      <w:r w:rsidRPr="005474AA">
        <w:t>.</w:t>
      </w:r>
      <w:r>
        <w:t xml:space="preserve"> </w:t>
      </w:r>
      <w:r w:rsidRPr="005474AA">
        <w:t xml:space="preserve"> Pairwise comparisons were performed (SPSS Statistics, 2012) with a Bonferroni correction for multiple comparisons. </w:t>
      </w:r>
      <w:r>
        <w:t xml:space="preserve"> Depression</w:t>
      </w:r>
      <w:r w:rsidRPr="005474AA">
        <w:t xml:space="preserve"> was statistically significantly different at the different time points during the </w:t>
      </w:r>
      <w:r>
        <w:t>ELIZA intervention</w:t>
      </w:r>
      <w:r w:rsidRPr="005474AA">
        <w:t xml:space="preserve">, </w:t>
      </w:r>
      <w:proofErr w:type="gramStart"/>
      <w:r w:rsidRPr="005474AA">
        <w:t>χ</w:t>
      </w:r>
      <w:r w:rsidRPr="005474AA">
        <w:rPr>
          <w:vertAlign w:val="superscript"/>
        </w:rPr>
        <w:t>2</w:t>
      </w:r>
      <w:r w:rsidRPr="005474AA">
        <w:t>(</w:t>
      </w:r>
      <w:proofErr w:type="gramEnd"/>
      <w:r w:rsidRPr="005474AA">
        <w:t xml:space="preserve">2) = </w:t>
      </w:r>
      <w:r>
        <w:t>25</w:t>
      </w:r>
      <w:r w:rsidRPr="005474AA">
        <w:t>.</w:t>
      </w:r>
      <w:r>
        <w:t>000</w:t>
      </w:r>
      <w:r w:rsidRPr="005474AA">
        <w:t>, </w:t>
      </w:r>
      <w:r w:rsidRPr="00B659EF">
        <w:rPr>
          <w:i/>
        </w:rPr>
        <w:t>p</w:t>
      </w:r>
      <w:r w:rsidRPr="005474AA">
        <w:t> &lt; .</w:t>
      </w:r>
      <w:r>
        <w:t>001</w:t>
      </w:r>
      <w:r w:rsidRPr="005474AA">
        <w:t>.</w:t>
      </w:r>
      <w:r>
        <w:t xml:space="preserve"> </w:t>
      </w:r>
      <w:r w:rsidRPr="005474AA">
        <w:t xml:space="preserve"> </w:t>
      </w:r>
      <w:r w:rsidRPr="00DE1D0E">
        <w:rPr>
          <w:noProof/>
        </w:rPr>
        <w:t>Post hoc analysis revealed statistically significant differences in</w:t>
      </w:r>
      <w:r w:rsidRPr="005474AA">
        <w:t xml:space="preserve"> </w:t>
      </w:r>
      <w:r>
        <w:t>depression</w:t>
      </w:r>
      <w:r w:rsidRPr="005474AA">
        <w:t xml:space="preserve"> from </w:t>
      </w:r>
      <w:r>
        <w:t>baseline</w:t>
      </w:r>
      <w:r w:rsidRPr="005474AA">
        <w:t xml:space="preserve"> (</w:t>
      </w:r>
      <w:proofErr w:type="spellStart"/>
      <w:r w:rsidRPr="007C1571">
        <w:rPr>
          <w:i/>
        </w:rPr>
        <w:t>Mdn</w:t>
      </w:r>
      <w:proofErr w:type="spellEnd"/>
      <w:r w:rsidRPr="005474AA">
        <w:t xml:space="preserve"> = </w:t>
      </w:r>
      <w:r>
        <w:t>6.00</w:t>
      </w:r>
      <w:r w:rsidRPr="005474AA">
        <w:t xml:space="preserve">) to </w:t>
      </w:r>
      <w:r>
        <w:t>follow-up</w:t>
      </w:r>
      <w:r w:rsidRPr="005474AA">
        <w:t xml:space="preserve"> (</w:t>
      </w:r>
      <w:proofErr w:type="spellStart"/>
      <w:r w:rsidRPr="007C1571">
        <w:rPr>
          <w:i/>
        </w:rPr>
        <w:t>Mdn</w:t>
      </w:r>
      <w:proofErr w:type="spellEnd"/>
      <w:r w:rsidRPr="005474AA">
        <w:t xml:space="preserve"> = </w:t>
      </w:r>
      <w:r>
        <w:t>4.00</w:t>
      </w:r>
      <w:r w:rsidRPr="005474AA">
        <w:t>) (</w:t>
      </w:r>
      <w:r w:rsidRPr="007C1571">
        <w:rPr>
          <w:i/>
        </w:rPr>
        <w:t>p</w:t>
      </w:r>
      <w:r w:rsidRPr="005474AA">
        <w:t> &lt; .</w:t>
      </w:r>
      <w:r>
        <w:t>001</w:t>
      </w:r>
      <w:r w:rsidRPr="005474AA">
        <w:t xml:space="preserve">) and </w:t>
      </w:r>
      <w:r>
        <w:t xml:space="preserve">to </w:t>
      </w:r>
      <w:r w:rsidRPr="005474AA">
        <w:t>post-intervention (</w:t>
      </w:r>
      <w:proofErr w:type="spellStart"/>
      <w:r w:rsidRPr="007C1571">
        <w:rPr>
          <w:i/>
        </w:rPr>
        <w:t>Mdn</w:t>
      </w:r>
      <w:proofErr w:type="spellEnd"/>
      <w:r w:rsidRPr="005474AA">
        <w:t xml:space="preserve"> = </w:t>
      </w:r>
      <w:r>
        <w:t>5.00</w:t>
      </w:r>
      <w:r w:rsidRPr="005474AA">
        <w:t>) (</w:t>
      </w:r>
      <w:r w:rsidRPr="007C1571">
        <w:rPr>
          <w:i/>
        </w:rPr>
        <w:t>p</w:t>
      </w:r>
      <w:proofErr w:type="gramStart"/>
      <w:r w:rsidRPr="005474AA">
        <w:t>  &lt;</w:t>
      </w:r>
      <w:proofErr w:type="gramEnd"/>
      <w:r w:rsidRPr="005474AA">
        <w:t xml:space="preserve"> .</w:t>
      </w:r>
      <w:r>
        <w:t>001</w:t>
      </w:r>
      <w:r w:rsidRPr="005474AA">
        <w:t xml:space="preserve">), but not post-intervention </w:t>
      </w:r>
      <w:r>
        <w:t>to</w:t>
      </w:r>
      <w:r w:rsidRPr="005474AA">
        <w:t xml:space="preserve"> </w:t>
      </w:r>
      <w:r>
        <w:t>follow-up</w:t>
      </w:r>
      <w:r w:rsidRPr="005474AA">
        <w:t>.</w:t>
      </w:r>
    </w:p>
    <w:p w14:paraId="67BCE924" w14:textId="77777777" w:rsidR="00111E4D" w:rsidRDefault="00111E4D" w:rsidP="00111E4D">
      <w:pPr>
        <w:pStyle w:val="Heading4"/>
      </w:pPr>
      <w:r>
        <w:t>Anxiety</w:t>
      </w:r>
    </w:p>
    <w:p w14:paraId="5548F274" w14:textId="77777777" w:rsidR="00111E4D" w:rsidRDefault="00111E4D" w:rsidP="00111E4D">
      <w:r w:rsidRPr="00DE1D0E">
        <w:rPr>
          <w:noProof/>
        </w:rPr>
        <w:t>A Mann-Whitney U test was run to determine if there were differences in</w:t>
      </w:r>
      <w:r w:rsidRPr="00B934D4">
        <w:t xml:space="preserve"> </w:t>
      </w:r>
      <w:r>
        <w:t>baseline anxiety</w:t>
      </w:r>
      <w:r w:rsidRPr="00EC4BBE">
        <w:t xml:space="preserve"> </w:t>
      </w:r>
      <w:r w:rsidRPr="00B934D4">
        <w:t xml:space="preserve">between </w:t>
      </w:r>
      <w:r>
        <w:t>MYLO</w:t>
      </w:r>
      <w:r w:rsidRPr="00B934D4">
        <w:t xml:space="preserve"> and </w:t>
      </w:r>
      <w:r>
        <w:t>ELIZA</w:t>
      </w:r>
      <w:r w:rsidRPr="00B934D4">
        <w:t xml:space="preserve">. </w:t>
      </w:r>
      <w:r>
        <w:t xml:space="preserve"> </w:t>
      </w:r>
      <w:r w:rsidRPr="00B934D4">
        <w:t xml:space="preserve">Distributions of the </w:t>
      </w:r>
      <w:r>
        <w:t>anxiety</w:t>
      </w:r>
      <w:r w:rsidRPr="00EC4BBE">
        <w:t xml:space="preserve"> </w:t>
      </w:r>
      <w:r w:rsidRPr="004073D7">
        <w:t xml:space="preserve">for MYLO and ELIZA were not similar, as assessed by visual inspection.  </w:t>
      </w:r>
      <w:r>
        <w:t>Baseline anxiety</w:t>
      </w:r>
      <w:r w:rsidRPr="00EC4BBE">
        <w:t xml:space="preserve"> for </w:t>
      </w:r>
      <w:r w:rsidRPr="004073D7">
        <w:t xml:space="preserve">MYLO (mean rank = </w:t>
      </w:r>
      <w:r>
        <w:t>46.69)</w:t>
      </w:r>
      <w:r w:rsidRPr="00EC4BBE">
        <w:t xml:space="preserve"> and </w:t>
      </w:r>
      <w:r w:rsidRPr="004073D7">
        <w:t xml:space="preserve">ELIZA (mean rank = </w:t>
      </w:r>
      <w:r>
        <w:t>48.31</w:t>
      </w:r>
      <w:r w:rsidRPr="004073D7">
        <w:t>)</w:t>
      </w:r>
      <w:r w:rsidRPr="00EC4BBE">
        <w:t xml:space="preserve"> were not statistically significantly different, </w:t>
      </w:r>
      <w:r w:rsidRPr="001A4031">
        <w:rPr>
          <w:i/>
        </w:rPr>
        <w:t>U</w:t>
      </w:r>
      <w:r w:rsidRPr="00EC4BBE">
        <w:t xml:space="preserve"> = </w:t>
      </w:r>
      <w:r>
        <w:t>1,142</w:t>
      </w:r>
      <w:r w:rsidRPr="00EC4BBE">
        <w:t>, </w:t>
      </w:r>
      <w:r w:rsidRPr="001A4031">
        <w:rPr>
          <w:i/>
        </w:rPr>
        <w:t>z</w:t>
      </w:r>
      <w:r w:rsidRPr="00EC4BBE">
        <w:t> = .</w:t>
      </w:r>
      <w:r>
        <w:t>295</w:t>
      </w:r>
      <w:r w:rsidRPr="00EC4BBE">
        <w:t>, </w:t>
      </w:r>
      <w:r w:rsidRPr="001A4031">
        <w:rPr>
          <w:i/>
        </w:rPr>
        <w:t>p</w:t>
      </w:r>
      <w:r w:rsidRPr="00EC4BBE">
        <w:t> = .</w:t>
      </w:r>
      <w:r>
        <w:t>768</w:t>
      </w:r>
      <w:r w:rsidRPr="00EC4BBE">
        <w:t>.</w:t>
      </w:r>
      <w:r>
        <w:t xml:space="preserve">  The result indicates that there were no between-group differences in anxiety</w:t>
      </w:r>
      <w:r w:rsidRPr="00EC4BBE">
        <w:t xml:space="preserve"> </w:t>
      </w:r>
      <w:r>
        <w:t>at baseline.</w:t>
      </w:r>
    </w:p>
    <w:p w14:paraId="6A8A26F4" w14:textId="6DCA577E" w:rsidR="00111E4D" w:rsidRDefault="00111E4D" w:rsidP="00111E4D">
      <w:r w:rsidRPr="00DE1D0E">
        <w:rPr>
          <w:noProof/>
        </w:rPr>
        <w:t>A Mann-Whitney U test was run to determine if there were differences in</w:t>
      </w:r>
      <w:r w:rsidRPr="00B934D4">
        <w:t xml:space="preserve"> </w:t>
      </w:r>
      <w:r>
        <w:t>post-intervention anxiety</w:t>
      </w:r>
      <w:r w:rsidRPr="00EC4BBE">
        <w:t xml:space="preserve"> </w:t>
      </w:r>
      <w:r w:rsidRPr="00B934D4">
        <w:t xml:space="preserve">between </w:t>
      </w:r>
      <w:r>
        <w:t>MYLO</w:t>
      </w:r>
      <w:r w:rsidRPr="00B934D4">
        <w:t xml:space="preserve"> and </w:t>
      </w:r>
      <w:r>
        <w:t>ELIZA</w:t>
      </w:r>
      <w:r w:rsidR="00554CB4">
        <w:t xml:space="preserve">.  </w:t>
      </w:r>
      <w:r w:rsidRPr="00B934D4">
        <w:t xml:space="preserve">Distributions of the </w:t>
      </w:r>
      <w:r>
        <w:t>post-intervention anxiety</w:t>
      </w:r>
      <w:r w:rsidRPr="00EC4BBE">
        <w:t xml:space="preserve"> </w:t>
      </w:r>
      <w:r w:rsidRPr="004073D7">
        <w:t xml:space="preserve">for MYLO and ELIZA were not similar, as assessed by visual inspection.  </w:t>
      </w:r>
      <w:r>
        <w:t>Post-intervention anxiety</w:t>
      </w:r>
      <w:r w:rsidRPr="00EC4BBE">
        <w:t xml:space="preserve"> for </w:t>
      </w:r>
      <w:r w:rsidRPr="004073D7">
        <w:t xml:space="preserve">MYLO (mean rank = </w:t>
      </w:r>
      <w:r>
        <w:t>48.03)</w:t>
      </w:r>
      <w:r w:rsidRPr="00EC4BBE">
        <w:t xml:space="preserve"> and </w:t>
      </w:r>
      <w:r w:rsidRPr="004073D7">
        <w:t xml:space="preserve">ELIZA (mean rank = </w:t>
      </w:r>
      <w:r>
        <w:t>46.97</w:t>
      </w:r>
      <w:r w:rsidRPr="004073D7">
        <w:t>)</w:t>
      </w:r>
      <w:r w:rsidRPr="00EC4BBE">
        <w:t xml:space="preserve"> were not statistically significantly different, </w:t>
      </w:r>
      <w:r w:rsidRPr="00B4744C">
        <w:rPr>
          <w:i/>
        </w:rPr>
        <w:t>U</w:t>
      </w:r>
      <w:r w:rsidRPr="00EC4BBE">
        <w:t xml:space="preserve"> = </w:t>
      </w:r>
      <w:r>
        <w:t>1,079,</w:t>
      </w:r>
      <w:r w:rsidRPr="00EC4BBE">
        <w:t> </w:t>
      </w:r>
      <w:r w:rsidRPr="00B4744C">
        <w:rPr>
          <w:i/>
        </w:rPr>
        <w:t>z</w:t>
      </w:r>
      <w:r w:rsidRPr="00EC4BBE">
        <w:t xml:space="preserve"> = </w:t>
      </w:r>
      <w:r>
        <w:t>-</w:t>
      </w:r>
      <w:r w:rsidRPr="00EC4BBE">
        <w:t>.</w:t>
      </w:r>
      <w:r>
        <w:t>202</w:t>
      </w:r>
      <w:r w:rsidRPr="00EC4BBE">
        <w:t>, </w:t>
      </w:r>
      <w:r w:rsidRPr="00B4744C">
        <w:rPr>
          <w:i/>
        </w:rPr>
        <w:t>p</w:t>
      </w:r>
      <w:r w:rsidRPr="00EC4BBE">
        <w:t> = .</w:t>
      </w:r>
      <w:r>
        <w:t>840</w:t>
      </w:r>
      <w:r w:rsidRPr="00EC4BBE">
        <w:t>.</w:t>
      </w:r>
      <w:r>
        <w:t xml:space="preserve">  The result indicates that there were no between-group differences in anxiety</w:t>
      </w:r>
      <w:r w:rsidRPr="00EC4BBE">
        <w:t xml:space="preserve"> </w:t>
      </w:r>
      <w:r>
        <w:t>at post-intervention.</w:t>
      </w:r>
    </w:p>
    <w:p w14:paraId="51053E2C" w14:textId="77777777" w:rsidR="00111E4D" w:rsidRDefault="00111E4D" w:rsidP="00111E4D">
      <w:r w:rsidRPr="00DE1D0E">
        <w:rPr>
          <w:noProof/>
        </w:rPr>
        <w:t>A Mann-Whitney U test was run to determine if there were differences in</w:t>
      </w:r>
      <w:r w:rsidRPr="00B934D4">
        <w:t xml:space="preserve"> </w:t>
      </w:r>
      <w:r>
        <w:t>follow-up anxiety</w:t>
      </w:r>
      <w:r w:rsidRPr="00EC4BBE">
        <w:t xml:space="preserve"> </w:t>
      </w:r>
      <w:r w:rsidRPr="00B934D4">
        <w:t xml:space="preserve">between </w:t>
      </w:r>
      <w:r>
        <w:t>MYLO</w:t>
      </w:r>
      <w:r w:rsidRPr="00B934D4">
        <w:t xml:space="preserve"> and </w:t>
      </w:r>
      <w:r>
        <w:t>ELIZA</w:t>
      </w:r>
      <w:r w:rsidRPr="00B934D4">
        <w:t xml:space="preserve">. </w:t>
      </w:r>
      <w:r>
        <w:t xml:space="preserve"> </w:t>
      </w:r>
      <w:r w:rsidRPr="00B934D4">
        <w:t xml:space="preserve">Distributions of the </w:t>
      </w:r>
      <w:r>
        <w:t>follow-up anxiety</w:t>
      </w:r>
      <w:r w:rsidRPr="00EC4BBE">
        <w:t xml:space="preserve"> </w:t>
      </w:r>
      <w:r w:rsidRPr="004073D7">
        <w:t xml:space="preserve">for MYLO and ELIZA were not similar, as assessed by visual inspection.  </w:t>
      </w:r>
      <w:r>
        <w:t>Follow-up anxiety</w:t>
      </w:r>
      <w:r w:rsidRPr="00EC4BBE">
        <w:t xml:space="preserve"> for </w:t>
      </w:r>
      <w:r w:rsidRPr="004073D7">
        <w:t xml:space="preserve">MYLO (mean rank = </w:t>
      </w:r>
      <w:r>
        <w:t>48.26)</w:t>
      </w:r>
      <w:r w:rsidRPr="00EC4BBE">
        <w:t xml:space="preserve"> and </w:t>
      </w:r>
      <w:r w:rsidRPr="004073D7">
        <w:t xml:space="preserve">ELIZA (mean rank = </w:t>
      </w:r>
      <w:r>
        <w:t>46.74</w:t>
      </w:r>
      <w:r w:rsidRPr="004073D7">
        <w:t>)</w:t>
      </w:r>
      <w:r w:rsidRPr="00EC4BBE">
        <w:t xml:space="preserve"> were not statistically significantly different, </w:t>
      </w:r>
      <w:r w:rsidRPr="00B4744C">
        <w:rPr>
          <w:i/>
        </w:rPr>
        <w:t>U</w:t>
      </w:r>
      <w:r w:rsidRPr="00EC4BBE">
        <w:t xml:space="preserve"> = </w:t>
      </w:r>
      <w:r>
        <w:t>1,140</w:t>
      </w:r>
      <w:r w:rsidRPr="00EC4BBE">
        <w:t>, </w:t>
      </w:r>
      <w:r w:rsidRPr="00B4744C">
        <w:rPr>
          <w:i/>
        </w:rPr>
        <w:t>z</w:t>
      </w:r>
      <w:r w:rsidRPr="00EC4BBE">
        <w:t> = .</w:t>
      </w:r>
      <w:r>
        <w:t>289</w:t>
      </w:r>
      <w:r w:rsidRPr="00EC4BBE">
        <w:t>, </w:t>
      </w:r>
      <w:r w:rsidRPr="00B4744C">
        <w:rPr>
          <w:i/>
        </w:rPr>
        <w:t>p</w:t>
      </w:r>
      <w:r w:rsidRPr="00EC4BBE">
        <w:t> = .</w:t>
      </w:r>
      <w:r>
        <w:t>773</w:t>
      </w:r>
      <w:r w:rsidRPr="00EC4BBE">
        <w:t>.</w:t>
      </w:r>
      <w:r>
        <w:t xml:space="preserve">  The result indicates that there were no between-group differences in anxiety</w:t>
      </w:r>
      <w:r w:rsidRPr="00EC4BBE">
        <w:t xml:space="preserve"> </w:t>
      </w:r>
      <w:r>
        <w:t>at follow-up.</w:t>
      </w:r>
    </w:p>
    <w:p w14:paraId="512F0E87" w14:textId="77777777" w:rsidR="00111E4D" w:rsidRPr="005474AA" w:rsidRDefault="00111E4D" w:rsidP="00111E4D">
      <w:r w:rsidRPr="00DE1D0E">
        <w:rPr>
          <w:noProof/>
        </w:rPr>
        <w:t>A Friedman test was run to determine if there were differences in</w:t>
      </w:r>
      <w:r w:rsidRPr="005474AA">
        <w:t xml:space="preserve"> </w:t>
      </w:r>
      <w:r>
        <w:t>anxiety</w:t>
      </w:r>
      <w:r w:rsidRPr="005474AA">
        <w:t xml:space="preserve"> </w:t>
      </w:r>
      <w:r>
        <w:t>between baseline, post</w:t>
      </w:r>
      <w:r>
        <w:noBreakHyphen/>
        <w:t>intervention and follow-up for MYLO</w:t>
      </w:r>
      <w:r w:rsidRPr="005474AA">
        <w:t xml:space="preserve">. </w:t>
      </w:r>
      <w:r>
        <w:t xml:space="preserve"> </w:t>
      </w:r>
      <w:r w:rsidRPr="005474AA">
        <w:t xml:space="preserve">Pairwise comparisons were performed (SPSS Statistics, 2012) with a Bonferroni correction for multiple comparisons. </w:t>
      </w:r>
      <w:r>
        <w:t xml:space="preserve"> Anxiety</w:t>
      </w:r>
      <w:r w:rsidRPr="005474AA">
        <w:t xml:space="preserve"> was statistically significantly different at the different time points during the </w:t>
      </w:r>
      <w:r>
        <w:t>MYLO intervention</w:t>
      </w:r>
      <w:r w:rsidRPr="005474AA">
        <w:t xml:space="preserve">, </w:t>
      </w:r>
      <w:proofErr w:type="gramStart"/>
      <w:r w:rsidRPr="005474AA">
        <w:t>χ</w:t>
      </w:r>
      <w:r w:rsidRPr="005474AA">
        <w:rPr>
          <w:vertAlign w:val="superscript"/>
        </w:rPr>
        <w:t>2</w:t>
      </w:r>
      <w:r w:rsidRPr="005474AA">
        <w:t>(</w:t>
      </w:r>
      <w:proofErr w:type="gramEnd"/>
      <w:r w:rsidRPr="005474AA">
        <w:t xml:space="preserve">2) = </w:t>
      </w:r>
      <w:r>
        <w:t>9.125</w:t>
      </w:r>
      <w:r w:rsidRPr="005474AA">
        <w:t>, </w:t>
      </w:r>
      <w:r w:rsidRPr="00B4744C">
        <w:rPr>
          <w:i/>
        </w:rPr>
        <w:t>p</w:t>
      </w:r>
      <w:r w:rsidRPr="005474AA">
        <w:t> </w:t>
      </w:r>
      <w:r>
        <w:t xml:space="preserve">= </w:t>
      </w:r>
      <w:r w:rsidRPr="005474AA">
        <w:t>.</w:t>
      </w:r>
      <w:r>
        <w:t>010</w:t>
      </w:r>
      <w:r w:rsidRPr="005474AA">
        <w:t xml:space="preserve">. </w:t>
      </w:r>
      <w:r>
        <w:t xml:space="preserve"> </w:t>
      </w:r>
      <w:r w:rsidRPr="005474AA">
        <w:t xml:space="preserve">Post hoc analysis revealed </w:t>
      </w:r>
      <w:r>
        <w:t xml:space="preserve">no </w:t>
      </w:r>
      <w:r w:rsidRPr="005474AA">
        <w:t xml:space="preserve">statistically significant differences in </w:t>
      </w:r>
      <w:r>
        <w:t>anxiety</w:t>
      </w:r>
      <w:r w:rsidRPr="005474AA">
        <w:t xml:space="preserve"> from </w:t>
      </w:r>
      <w:r>
        <w:t xml:space="preserve">baseline </w:t>
      </w:r>
      <w:r w:rsidRPr="005474AA">
        <w:t xml:space="preserve">to </w:t>
      </w:r>
      <w:r>
        <w:t>follow-up or post</w:t>
      </w:r>
      <w:r>
        <w:noBreakHyphen/>
      </w:r>
      <w:r w:rsidRPr="005474AA">
        <w:t>intervention</w:t>
      </w:r>
      <w:r>
        <w:t>, or</w:t>
      </w:r>
      <w:r w:rsidRPr="005474AA">
        <w:t xml:space="preserve"> post-intervention </w:t>
      </w:r>
      <w:r>
        <w:t>to</w:t>
      </w:r>
      <w:r w:rsidRPr="005474AA">
        <w:t xml:space="preserve"> </w:t>
      </w:r>
      <w:r>
        <w:t>follow-up</w:t>
      </w:r>
      <w:r w:rsidRPr="005474AA">
        <w:t>.</w:t>
      </w:r>
    </w:p>
    <w:p w14:paraId="154D2424" w14:textId="2438F4E0" w:rsidR="00111E4D" w:rsidRPr="005474AA" w:rsidRDefault="00111E4D" w:rsidP="00111E4D">
      <w:r w:rsidRPr="00DE1D0E">
        <w:rPr>
          <w:noProof/>
        </w:rPr>
        <w:t>A Friedman test was run to determine if there were differences in</w:t>
      </w:r>
      <w:r w:rsidRPr="005474AA">
        <w:t xml:space="preserve"> </w:t>
      </w:r>
      <w:r>
        <w:t>anxiety</w:t>
      </w:r>
      <w:r w:rsidRPr="005474AA">
        <w:t xml:space="preserve"> </w:t>
      </w:r>
      <w:r>
        <w:t>between baseline, post</w:t>
      </w:r>
      <w:r>
        <w:noBreakHyphen/>
        <w:t>intervention and follow-up for ELIZA</w:t>
      </w:r>
      <w:r w:rsidRPr="005474AA">
        <w:t xml:space="preserve">. </w:t>
      </w:r>
      <w:r>
        <w:t xml:space="preserve"> </w:t>
      </w:r>
      <w:r w:rsidRPr="005474AA">
        <w:t xml:space="preserve">Pairwise comparisons were performed (SPSS Statistics, 2012) with a Bonferroni </w:t>
      </w:r>
      <w:r w:rsidRPr="005474AA">
        <w:lastRenderedPageBreak/>
        <w:t xml:space="preserve">correction for multiple comparisons. </w:t>
      </w:r>
      <w:r>
        <w:t xml:space="preserve"> Anxiety</w:t>
      </w:r>
      <w:r w:rsidRPr="005474AA">
        <w:t xml:space="preserve"> was statistically significantly different at the different time points during the </w:t>
      </w:r>
      <w:r>
        <w:t>ELIZA intervention</w:t>
      </w:r>
      <w:r w:rsidRPr="005474AA">
        <w:t xml:space="preserve">, </w:t>
      </w:r>
      <w:proofErr w:type="gramStart"/>
      <w:r w:rsidRPr="005474AA">
        <w:t>χ</w:t>
      </w:r>
      <w:r w:rsidRPr="005474AA">
        <w:rPr>
          <w:vertAlign w:val="superscript"/>
        </w:rPr>
        <w:t>2</w:t>
      </w:r>
      <w:r w:rsidRPr="005474AA">
        <w:t>(</w:t>
      </w:r>
      <w:proofErr w:type="gramEnd"/>
      <w:r w:rsidRPr="005474AA">
        <w:t xml:space="preserve">2) = </w:t>
      </w:r>
      <w:r>
        <w:t>11</w:t>
      </w:r>
      <w:r w:rsidRPr="005474AA">
        <w:t>.</w:t>
      </w:r>
      <w:r>
        <w:t>400</w:t>
      </w:r>
      <w:r w:rsidRPr="005474AA">
        <w:t>, </w:t>
      </w:r>
      <w:r w:rsidRPr="00B4744C">
        <w:rPr>
          <w:i/>
        </w:rPr>
        <w:t>p</w:t>
      </w:r>
      <w:r w:rsidRPr="005474AA">
        <w:t> </w:t>
      </w:r>
      <w:r>
        <w:t>= .003</w:t>
      </w:r>
      <w:r w:rsidRPr="005474AA">
        <w:t>.</w:t>
      </w:r>
      <w:r>
        <w:t xml:space="preserve">  </w:t>
      </w:r>
      <w:r w:rsidRPr="00DE1D0E">
        <w:rPr>
          <w:noProof/>
        </w:rPr>
        <w:t>Post hoc analysis revealed statistically significant differences in</w:t>
      </w:r>
      <w:r w:rsidRPr="005474AA">
        <w:t xml:space="preserve"> </w:t>
      </w:r>
      <w:r>
        <w:t>anxiety</w:t>
      </w:r>
      <w:r w:rsidRPr="005474AA">
        <w:t xml:space="preserve"> from </w:t>
      </w:r>
      <w:r>
        <w:t>baseline</w:t>
      </w:r>
      <w:r w:rsidRPr="005474AA">
        <w:t xml:space="preserve"> (</w:t>
      </w:r>
      <w:proofErr w:type="spellStart"/>
      <w:r w:rsidRPr="00B4744C">
        <w:rPr>
          <w:i/>
        </w:rPr>
        <w:t>Mdn</w:t>
      </w:r>
      <w:proofErr w:type="spellEnd"/>
      <w:r w:rsidRPr="005474AA">
        <w:t xml:space="preserve"> = </w:t>
      </w:r>
      <w:r>
        <w:t>2.00</w:t>
      </w:r>
      <w:r w:rsidRPr="005474AA">
        <w:t>) (</w:t>
      </w:r>
      <w:r w:rsidRPr="00B4744C">
        <w:rPr>
          <w:i/>
        </w:rPr>
        <w:t>p</w:t>
      </w:r>
      <w:proofErr w:type="gramStart"/>
      <w:r w:rsidRPr="005474AA">
        <w:t>  &lt;</w:t>
      </w:r>
      <w:proofErr w:type="gramEnd"/>
      <w:r w:rsidRPr="005474AA">
        <w:t xml:space="preserve"> .</w:t>
      </w:r>
      <w:r>
        <w:t>001</w:t>
      </w:r>
      <w:r w:rsidRPr="005474AA">
        <w:t xml:space="preserve">) to </w:t>
      </w:r>
      <w:r>
        <w:t xml:space="preserve">post-intervention </w:t>
      </w:r>
      <w:r w:rsidRPr="005474AA">
        <w:t>(</w:t>
      </w:r>
      <w:proofErr w:type="spellStart"/>
      <w:r w:rsidRPr="00B4744C">
        <w:rPr>
          <w:i/>
        </w:rPr>
        <w:t>Mdn</w:t>
      </w:r>
      <w:proofErr w:type="spellEnd"/>
      <w:r w:rsidRPr="005474AA">
        <w:t xml:space="preserve"> = </w:t>
      </w:r>
      <w:r>
        <w:t>4.00</w:t>
      </w:r>
      <w:r w:rsidRPr="005474AA">
        <w:t xml:space="preserve">), but not </w:t>
      </w:r>
      <w:r>
        <w:t>baseline</w:t>
      </w:r>
      <w:r w:rsidRPr="005474AA">
        <w:t xml:space="preserve"> to </w:t>
      </w:r>
      <w:r>
        <w:t>follow-up</w:t>
      </w:r>
      <w:r w:rsidRPr="005474AA">
        <w:t xml:space="preserve"> </w:t>
      </w:r>
      <w:r>
        <w:t>or</w:t>
      </w:r>
      <w:r w:rsidRPr="005474AA">
        <w:t xml:space="preserve"> post-intervention </w:t>
      </w:r>
      <w:r>
        <w:t>to</w:t>
      </w:r>
      <w:r w:rsidRPr="005474AA">
        <w:t xml:space="preserve"> </w:t>
      </w:r>
      <w:r>
        <w:t>follow-up</w:t>
      </w:r>
      <w:r w:rsidRPr="005474AA">
        <w:t>.</w:t>
      </w:r>
    </w:p>
    <w:p w14:paraId="4B703D6A" w14:textId="77777777" w:rsidR="00111E4D" w:rsidRDefault="00111E4D" w:rsidP="00111E4D">
      <w:pPr>
        <w:pStyle w:val="Heading4"/>
      </w:pPr>
      <w:r>
        <w:t>Stress</w:t>
      </w:r>
    </w:p>
    <w:p w14:paraId="2BF0D829" w14:textId="77777777" w:rsidR="00111E4D" w:rsidRDefault="00111E4D" w:rsidP="00111E4D">
      <w:r w:rsidRPr="00DE1D0E">
        <w:rPr>
          <w:noProof/>
        </w:rPr>
        <w:t>A Mann-Whitney U test was run to determine if there were differences in</w:t>
      </w:r>
      <w:r w:rsidRPr="00B934D4">
        <w:t xml:space="preserve"> </w:t>
      </w:r>
      <w:r>
        <w:t>baseline stress</w:t>
      </w:r>
      <w:r w:rsidRPr="00EC4BBE">
        <w:t xml:space="preserve"> </w:t>
      </w:r>
      <w:r w:rsidRPr="00B934D4">
        <w:t xml:space="preserve">between </w:t>
      </w:r>
      <w:r>
        <w:t>MYLO</w:t>
      </w:r>
      <w:r w:rsidRPr="00B934D4">
        <w:t xml:space="preserve"> and </w:t>
      </w:r>
      <w:r>
        <w:t>ELIZA</w:t>
      </w:r>
      <w:r w:rsidRPr="00B934D4">
        <w:t xml:space="preserve">. </w:t>
      </w:r>
      <w:r>
        <w:t xml:space="preserve"> </w:t>
      </w:r>
      <w:r w:rsidRPr="00B934D4">
        <w:t xml:space="preserve">Distributions of the </w:t>
      </w:r>
      <w:r>
        <w:t>stress</w:t>
      </w:r>
      <w:r w:rsidRPr="00EC4BBE">
        <w:t xml:space="preserve"> </w:t>
      </w:r>
      <w:r w:rsidRPr="004073D7">
        <w:t xml:space="preserve">for MYLO and ELIZA were not similar, as assessed by visual inspection.  </w:t>
      </w:r>
      <w:r>
        <w:t>Baseline stress</w:t>
      </w:r>
      <w:r w:rsidRPr="00EC4BBE">
        <w:t xml:space="preserve"> for </w:t>
      </w:r>
      <w:r w:rsidRPr="004073D7">
        <w:t xml:space="preserve">MYLO (mean rank = </w:t>
      </w:r>
      <w:r>
        <w:t>45.21)</w:t>
      </w:r>
      <w:r w:rsidRPr="00EC4BBE">
        <w:t xml:space="preserve"> and </w:t>
      </w:r>
      <w:r w:rsidRPr="004073D7">
        <w:t xml:space="preserve">ELIZA (mean rank = </w:t>
      </w:r>
      <w:r>
        <w:t>49.79</w:t>
      </w:r>
      <w:r w:rsidRPr="004073D7">
        <w:t>)</w:t>
      </w:r>
      <w:r w:rsidRPr="00EC4BBE">
        <w:t xml:space="preserve"> were not statistically significantly different, </w:t>
      </w:r>
      <w:r w:rsidRPr="00F37CF4">
        <w:rPr>
          <w:i/>
        </w:rPr>
        <w:t>U</w:t>
      </w:r>
      <w:r w:rsidRPr="00EC4BBE">
        <w:t xml:space="preserve"> = </w:t>
      </w:r>
      <w:r>
        <w:t>1,212</w:t>
      </w:r>
      <w:r w:rsidRPr="00EC4BBE">
        <w:t>, </w:t>
      </w:r>
      <w:r w:rsidRPr="00F37CF4">
        <w:rPr>
          <w:i/>
        </w:rPr>
        <w:t>z</w:t>
      </w:r>
      <w:r w:rsidRPr="00EC4BBE">
        <w:t> = .</w:t>
      </w:r>
      <w:r>
        <w:t>815</w:t>
      </w:r>
      <w:r w:rsidRPr="00EC4BBE">
        <w:t>, </w:t>
      </w:r>
      <w:r w:rsidRPr="00F37CF4">
        <w:rPr>
          <w:i/>
        </w:rPr>
        <w:t>p</w:t>
      </w:r>
      <w:r w:rsidRPr="00EC4BBE">
        <w:t> = .</w:t>
      </w:r>
      <w:r>
        <w:t>415</w:t>
      </w:r>
      <w:r w:rsidRPr="00EC4BBE">
        <w:t>.</w:t>
      </w:r>
      <w:r>
        <w:t xml:space="preserve">  The result indicates that there were no between-group differences in stress</w:t>
      </w:r>
      <w:r w:rsidRPr="00EC4BBE">
        <w:t xml:space="preserve"> </w:t>
      </w:r>
      <w:r>
        <w:t>at baseline.</w:t>
      </w:r>
    </w:p>
    <w:p w14:paraId="51A16FC4" w14:textId="77777777" w:rsidR="00111E4D" w:rsidRDefault="00111E4D" w:rsidP="00111E4D">
      <w:r w:rsidRPr="00DE1D0E">
        <w:rPr>
          <w:noProof/>
        </w:rPr>
        <w:t>A Mann-Whitney U test was run to determine if there were differences in</w:t>
      </w:r>
      <w:r w:rsidRPr="00B934D4">
        <w:t xml:space="preserve"> </w:t>
      </w:r>
      <w:r>
        <w:t>post-intervention stress</w:t>
      </w:r>
      <w:r w:rsidRPr="00EC4BBE">
        <w:t xml:space="preserve"> </w:t>
      </w:r>
      <w:r w:rsidRPr="00B934D4">
        <w:t xml:space="preserve">between </w:t>
      </w:r>
      <w:r>
        <w:t>MYLO</w:t>
      </w:r>
      <w:r w:rsidRPr="00B934D4">
        <w:t xml:space="preserve"> and </w:t>
      </w:r>
      <w:r>
        <w:t>ELIZA</w:t>
      </w:r>
      <w:r w:rsidRPr="00B934D4">
        <w:t xml:space="preserve">. </w:t>
      </w:r>
      <w:r>
        <w:t xml:space="preserve"> </w:t>
      </w:r>
      <w:r w:rsidRPr="00B934D4">
        <w:t xml:space="preserve">Distributions of the </w:t>
      </w:r>
      <w:r>
        <w:t>post-intervention stress</w:t>
      </w:r>
      <w:r w:rsidRPr="00EC4BBE">
        <w:t xml:space="preserve"> </w:t>
      </w:r>
      <w:r w:rsidRPr="004073D7">
        <w:t xml:space="preserve">for MYLO and ELIZA were not similar, as assessed by visual inspection.  </w:t>
      </w:r>
      <w:r>
        <w:t>Post-intervention stress</w:t>
      </w:r>
      <w:r w:rsidRPr="00EC4BBE">
        <w:t xml:space="preserve"> for </w:t>
      </w:r>
      <w:r w:rsidRPr="004073D7">
        <w:t xml:space="preserve">MYLO (mean rank = </w:t>
      </w:r>
      <w:r>
        <w:t>48.03)</w:t>
      </w:r>
      <w:r w:rsidRPr="00EC4BBE">
        <w:t xml:space="preserve"> and </w:t>
      </w:r>
      <w:r w:rsidRPr="004073D7">
        <w:t xml:space="preserve">ELIZA (mean rank = </w:t>
      </w:r>
      <w:r>
        <w:t>46.97</w:t>
      </w:r>
      <w:r w:rsidRPr="004073D7">
        <w:t>)</w:t>
      </w:r>
      <w:r w:rsidRPr="00EC4BBE">
        <w:t xml:space="preserve"> were not statistically significantly different, </w:t>
      </w:r>
      <w:r w:rsidRPr="005551FA">
        <w:rPr>
          <w:i/>
        </w:rPr>
        <w:t>U</w:t>
      </w:r>
      <w:r w:rsidRPr="00EC4BBE">
        <w:t xml:space="preserve"> = </w:t>
      </w:r>
      <w:r>
        <w:t>1,059,</w:t>
      </w:r>
      <w:r w:rsidRPr="00EC4BBE">
        <w:t> </w:t>
      </w:r>
      <w:r w:rsidRPr="005551FA">
        <w:rPr>
          <w:i/>
        </w:rPr>
        <w:t>z</w:t>
      </w:r>
      <w:r w:rsidRPr="00EC4BBE">
        <w:t xml:space="preserve"> = </w:t>
      </w:r>
      <w:r>
        <w:t>-</w:t>
      </w:r>
      <w:r w:rsidRPr="00EC4BBE">
        <w:t>.</w:t>
      </w:r>
      <w:r>
        <w:t>342</w:t>
      </w:r>
      <w:r w:rsidRPr="00EC4BBE">
        <w:t>, </w:t>
      </w:r>
      <w:r w:rsidRPr="005551FA">
        <w:rPr>
          <w:i/>
        </w:rPr>
        <w:t>p</w:t>
      </w:r>
      <w:r w:rsidRPr="00EC4BBE">
        <w:t> = .</w:t>
      </w:r>
      <w:r>
        <w:t>732</w:t>
      </w:r>
      <w:r w:rsidRPr="00EC4BBE">
        <w:t>.</w:t>
      </w:r>
      <w:r>
        <w:t xml:space="preserve">  The result indicates that there were no between-group differences in stress</w:t>
      </w:r>
      <w:r w:rsidRPr="00EC4BBE">
        <w:t xml:space="preserve"> </w:t>
      </w:r>
      <w:r>
        <w:t>at post-intervention.</w:t>
      </w:r>
    </w:p>
    <w:p w14:paraId="394987FF" w14:textId="77777777" w:rsidR="00111E4D" w:rsidRDefault="00111E4D" w:rsidP="00111E4D">
      <w:pPr>
        <w:keepNext/>
      </w:pPr>
      <w:r w:rsidRPr="00DE1D0E">
        <w:rPr>
          <w:noProof/>
        </w:rPr>
        <w:t>A Mann-Whitney U test was run to determine if there were differences in</w:t>
      </w:r>
      <w:r w:rsidRPr="00B934D4">
        <w:t xml:space="preserve"> </w:t>
      </w:r>
      <w:r>
        <w:t>follow-up stress</w:t>
      </w:r>
      <w:r w:rsidRPr="00EC4BBE">
        <w:t xml:space="preserve"> </w:t>
      </w:r>
      <w:r w:rsidRPr="00B934D4">
        <w:t xml:space="preserve">between </w:t>
      </w:r>
      <w:r>
        <w:t>MYLO</w:t>
      </w:r>
      <w:r w:rsidRPr="00B934D4">
        <w:t xml:space="preserve"> and </w:t>
      </w:r>
      <w:r>
        <w:t>ELIZA</w:t>
      </w:r>
      <w:r w:rsidRPr="00B934D4">
        <w:t>.</w:t>
      </w:r>
      <w:r>
        <w:t xml:space="preserve"> </w:t>
      </w:r>
      <w:r w:rsidRPr="00B934D4">
        <w:t xml:space="preserve"> Distributions of the </w:t>
      </w:r>
      <w:r>
        <w:t>follow-up stress</w:t>
      </w:r>
      <w:r w:rsidRPr="00EC4BBE">
        <w:t xml:space="preserve"> </w:t>
      </w:r>
      <w:r w:rsidRPr="004073D7">
        <w:t xml:space="preserve">for MYLO and ELIZA were not similar, as assessed by visual inspection.  </w:t>
      </w:r>
      <w:r>
        <w:t>Follow-up stress</w:t>
      </w:r>
      <w:r w:rsidRPr="00EC4BBE">
        <w:t xml:space="preserve"> for </w:t>
      </w:r>
      <w:r w:rsidRPr="004073D7">
        <w:t xml:space="preserve">MYLO (mean rank = </w:t>
      </w:r>
      <w:r>
        <w:t>46.66)</w:t>
      </w:r>
      <w:r w:rsidRPr="00EC4BBE">
        <w:t xml:space="preserve"> and </w:t>
      </w:r>
      <w:r w:rsidRPr="004073D7">
        <w:t xml:space="preserve">ELIZA (mean rank = </w:t>
      </w:r>
      <w:r>
        <w:t>48.34</w:t>
      </w:r>
      <w:r w:rsidRPr="004073D7">
        <w:t>)</w:t>
      </w:r>
      <w:r w:rsidRPr="00EC4BBE">
        <w:t xml:space="preserve"> were not statistically significantly different, </w:t>
      </w:r>
      <w:r w:rsidRPr="005551FA">
        <w:rPr>
          <w:i/>
        </w:rPr>
        <w:t>U</w:t>
      </w:r>
      <w:r w:rsidRPr="00EC4BBE">
        <w:t xml:space="preserve"> = </w:t>
      </w:r>
      <w:r>
        <w:t>1,144</w:t>
      </w:r>
      <w:r w:rsidRPr="00EC4BBE">
        <w:t>, </w:t>
      </w:r>
      <w:r w:rsidRPr="005551FA">
        <w:rPr>
          <w:i/>
        </w:rPr>
        <w:t>z</w:t>
      </w:r>
      <w:r w:rsidRPr="00EC4BBE">
        <w:t> = .</w:t>
      </w:r>
      <w:r>
        <w:t>301</w:t>
      </w:r>
      <w:r w:rsidRPr="00EC4BBE">
        <w:t>, </w:t>
      </w:r>
      <w:r w:rsidRPr="005551FA">
        <w:rPr>
          <w:i/>
        </w:rPr>
        <w:t>p</w:t>
      </w:r>
      <w:r w:rsidRPr="00EC4BBE">
        <w:t> = .</w:t>
      </w:r>
      <w:r>
        <w:t>764</w:t>
      </w:r>
      <w:r w:rsidRPr="00EC4BBE">
        <w:t>.</w:t>
      </w:r>
      <w:r>
        <w:t xml:space="preserve">  The result indicates that there were no between-group differences in stress</w:t>
      </w:r>
      <w:r w:rsidRPr="00EC4BBE">
        <w:t xml:space="preserve"> </w:t>
      </w:r>
      <w:r>
        <w:t>at follow-up.</w:t>
      </w:r>
    </w:p>
    <w:p w14:paraId="54F31AA7" w14:textId="6101396F" w:rsidR="00111E4D" w:rsidRPr="005474AA" w:rsidRDefault="00111E4D" w:rsidP="00111E4D">
      <w:pPr>
        <w:keepNext/>
      </w:pPr>
      <w:r w:rsidRPr="00DE1D0E">
        <w:rPr>
          <w:noProof/>
        </w:rPr>
        <w:t>A Friedman test was run to determine if there were differences in</w:t>
      </w:r>
      <w:r w:rsidRPr="005474AA">
        <w:t xml:space="preserve"> </w:t>
      </w:r>
      <w:r>
        <w:t>stress</w:t>
      </w:r>
      <w:r w:rsidRPr="005474AA">
        <w:t xml:space="preserve"> </w:t>
      </w:r>
      <w:r>
        <w:t>between baseline, post-intervention and follow-up for MYLO</w:t>
      </w:r>
      <w:r w:rsidRPr="005474AA">
        <w:t xml:space="preserve">. </w:t>
      </w:r>
      <w:r>
        <w:t xml:space="preserve"> </w:t>
      </w:r>
      <w:r w:rsidRPr="005474AA">
        <w:t xml:space="preserve">Pairwise comparisons were performed (SPSS Statistics, 2012) with a Bonferroni correction for multiple comparisons. </w:t>
      </w:r>
      <w:r>
        <w:t xml:space="preserve"> Stress</w:t>
      </w:r>
      <w:r w:rsidRPr="005474AA">
        <w:t xml:space="preserve"> was statistically significantly different at the different time points during the </w:t>
      </w:r>
      <w:r>
        <w:t>MYLO intervention</w:t>
      </w:r>
      <w:r w:rsidRPr="005474AA">
        <w:t xml:space="preserve">, </w:t>
      </w:r>
      <w:proofErr w:type="gramStart"/>
      <w:r w:rsidRPr="005474AA">
        <w:t>χ</w:t>
      </w:r>
      <w:r w:rsidRPr="005474AA">
        <w:rPr>
          <w:vertAlign w:val="superscript"/>
        </w:rPr>
        <w:t>2</w:t>
      </w:r>
      <w:r w:rsidRPr="005474AA">
        <w:t>(</w:t>
      </w:r>
      <w:proofErr w:type="gramEnd"/>
      <w:r w:rsidRPr="005474AA">
        <w:t xml:space="preserve">2) = </w:t>
      </w:r>
      <w:r>
        <w:t>22.248</w:t>
      </w:r>
      <w:r w:rsidRPr="005474AA">
        <w:t>, </w:t>
      </w:r>
      <w:r w:rsidRPr="005B0BA6">
        <w:rPr>
          <w:i/>
        </w:rPr>
        <w:t>p</w:t>
      </w:r>
      <w:r w:rsidRPr="005474AA">
        <w:t> </w:t>
      </w:r>
      <w:r>
        <w:t xml:space="preserve">= </w:t>
      </w:r>
      <w:r w:rsidRPr="005474AA">
        <w:t>&lt; .</w:t>
      </w:r>
      <w:r>
        <w:t>001</w:t>
      </w:r>
      <w:r w:rsidRPr="005474AA">
        <w:t xml:space="preserve">. </w:t>
      </w:r>
      <w:r>
        <w:t xml:space="preserve"> </w:t>
      </w:r>
      <w:r w:rsidRPr="00DE1D0E">
        <w:rPr>
          <w:noProof/>
        </w:rPr>
        <w:t>Post hoc analysis revealed statistically significant differences in</w:t>
      </w:r>
      <w:r w:rsidRPr="005474AA">
        <w:t xml:space="preserve"> </w:t>
      </w:r>
      <w:r>
        <w:t>stress</w:t>
      </w:r>
      <w:r w:rsidRPr="005474AA">
        <w:t xml:space="preserve"> from </w:t>
      </w:r>
      <w:r>
        <w:t>baseline</w:t>
      </w:r>
      <w:r w:rsidRPr="005474AA">
        <w:t xml:space="preserve"> (</w:t>
      </w:r>
      <w:proofErr w:type="spellStart"/>
      <w:r w:rsidRPr="005551FA">
        <w:rPr>
          <w:i/>
        </w:rPr>
        <w:t>Mdn</w:t>
      </w:r>
      <w:proofErr w:type="spellEnd"/>
      <w:r w:rsidRPr="005474AA">
        <w:t xml:space="preserve"> = </w:t>
      </w:r>
      <w:r>
        <w:t>12.00</w:t>
      </w:r>
      <w:r w:rsidRPr="005474AA">
        <w:t xml:space="preserve">) to </w:t>
      </w:r>
      <w:r>
        <w:t>follow</w:t>
      </w:r>
      <w:r>
        <w:noBreakHyphen/>
        <w:t>up</w:t>
      </w:r>
      <w:r w:rsidRPr="005474AA">
        <w:t xml:space="preserve"> (</w:t>
      </w:r>
      <w:proofErr w:type="spellStart"/>
      <w:r w:rsidRPr="005551FA">
        <w:rPr>
          <w:i/>
        </w:rPr>
        <w:t>Mdn</w:t>
      </w:r>
      <w:proofErr w:type="spellEnd"/>
      <w:r w:rsidRPr="005474AA">
        <w:t xml:space="preserve"> = </w:t>
      </w:r>
      <w:r>
        <w:t>8.00</w:t>
      </w:r>
      <w:r w:rsidRPr="005474AA">
        <w:t>) (</w:t>
      </w:r>
      <w:r w:rsidRPr="005551FA">
        <w:rPr>
          <w:i/>
        </w:rPr>
        <w:t>p</w:t>
      </w:r>
      <w:r w:rsidRPr="005474AA">
        <w:t> &lt; .</w:t>
      </w:r>
      <w:r>
        <w:t>001</w:t>
      </w:r>
      <w:r w:rsidRPr="005474AA">
        <w:t xml:space="preserve">) and </w:t>
      </w:r>
      <w:r>
        <w:t>baseline</w:t>
      </w:r>
      <w:r w:rsidRPr="005474AA">
        <w:t xml:space="preserve"> (</w:t>
      </w:r>
      <w:proofErr w:type="spellStart"/>
      <w:r w:rsidRPr="005551FA">
        <w:rPr>
          <w:i/>
        </w:rPr>
        <w:t>Mdn</w:t>
      </w:r>
      <w:proofErr w:type="spellEnd"/>
      <w:r w:rsidRPr="005474AA">
        <w:t xml:space="preserve"> = </w:t>
      </w:r>
      <w:r>
        <w:t>10.00</w:t>
      </w:r>
      <w:r w:rsidRPr="005474AA">
        <w:t>) (</w:t>
      </w:r>
      <w:r w:rsidRPr="005551FA">
        <w:rPr>
          <w:i/>
        </w:rPr>
        <w:t>p</w:t>
      </w:r>
      <w:r w:rsidRPr="005474AA">
        <w:t xml:space="preserve"> = </w:t>
      </w:r>
      <w:r>
        <w:t>.026</w:t>
      </w:r>
      <w:r w:rsidRPr="005474AA">
        <w:t>) to</w:t>
      </w:r>
      <w:r>
        <w:t xml:space="preserve"> post-intervention</w:t>
      </w:r>
      <w:r w:rsidRPr="005474AA">
        <w:t xml:space="preserve"> but not post-intervent</w:t>
      </w:r>
      <w:r>
        <w:t>ion to</w:t>
      </w:r>
      <w:r w:rsidRPr="005474AA">
        <w:t xml:space="preserve"> </w:t>
      </w:r>
      <w:r>
        <w:t>follow-up</w:t>
      </w:r>
      <w:r w:rsidRPr="005474AA">
        <w:t>.</w:t>
      </w:r>
    </w:p>
    <w:p w14:paraId="0D524A6B" w14:textId="26CC4325" w:rsidR="00111E4D" w:rsidRPr="00C03C8C" w:rsidRDefault="00111E4D" w:rsidP="00111E4D">
      <w:r w:rsidRPr="00DE1D0E">
        <w:rPr>
          <w:noProof/>
        </w:rPr>
        <w:t>A Friedman test was run to determine if there were differences in</w:t>
      </w:r>
      <w:r w:rsidRPr="005474AA">
        <w:t xml:space="preserve"> </w:t>
      </w:r>
      <w:r>
        <w:t>stress</w:t>
      </w:r>
      <w:r w:rsidRPr="005474AA">
        <w:t xml:space="preserve"> </w:t>
      </w:r>
      <w:r>
        <w:t>between baseline, post-intervention and follow-up for ELIZA</w:t>
      </w:r>
      <w:r w:rsidRPr="005474AA">
        <w:t>.</w:t>
      </w:r>
      <w:r>
        <w:t xml:space="preserve"> </w:t>
      </w:r>
      <w:r w:rsidRPr="005474AA">
        <w:t xml:space="preserve"> Pairwise comparisons were performed (SPSS Statistics, 2012) with a Bonferroni correction for multiple comparisons. </w:t>
      </w:r>
      <w:r>
        <w:t xml:space="preserve"> Stress</w:t>
      </w:r>
      <w:r w:rsidRPr="005474AA">
        <w:t xml:space="preserve"> was statistically significantly different at the different time points during the </w:t>
      </w:r>
      <w:r>
        <w:t>ELIZA intervention</w:t>
      </w:r>
      <w:r w:rsidRPr="005474AA">
        <w:t xml:space="preserve">, </w:t>
      </w:r>
      <w:proofErr w:type="gramStart"/>
      <w:r w:rsidRPr="005474AA">
        <w:t>χ</w:t>
      </w:r>
      <w:r w:rsidRPr="005474AA">
        <w:rPr>
          <w:vertAlign w:val="superscript"/>
        </w:rPr>
        <w:t>2</w:t>
      </w:r>
      <w:r w:rsidRPr="005474AA">
        <w:t>(</w:t>
      </w:r>
      <w:proofErr w:type="gramEnd"/>
      <w:r w:rsidRPr="005474AA">
        <w:t xml:space="preserve">2) = </w:t>
      </w:r>
      <w:r>
        <w:t>23</w:t>
      </w:r>
      <w:r w:rsidRPr="005474AA">
        <w:t>.</w:t>
      </w:r>
      <w:r>
        <w:t>697</w:t>
      </w:r>
      <w:r w:rsidRPr="005474AA">
        <w:t>, </w:t>
      </w:r>
      <w:r w:rsidRPr="000B36CA">
        <w:rPr>
          <w:i/>
        </w:rPr>
        <w:t>p</w:t>
      </w:r>
      <w:r w:rsidRPr="005474AA">
        <w:t> </w:t>
      </w:r>
      <w:r>
        <w:t xml:space="preserve">= </w:t>
      </w:r>
      <w:r w:rsidRPr="005474AA">
        <w:t>&lt; .</w:t>
      </w:r>
      <w:r>
        <w:t>001</w:t>
      </w:r>
      <w:r w:rsidRPr="005474AA">
        <w:t>.</w:t>
      </w:r>
      <w:r>
        <w:t xml:space="preserve">  </w:t>
      </w:r>
      <w:r w:rsidRPr="00DE1D0E">
        <w:rPr>
          <w:noProof/>
        </w:rPr>
        <w:t>Post hoc analysis revealed statistically significant differences in</w:t>
      </w:r>
      <w:r w:rsidRPr="005474AA">
        <w:t xml:space="preserve"> </w:t>
      </w:r>
      <w:r>
        <w:t>stress</w:t>
      </w:r>
      <w:r w:rsidRPr="005474AA">
        <w:t xml:space="preserve"> from </w:t>
      </w:r>
      <w:r>
        <w:t>baseline</w:t>
      </w:r>
      <w:r w:rsidRPr="005474AA">
        <w:t xml:space="preserve"> (</w:t>
      </w:r>
      <w:proofErr w:type="spellStart"/>
      <w:r w:rsidRPr="000B36CA">
        <w:rPr>
          <w:i/>
        </w:rPr>
        <w:t>Mdn</w:t>
      </w:r>
      <w:proofErr w:type="spellEnd"/>
      <w:r w:rsidRPr="005474AA">
        <w:t xml:space="preserve"> = </w:t>
      </w:r>
      <w:r>
        <w:t>14.00</w:t>
      </w:r>
      <w:r w:rsidRPr="005474AA">
        <w:t xml:space="preserve">) to </w:t>
      </w:r>
      <w:r>
        <w:t>follow</w:t>
      </w:r>
      <w:r>
        <w:noBreakHyphen/>
        <w:t>up</w:t>
      </w:r>
      <w:r w:rsidRPr="005474AA">
        <w:t xml:space="preserve"> (</w:t>
      </w:r>
      <w:proofErr w:type="spellStart"/>
      <w:r w:rsidRPr="000B36CA">
        <w:rPr>
          <w:i/>
        </w:rPr>
        <w:t>Mdn</w:t>
      </w:r>
      <w:proofErr w:type="spellEnd"/>
      <w:r w:rsidRPr="005474AA">
        <w:t xml:space="preserve"> = </w:t>
      </w:r>
      <w:r>
        <w:t>8.00</w:t>
      </w:r>
      <w:r w:rsidRPr="005474AA">
        <w:t>) (</w:t>
      </w:r>
      <w:r w:rsidRPr="000B36CA">
        <w:rPr>
          <w:i/>
        </w:rPr>
        <w:t>p</w:t>
      </w:r>
      <w:r w:rsidRPr="005474AA">
        <w:t> &lt; .</w:t>
      </w:r>
      <w:r>
        <w:t>001</w:t>
      </w:r>
      <w:r w:rsidRPr="005474AA">
        <w:t xml:space="preserve">) and </w:t>
      </w:r>
      <w:r>
        <w:t>baseline</w:t>
      </w:r>
      <w:r w:rsidRPr="005474AA">
        <w:t xml:space="preserve"> (</w:t>
      </w:r>
      <w:proofErr w:type="spellStart"/>
      <w:r w:rsidRPr="000B36CA">
        <w:rPr>
          <w:i/>
        </w:rPr>
        <w:t>Mdn</w:t>
      </w:r>
      <w:proofErr w:type="spellEnd"/>
      <w:r w:rsidRPr="005474AA">
        <w:t xml:space="preserve"> = </w:t>
      </w:r>
      <w:r>
        <w:t>10.00</w:t>
      </w:r>
      <w:r w:rsidRPr="005474AA">
        <w:t>) (</w:t>
      </w:r>
      <w:r w:rsidRPr="000B36CA">
        <w:rPr>
          <w:i/>
        </w:rPr>
        <w:t>p</w:t>
      </w:r>
      <w:r w:rsidRPr="005474AA">
        <w:t xml:space="preserve"> = </w:t>
      </w:r>
      <w:r>
        <w:t>.001</w:t>
      </w:r>
      <w:r w:rsidRPr="005474AA">
        <w:t xml:space="preserve">) to </w:t>
      </w:r>
      <w:r>
        <w:t>post-intervention</w:t>
      </w:r>
      <w:r w:rsidRPr="005474AA">
        <w:t xml:space="preserve">, but not post-intervention and </w:t>
      </w:r>
      <w:r>
        <w:t>follow-up</w:t>
      </w:r>
      <w:r w:rsidRPr="005474AA">
        <w:t>.</w:t>
      </w:r>
    </w:p>
    <w:p w14:paraId="28FDA4DE" w14:textId="77777777" w:rsidR="00111E4D" w:rsidRDefault="00111E4D" w:rsidP="00111E4D">
      <w:pPr>
        <w:pStyle w:val="Heading4"/>
      </w:pPr>
      <w:r>
        <w:t>Total DASS-21</w:t>
      </w:r>
    </w:p>
    <w:p w14:paraId="25AAA2C1" w14:textId="523F0B17" w:rsidR="00111E4D" w:rsidRDefault="00111E4D" w:rsidP="00111E4D">
      <w:r w:rsidRPr="00DE1D0E">
        <w:rPr>
          <w:noProof/>
        </w:rPr>
        <w:t>A Mann-Whitney U test was run to determine if there were differences in</w:t>
      </w:r>
      <w:r w:rsidRPr="00B934D4">
        <w:t xml:space="preserve"> </w:t>
      </w:r>
      <w:r>
        <w:t xml:space="preserve">baseline DASS-21 </w:t>
      </w:r>
      <w:r w:rsidRPr="00B934D4">
        <w:t xml:space="preserve">between </w:t>
      </w:r>
      <w:r>
        <w:t>MYLO</w:t>
      </w:r>
      <w:r w:rsidRPr="00B934D4">
        <w:t xml:space="preserve"> and </w:t>
      </w:r>
      <w:r>
        <w:t>ELIZA</w:t>
      </w:r>
      <w:r w:rsidRPr="00B934D4">
        <w:t>.</w:t>
      </w:r>
      <w:r>
        <w:t xml:space="preserve"> </w:t>
      </w:r>
      <w:r w:rsidRPr="00B934D4">
        <w:t xml:space="preserve"> Distributions of the </w:t>
      </w:r>
      <w:r>
        <w:t xml:space="preserve">DASS-21 </w:t>
      </w:r>
      <w:r w:rsidRPr="004073D7">
        <w:t xml:space="preserve">for MYLO and ELIZA were not similar, as assessed by visual inspection.  </w:t>
      </w:r>
      <w:r>
        <w:lastRenderedPageBreak/>
        <w:t xml:space="preserve">Baseline DASS-21 </w:t>
      </w:r>
      <w:r w:rsidRPr="00EC4BBE">
        <w:t xml:space="preserve">for </w:t>
      </w:r>
      <w:r w:rsidRPr="004073D7">
        <w:t xml:space="preserve">MYLO (mean rank = </w:t>
      </w:r>
      <w:r>
        <w:t>46.63)</w:t>
      </w:r>
      <w:r w:rsidRPr="00EC4BBE">
        <w:t xml:space="preserve"> and </w:t>
      </w:r>
      <w:r w:rsidRPr="004073D7">
        <w:t xml:space="preserve">ELIZA (mean rank = </w:t>
      </w:r>
      <w:r>
        <w:t>48.37)</w:t>
      </w:r>
      <w:r w:rsidRPr="00EC4BBE">
        <w:t xml:space="preserve"> were not statistically significantly different, </w:t>
      </w:r>
      <w:r w:rsidRPr="00D45024">
        <w:rPr>
          <w:i/>
        </w:rPr>
        <w:t>U</w:t>
      </w:r>
      <w:r w:rsidRPr="00EC4BBE">
        <w:t xml:space="preserve"> = </w:t>
      </w:r>
      <w:r>
        <w:t>1,145</w:t>
      </w:r>
      <w:r w:rsidRPr="00EC4BBE">
        <w:t>, </w:t>
      </w:r>
      <w:r w:rsidRPr="00D45024">
        <w:rPr>
          <w:i/>
        </w:rPr>
        <w:t>z</w:t>
      </w:r>
      <w:r w:rsidRPr="00EC4BBE">
        <w:t> = .</w:t>
      </w:r>
      <w:r>
        <w:t>310</w:t>
      </w:r>
      <w:r w:rsidRPr="00EC4BBE">
        <w:t>, </w:t>
      </w:r>
      <w:r w:rsidRPr="00D45024">
        <w:rPr>
          <w:i/>
        </w:rPr>
        <w:t>p</w:t>
      </w:r>
      <w:r w:rsidRPr="00EC4BBE">
        <w:t> = .</w:t>
      </w:r>
      <w:r>
        <w:t>756</w:t>
      </w:r>
      <w:r w:rsidRPr="00EC4BBE">
        <w:t>.</w:t>
      </w:r>
      <w:r w:rsidR="00554CB4">
        <w:t xml:space="preserve"> </w:t>
      </w:r>
      <w:r>
        <w:t xml:space="preserve"> The result indicates that there were no between-group differences in DASS-21 at baseline.</w:t>
      </w:r>
    </w:p>
    <w:p w14:paraId="1E32923E" w14:textId="2ED54F9D" w:rsidR="00111E4D" w:rsidRDefault="00111E4D" w:rsidP="00111E4D">
      <w:r w:rsidRPr="00DE1D0E">
        <w:rPr>
          <w:noProof/>
        </w:rPr>
        <w:t>A Mann-Whitney U test was run to determine if there were differences in</w:t>
      </w:r>
      <w:r w:rsidRPr="00B934D4">
        <w:t xml:space="preserve"> </w:t>
      </w:r>
      <w:r>
        <w:t>post-intervention DASS-21</w:t>
      </w:r>
      <w:r w:rsidRPr="00EC4BBE">
        <w:t xml:space="preserve"> </w:t>
      </w:r>
      <w:r w:rsidRPr="00B934D4">
        <w:t xml:space="preserve">between </w:t>
      </w:r>
      <w:r>
        <w:t>MYLO</w:t>
      </w:r>
      <w:r w:rsidRPr="00B934D4">
        <w:t xml:space="preserve"> and </w:t>
      </w:r>
      <w:r>
        <w:t>ELIZA</w:t>
      </w:r>
      <w:r w:rsidRPr="00B934D4">
        <w:t xml:space="preserve">. </w:t>
      </w:r>
      <w:r>
        <w:t xml:space="preserve"> </w:t>
      </w:r>
      <w:r w:rsidRPr="00B934D4">
        <w:t xml:space="preserve">Distributions of the </w:t>
      </w:r>
      <w:r>
        <w:t>post-intervention DASS-21</w:t>
      </w:r>
      <w:r w:rsidRPr="00EC4BBE">
        <w:t xml:space="preserve"> </w:t>
      </w:r>
      <w:r w:rsidRPr="004073D7">
        <w:t xml:space="preserve">for MYLO and ELIZA were not similar, as assessed by visual inspection.  </w:t>
      </w:r>
      <w:r>
        <w:t>Post-intervention DASS-21</w:t>
      </w:r>
      <w:r w:rsidRPr="00EC4BBE">
        <w:t xml:space="preserve"> for </w:t>
      </w:r>
      <w:r w:rsidRPr="004073D7">
        <w:t xml:space="preserve">MYLO (mean rank = </w:t>
      </w:r>
      <w:r>
        <w:t>47.14)</w:t>
      </w:r>
      <w:r w:rsidRPr="00EC4BBE">
        <w:t xml:space="preserve"> and </w:t>
      </w:r>
      <w:r w:rsidRPr="004073D7">
        <w:t xml:space="preserve">ELIZA (mean rank = </w:t>
      </w:r>
      <w:r>
        <w:t>47.86</w:t>
      </w:r>
      <w:r w:rsidRPr="004073D7">
        <w:t>)</w:t>
      </w:r>
      <w:r w:rsidRPr="00EC4BBE">
        <w:t xml:space="preserve"> were not statistically significantly different, </w:t>
      </w:r>
      <w:r w:rsidRPr="00F37CF4">
        <w:rPr>
          <w:i/>
        </w:rPr>
        <w:t>U</w:t>
      </w:r>
      <w:r w:rsidRPr="00EC4BBE">
        <w:t xml:space="preserve"> = </w:t>
      </w:r>
      <w:r>
        <w:t>1,121,</w:t>
      </w:r>
      <w:r w:rsidRPr="00EC4BBE">
        <w:t> </w:t>
      </w:r>
      <w:r w:rsidRPr="00D45024">
        <w:rPr>
          <w:i/>
        </w:rPr>
        <w:t>z</w:t>
      </w:r>
      <w:r w:rsidRPr="00EC4BBE">
        <w:t> = .</w:t>
      </w:r>
      <w:r>
        <w:t>129</w:t>
      </w:r>
      <w:r w:rsidRPr="00EC4BBE">
        <w:t>, </w:t>
      </w:r>
      <w:r w:rsidRPr="00D45024">
        <w:rPr>
          <w:i/>
        </w:rPr>
        <w:t>p</w:t>
      </w:r>
      <w:r w:rsidRPr="00EC4BBE">
        <w:t> = .</w:t>
      </w:r>
      <w:r>
        <w:t>898</w:t>
      </w:r>
      <w:r w:rsidRPr="00EC4BBE">
        <w:t>.</w:t>
      </w:r>
      <w:r w:rsidR="00554CB4">
        <w:t xml:space="preserve"> </w:t>
      </w:r>
      <w:r>
        <w:t xml:space="preserve"> The result indicates that there were no between-group differences in DASS-21 at post-intervention.</w:t>
      </w:r>
    </w:p>
    <w:p w14:paraId="15211CFB" w14:textId="0D56E25D" w:rsidR="00111E4D" w:rsidRDefault="00111E4D" w:rsidP="00111E4D">
      <w:r w:rsidRPr="00DE1D0E">
        <w:rPr>
          <w:noProof/>
        </w:rPr>
        <w:t>A Mann-Whitney U test was run to determine if there were differences in</w:t>
      </w:r>
      <w:r w:rsidRPr="00B934D4">
        <w:t xml:space="preserve"> </w:t>
      </w:r>
      <w:r>
        <w:t>follow-up DASS-21</w:t>
      </w:r>
      <w:r w:rsidRPr="00EC4BBE">
        <w:t xml:space="preserve"> </w:t>
      </w:r>
      <w:r w:rsidRPr="00B934D4">
        <w:t xml:space="preserve">between </w:t>
      </w:r>
      <w:r>
        <w:t>MYLO</w:t>
      </w:r>
      <w:r w:rsidRPr="00B934D4">
        <w:t xml:space="preserve"> and </w:t>
      </w:r>
      <w:r>
        <w:t>ELIZA</w:t>
      </w:r>
      <w:r w:rsidRPr="00B934D4">
        <w:t>.</w:t>
      </w:r>
      <w:r>
        <w:t xml:space="preserve"> </w:t>
      </w:r>
      <w:r w:rsidRPr="00B934D4">
        <w:t xml:space="preserve"> Distributions of the </w:t>
      </w:r>
      <w:r>
        <w:t>follow-up DASS-21</w:t>
      </w:r>
      <w:r w:rsidRPr="00EC4BBE">
        <w:t xml:space="preserve"> </w:t>
      </w:r>
      <w:r w:rsidRPr="004073D7">
        <w:t xml:space="preserve">for MYLO and ELIZA were not similar, as assessed by visual inspection.  </w:t>
      </w:r>
      <w:r>
        <w:t>Follow-up DASS-21</w:t>
      </w:r>
      <w:r w:rsidRPr="00EC4BBE">
        <w:t xml:space="preserve"> for </w:t>
      </w:r>
      <w:r w:rsidRPr="004073D7">
        <w:t xml:space="preserve">MYLO (mean rank = </w:t>
      </w:r>
      <w:r>
        <w:t>46.86)</w:t>
      </w:r>
      <w:r w:rsidRPr="00EC4BBE">
        <w:t xml:space="preserve"> and </w:t>
      </w:r>
      <w:r w:rsidRPr="004073D7">
        <w:t xml:space="preserve">ELIZA (mean rank = </w:t>
      </w:r>
      <w:r>
        <w:t>48.14)</w:t>
      </w:r>
      <w:r w:rsidRPr="00EC4BBE">
        <w:t xml:space="preserve"> were not statistically significantly different, </w:t>
      </w:r>
      <w:r w:rsidRPr="00D45024">
        <w:rPr>
          <w:i/>
        </w:rPr>
        <w:t>U</w:t>
      </w:r>
      <w:r w:rsidRPr="00EC4BBE">
        <w:t xml:space="preserve"> = </w:t>
      </w:r>
      <w:r>
        <w:t>1,134</w:t>
      </w:r>
      <w:r w:rsidRPr="00EC4BBE">
        <w:t>, </w:t>
      </w:r>
      <w:r w:rsidRPr="00D45024">
        <w:rPr>
          <w:i/>
        </w:rPr>
        <w:t>z</w:t>
      </w:r>
      <w:r w:rsidRPr="00EC4BBE">
        <w:t> = .</w:t>
      </w:r>
      <w:r>
        <w:t>227</w:t>
      </w:r>
      <w:r w:rsidRPr="00EC4BBE">
        <w:t>, </w:t>
      </w:r>
      <w:r w:rsidRPr="00D45024">
        <w:rPr>
          <w:i/>
        </w:rPr>
        <w:t>p</w:t>
      </w:r>
      <w:r w:rsidRPr="00EC4BBE">
        <w:t> = .</w:t>
      </w:r>
      <w:r>
        <w:t>820</w:t>
      </w:r>
      <w:r w:rsidRPr="00EC4BBE">
        <w:t>.</w:t>
      </w:r>
      <w:r w:rsidR="00554CB4">
        <w:t xml:space="preserve"> </w:t>
      </w:r>
      <w:r>
        <w:t xml:space="preserve"> The result indicates that there were no between-group differences in DASS-21 at follow-up.</w:t>
      </w:r>
    </w:p>
    <w:p w14:paraId="32619576" w14:textId="6A00FA5F" w:rsidR="00111E4D" w:rsidRPr="005474AA" w:rsidRDefault="00111E4D" w:rsidP="00111E4D">
      <w:r w:rsidRPr="00DE1D0E">
        <w:rPr>
          <w:noProof/>
        </w:rPr>
        <w:t>A Friedman test was run to determine if there were differences in</w:t>
      </w:r>
      <w:r w:rsidRPr="005474AA">
        <w:t xml:space="preserve"> </w:t>
      </w:r>
      <w:r>
        <w:t>DASS-21</w:t>
      </w:r>
      <w:r w:rsidRPr="005474AA">
        <w:t xml:space="preserve"> </w:t>
      </w:r>
      <w:r>
        <w:t>between baseline, post-intervention and follow-up for MYLO</w:t>
      </w:r>
      <w:r w:rsidRPr="005474AA">
        <w:t xml:space="preserve">. </w:t>
      </w:r>
      <w:r>
        <w:t xml:space="preserve"> </w:t>
      </w:r>
      <w:r w:rsidRPr="005474AA">
        <w:t xml:space="preserve">Pairwise comparisons were performed (SPSS Statistics, 2012) with a Bonferroni correction for multiple comparisons. </w:t>
      </w:r>
      <w:r>
        <w:t xml:space="preserve"> DASS-21 </w:t>
      </w:r>
      <w:r w:rsidRPr="005474AA">
        <w:t xml:space="preserve">was statistically significantly different at the different time points during the </w:t>
      </w:r>
      <w:r>
        <w:t>MYLO intervention</w:t>
      </w:r>
      <w:r w:rsidRPr="005474AA">
        <w:t xml:space="preserve">, </w:t>
      </w:r>
      <w:proofErr w:type="gramStart"/>
      <w:r w:rsidRPr="005474AA">
        <w:t>χ</w:t>
      </w:r>
      <w:r w:rsidRPr="005474AA">
        <w:rPr>
          <w:vertAlign w:val="superscript"/>
        </w:rPr>
        <w:t>2</w:t>
      </w:r>
      <w:r w:rsidRPr="005474AA">
        <w:t>(</w:t>
      </w:r>
      <w:proofErr w:type="gramEnd"/>
      <w:r w:rsidRPr="005474AA">
        <w:t xml:space="preserve">2) = </w:t>
      </w:r>
      <w:r>
        <w:t>44.433</w:t>
      </w:r>
      <w:r w:rsidRPr="005474AA">
        <w:t>, </w:t>
      </w:r>
      <w:r w:rsidRPr="00F42DFD">
        <w:rPr>
          <w:i/>
        </w:rPr>
        <w:t>p</w:t>
      </w:r>
      <w:r w:rsidRPr="005474AA">
        <w:t> </w:t>
      </w:r>
      <w:r>
        <w:t xml:space="preserve">= </w:t>
      </w:r>
      <w:r w:rsidRPr="005474AA">
        <w:t>&lt; .</w:t>
      </w:r>
      <w:r>
        <w:t>001</w:t>
      </w:r>
      <w:r w:rsidRPr="005474AA">
        <w:t xml:space="preserve">. </w:t>
      </w:r>
      <w:r>
        <w:t xml:space="preserve"> </w:t>
      </w:r>
      <w:r w:rsidRPr="00DE1D0E">
        <w:rPr>
          <w:noProof/>
        </w:rPr>
        <w:t>Post hoc analysis revealed statistically significant differences in</w:t>
      </w:r>
      <w:r w:rsidRPr="005474AA">
        <w:t xml:space="preserve"> </w:t>
      </w:r>
      <w:r>
        <w:t xml:space="preserve">DASS-21 </w:t>
      </w:r>
      <w:r w:rsidRPr="005474AA">
        <w:t xml:space="preserve">from </w:t>
      </w:r>
      <w:r>
        <w:t>baseline</w:t>
      </w:r>
      <w:r w:rsidRPr="005474AA">
        <w:t xml:space="preserve"> (</w:t>
      </w:r>
      <w:proofErr w:type="spellStart"/>
      <w:r w:rsidRPr="00D45024">
        <w:rPr>
          <w:i/>
        </w:rPr>
        <w:t>Mdn</w:t>
      </w:r>
      <w:proofErr w:type="spellEnd"/>
      <w:r w:rsidRPr="005474AA">
        <w:t xml:space="preserve"> = </w:t>
      </w:r>
      <w:r>
        <w:t>24.00</w:t>
      </w:r>
      <w:r w:rsidRPr="005474AA">
        <w:t xml:space="preserve">) to </w:t>
      </w:r>
      <w:r>
        <w:t>follow-up</w:t>
      </w:r>
      <w:r w:rsidRPr="005474AA">
        <w:t xml:space="preserve"> (</w:t>
      </w:r>
      <w:proofErr w:type="spellStart"/>
      <w:r w:rsidRPr="00D45024">
        <w:rPr>
          <w:i/>
        </w:rPr>
        <w:t>Mdn</w:t>
      </w:r>
      <w:proofErr w:type="spellEnd"/>
      <w:r w:rsidRPr="005474AA">
        <w:t xml:space="preserve"> = </w:t>
      </w:r>
      <w:r>
        <w:t>16.00</w:t>
      </w:r>
      <w:r w:rsidRPr="005474AA">
        <w:t>) (</w:t>
      </w:r>
      <w:r w:rsidRPr="00D45024">
        <w:rPr>
          <w:i/>
        </w:rPr>
        <w:t>p</w:t>
      </w:r>
      <w:r w:rsidRPr="005474AA">
        <w:t> &lt; .</w:t>
      </w:r>
      <w:r>
        <w:t>001</w:t>
      </w:r>
      <w:r w:rsidRPr="005474AA">
        <w:t xml:space="preserve">) and </w:t>
      </w:r>
      <w:r>
        <w:t>baseline</w:t>
      </w:r>
      <w:r w:rsidRPr="005474AA">
        <w:t xml:space="preserve"> (</w:t>
      </w:r>
      <w:proofErr w:type="spellStart"/>
      <w:r w:rsidRPr="00D45024">
        <w:rPr>
          <w:i/>
        </w:rPr>
        <w:t>Mdn</w:t>
      </w:r>
      <w:proofErr w:type="spellEnd"/>
      <w:r w:rsidRPr="005474AA">
        <w:t xml:space="preserve"> = </w:t>
      </w:r>
      <w:r>
        <w:t>20.00</w:t>
      </w:r>
      <w:r w:rsidRPr="005474AA">
        <w:t>) (</w:t>
      </w:r>
      <w:r w:rsidRPr="00D45024">
        <w:rPr>
          <w:i/>
        </w:rPr>
        <w:t>p</w:t>
      </w:r>
      <w:proofErr w:type="gramStart"/>
      <w:r w:rsidRPr="005474AA">
        <w:t>  &lt;</w:t>
      </w:r>
      <w:proofErr w:type="gramEnd"/>
      <w:r w:rsidRPr="005474AA">
        <w:t xml:space="preserve"> .</w:t>
      </w:r>
      <w:r>
        <w:t>001</w:t>
      </w:r>
      <w:r w:rsidRPr="005474AA">
        <w:t xml:space="preserve">) to </w:t>
      </w:r>
      <w:r>
        <w:t>post-intervention</w:t>
      </w:r>
      <w:r w:rsidRPr="005474AA">
        <w:t xml:space="preserve">, but not post-intervention </w:t>
      </w:r>
      <w:r>
        <w:t>to</w:t>
      </w:r>
      <w:r w:rsidRPr="005474AA">
        <w:t xml:space="preserve"> </w:t>
      </w:r>
      <w:r>
        <w:t>follow-up</w:t>
      </w:r>
      <w:r w:rsidRPr="005474AA">
        <w:t>.</w:t>
      </w:r>
    </w:p>
    <w:p w14:paraId="64AFA642" w14:textId="42920952" w:rsidR="00111E4D" w:rsidRPr="00C03C8C" w:rsidRDefault="00111E4D" w:rsidP="00111E4D">
      <w:r w:rsidRPr="00DE1D0E">
        <w:rPr>
          <w:noProof/>
        </w:rPr>
        <w:t>A Friedman test was run to determine if there were differences in</w:t>
      </w:r>
      <w:r w:rsidRPr="005474AA">
        <w:t xml:space="preserve"> </w:t>
      </w:r>
      <w:r>
        <w:t>DASS-21 between baseline, post</w:t>
      </w:r>
      <w:r>
        <w:noBreakHyphen/>
        <w:t>intervention and follow-up for ELIZA</w:t>
      </w:r>
      <w:r w:rsidRPr="005474AA">
        <w:t xml:space="preserve">. </w:t>
      </w:r>
      <w:r>
        <w:t xml:space="preserve"> </w:t>
      </w:r>
      <w:r w:rsidRPr="005474AA">
        <w:t xml:space="preserve">Pairwise comparisons were performed (SPSS Statistics, 2012) with a Bonferroni correction for multiple comparisons. </w:t>
      </w:r>
      <w:r>
        <w:t xml:space="preserve"> DASS-21 </w:t>
      </w:r>
      <w:r w:rsidRPr="005474AA">
        <w:t xml:space="preserve">was statistically significantly different at the different time points during the </w:t>
      </w:r>
      <w:r>
        <w:t>ELIZA intervention</w:t>
      </w:r>
      <w:r w:rsidRPr="005474AA">
        <w:t xml:space="preserve">, </w:t>
      </w:r>
      <w:proofErr w:type="gramStart"/>
      <w:r w:rsidRPr="005474AA">
        <w:t>χ</w:t>
      </w:r>
      <w:r w:rsidRPr="005474AA">
        <w:rPr>
          <w:vertAlign w:val="superscript"/>
        </w:rPr>
        <w:t>2</w:t>
      </w:r>
      <w:r w:rsidRPr="005474AA">
        <w:t>(</w:t>
      </w:r>
      <w:proofErr w:type="gramEnd"/>
      <w:r w:rsidRPr="005474AA">
        <w:t xml:space="preserve">2) = </w:t>
      </w:r>
      <w:r>
        <w:t>28</w:t>
      </w:r>
      <w:r w:rsidRPr="005474AA">
        <w:t>.</w:t>
      </w:r>
      <w:r>
        <w:t>433</w:t>
      </w:r>
      <w:r w:rsidRPr="005474AA">
        <w:t>, </w:t>
      </w:r>
      <w:r w:rsidRPr="007C7F7A">
        <w:rPr>
          <w:i/>
        </w:rPr>
        <w:t>p</w:t>
      </w:r>
      <w:r w:rsidRPr="005474AA">
        <w:t> </w:t>
      </w:r>
      <w:r>
        <w:t xml:space="preserve">= </w:t>
      </w:r>
      <w:r w:rsidRPr="005474AA">
        <w:t>&lt; .</w:t>
      </w:r>
      <w:r>
        <w:t>001</w:t>
      </w:r>
      <w:r w:rsidRPr="005474AA">
        <w:t>.</w:t>
      </w:r>
      <w:r>
        <w:t xml:space="preserve">  </w:t>
      </w:r>
      <w:r w:rsidRPr="00DE1D0E">
        <w:rPr>
          <w:noProof/>
        </w:rPr>
        <w:t>Post hoc analysis revealed statistically significant differences in</w:t>
      </w:r>
      <w:r w:rsidRPr="005474AA">
        <w:t xml:space="preserve"> </w:t>
      </w:r>
      <w:r>
        <w:t xml:space="preserve">DASS-21 </w:t>
      </w:r>
      <w:r w:rsidRPr="005474AA">
        <w:t xml:space="preserve">from </w:t>
      </w:r>
      <w:r>
        <w:t>baseline</w:t>
      </w:r>
      <w:r w:rsidRPr="005474AA">
        <w:t xml:space="preserve"> (</w:t>
      </w:r>
      <w:proofErr w:type="spellStart"/>
      <w:r w:rsidRPr="007C7F7A">
        <w:rPr>
          <w:i/>
        </w:rPr>
        <w:t>Mdn</w:t>
      </w:r>
      <w:proofErr w:type="spellEnd"/>
      <w:r w:rsidRPr="005474AA">
        <w:t xml:space="preserve"> = </w:t>
      </w:r>
      <w:r>
        <w:t>28.00</w:t>
      </w:r>
      <w:r w:rsidRPr="005474AA">
        <w:t xml:space="preserve">) to </w:t>
      </w:r>
      <w:r>
        <w:t>follow-up</w:t>
      </w:r>
      <w:r w:rsidRPr="005474AA">
        <w:t xml:space="preserve"> (</w:t>
      </w:r>
      <w:proofErr w:type="spellStart"/>
      <w:r w:rsidRPr="007C7F7A">
        <w:rPr>
          <w:i/>
        </w:rPr>
        <w:t>Mdn</w:t>
      </w:r>
      <w:proofErr w:type="spellEnd"/>
      <w:r w:rsidRPr="005474AA">
        <w:t> =</w:t>
      </w:r>
      <w:r>
        <w:t xml:space="preserve"> 14.00</w:t>
      </w:r>
      <w:r w:rsidRPr="005474AA">
        <w:t>) (</w:t>
      </w:r>
      <w:r w:rsidRPr="007C7F7A">
        <w:rPr>
          <w:i/>
        </w:rPr>
        <w:t>p</w:t>
      </w:r>
      <w:r w:rsidRPr="005474AA">
        <w:t> &lt; .</w:t>
      </w:r>
      <w:r>
        <w:t>001</w:t>
      </w:r>
      <w:r w:rsidRPr="005474AA">
        <w:t xml:space="preserve">) and </w:t>
      </w:r>
      <w:r>
        <w:t>baseline</w:t>
      </w:r>
      <w:r w:rsidRPr="005474AA">
        <w:t xml:space="preserve"> (</w:t>
      </w:r>
      <w:proofErr w:type="spellStart"/>
      <w:r w:rsidRPr="007C7F7A">
        <w:rPr>
          <w:i/>
        </w:rPr>
        <w:t>Mdn</w:t>
      </w:r>
      <w:proofErr w:type="spellEnd"/>
      <w:r w:rsidRPr="005474AA">
        <w:t xml:space="preserve"> = </w:t>
      </w:r>
      <w:r>
        <w:t>20.00</w:t>
      </w:r>
      <w:r w:rsidRPr="005474AA">
        <w:t>) (</w:t>
      </w:r>
      <w:r w:rsidRPr="007C7F7A">
        <w:rPr>
          <w:i/>
        </w:rPr>
        <w:t>p</w:t>
      </w:r>
      <w:proofErr w:type="gramStart"/>
      <w:r w:rsidRPr="005474AA">
        <w:t>  &lt;</w:t>
      </w:r>
      <w:proofErr w:type="gramEnd"/>
      <w:r w:rsidRPr="005474AA">
        <w:t xml:space="preserve"> .</w:t>
      </w:r>
      <w:r>
        <w:t>001</w:t>
      </w:r>
      <w:r w:rsidRPr="005474AA">
        <w:t xml:space="preserve">) to </w:t>
      </w:r>
      <w:r>
        <w:t>post-intervention</w:t>
      </w:r>
      <w:r w:rsidRPr="005474AA">
        <w:t xml:space="preserve">, but not post-intervention </w:t>
      </w:r>
      <w:r>
        <w:t>to</w:t>
      </w:r>
      <w:r w:rsidRPr="005474AA">
        <w:t xml:space="preserve"> </w:t>
      </w:r>
      <w:r>
        <w:t>follow-up</w:t>
      </w:r>
      <w:r w:rsidRPr="005474AA">
        <w:t>.</w:t>
      </w:r>
    </w:p>
    <w:p w14:paraId="418A1C60" w14:textId="593E5F49" w:rsidR="00111E4D" w:rsidRDefault="00CE0A7B" w:rsidP="00111E4D">
      <w:pPr>
        <w:pStyle w:val="Heading3"/>
      </w:pPr>
      <w:bookmarkStart w:id="389" w:name="_Toc3538145"/>
      <w:bookmarkStart w:id="390" w:name="_Hlk511335354"/>
      <w:r w:rsidRPr="00CE0A7B">
        <w:t xml:space="preserve">Is </w:t>
      </w:r>
      <w:r>
        <w:t>MYLO</w:t>
      </w:r>
      <w:r w:rsidRPr="00CE0A7B">
        <w:t xml:space="preserve"> a More Acceptable Conversational Agent for Problem Solving to Older Adults Than </w:t>
      </w:r>
      <w:r>
        <w:t>ELIZA</w:t>
      </w:r>
      <w:r w:rsidRPr="00CE0A7B">
        <w:t>?</w:t>
      </w:r>
      <w:bookmarkEnd w:id="389"/>
    </w:p>
    <w:p w14:paraId="6A6F6604" w14:textId="77777777" w:rsidR="00111E4D" w:rsidRDefault="00111E4D" w:rsidP="00111E4D">
      <w:pPr>
        <w:pStyle w:val="Heading4"/>
      </w:pPr>
      <w:r>
        <w:t>Intervention time</w:t>
      </w:r>
    </w:p>
    <w:p w14:paraId="4EA98ACF" w14:textId="77777777" w:rsidR="00111E4D" w:rsidRDefault="00111E4D" w:rsidP="00111E4D">
      <w:r w:rsidRPr="00DE1D0E">
        <w:rPr>
          <w:noProof/>
        </w:rPr>
        <w:t>A Mann-Whitney U test was run to determine if there were differences in</w:t>
      </w:r>
      <w:r w:rsidRPr="00B934D4">
        <w:t xml:space="preserve"> </w:t>
      </w:r>
      <w:r>
        <w:t>intervention time</w:t>
      </w:r>
      <w:r w:rsidRPr="00B934D4">
        <w:t xml:space="preserve"> between </w:t>
      </w:r>
      <w:r>
        <w:t>MYLO</w:t>
      </w:r>
      <w:r w:rsidRPr="00B934D4">
        <w:t xml:space="preserve"> and </w:t>
      </w:r>
      <w:r>
        <w:t>ELIZA</w:t>
      </w:r>
      <w:r w:rsidRPr="00B934D4">
        <w:t xml:space="preserve">. </w:t>
      </w:r>
      <w:r>
        <w:t xml:space="preserve"> </w:t>
      </w:r>
      <w:r w:rsidRPr="00B934D4">
        <w:t xml:space="preserve">Distributions of the </w:t>
      </w:r>
      <w:r>
        <w:t>intervention time</w:t>
      </w:r>
      <w:r w:rsidRPr="004073D7">
        <w:t xml:space="preserve"> for MYLO and ELIZA were not similar, as asses</w:t>
      </w:r>
      <w:r>
        <w:t xml:space="preserve">sed by visual inspection.  Time spent using </w:t>
      </w:r>
      <w:r w:rsidRPr="004073D7">
        <w:t xml:space="preserve">MYLO (mean rank = </w:t>
      </w:r>
      <w:r>
        <w:t>54.35</w:t>
      </w:r>
      <w:r w:rsidRPr="004073D7">
        <w:t xml:space="preserve">) </w:t>
      </w:r>
      <w:r>
        <w:t>was significantly higher than time spent using</w:t>
      </w:r>
      <w:r w:rsidRPr="004073D7">
        <w:t xml:space="preserve"> ELIZA (mean rank = </w:t>
      </w:r>
      <w:r>
        <w:t>40.65</w:t>
      </w:r>
      <w:r w:rsidRPr="004073D7">
        <w:t>), </w:t>
      </w:r>
      <w:r w:rsidRPr="00365E88">
        <w:rPr>
          <w:i/>
        </w:rPr>
        <w:t>U</w:t>
      </w:r>
      <w:r w:rsidRPr="004073D7">
        <w:t xml:space="preserve"> = </w:t>
      </w:r>
      <w:r>
        <w:t>782</w:t>
      </w:r>
      <w:r w:rsidRPr="004073D7">
        <w:t>, </w:t>
      </w:r>
      <w:r w:rsidRPr="00365E88">
        <w:rPr>
          <w:i/>
        </w:rPr>
        <w:t>z</w:t>
      </w:r>
      <w:r w:rsidRPr="004073D7">
        <w:t xml:space="preserve"> = </w:t>
      </w:r>
      <w:r>
        <w:t>-2</w:t>
      </w:r>
      <w:r w:rsidRPr="004073D7">
        <w:t>.</w:t>
      </w:r>
      <w:r>
        <w:t>437</w:t>
      </w:r>
      <w:r w:rsidRPr="004073D7">
        <w:t>, </w:t>
      </w:r>
      <w:r w:rsidRPr="00365E88">
        <w:rPr>
          <w:i/>
        </w:rPr>
        <w:t>p</w:t>
      </w:r>
      <w:r w:rsidRPr="004073D7">
        <w:t> = .</w:t>
      </w:r>
      <w:r>
        <w:t>015</w:t>
      </w:r>
      <w:r w:rsidRPr="004073D7">
        <w:t>.</w:t>
      </w:r>
      <w:r>
        <w:t xml:space="preserve">  The result indicates that there was a between-group difference in intervention time.</w:t>
      </w:r>
    </w:p>
    <w:p w14:paraId="593EFB7E" w14:textId="77777777" w:rsidR="00111E4D" w:rsidRDefault="00111E4D" w:rsidP="00111E4D">
      <w:pPr>
        <w:pStyle w:val="Heading4"/>
      </w:pPr>
      <w:r>
        <w:lastRenderedPageBreak/>
        <w:t>Rating of resolution</w:t>
      </w:r>
    </w:p>
    <w:p w14:paraId="6042F7E0" w14:textId="77777777" w:rsidR="00111E4D" w:rsidRDefault="00111E4D" w:rsidP="00111E4D">
      <w:bookmarkStart w:id="391" w:name="_Hlk511397746"/>
      <w:r w:rsidRPr="00DE1D0E">
        <w:rPr>
          <w:noProof/>
        </w:rPr>
        <w:t>A Mann-Whitney U test was run to determine if there were differences in</w:t>
      </w:r>
      <w:r w:rsidRPr="00B934D4">
        <w:t xml:space="preserve"> </w:t>
      </w:r>
      <w:r>
        <w:t>post-intervention rating of resolution</w:t>
      </w:r>
      <w:r w:rsidRPr="00B934D4">
        <w:t xml:space="preserve"> between </w:t>
      </w:r>
      <w:r>
        <w:t>MYLO</w:t>
      </w:r>
      <w:r w:rsidRPr="00B934D4">
        <w:t xml:space="preserve"> and </w:t>
      </w:r>
      <w:r>
        <w:t>ELIZA</w:t>
      </w:r>
      <w:r w:rsidRPr="00B934D4">
        <w:t xml:space="preserve">. </w:t>
      </w:r>
      <w:r>
        <w:t xml:space="preserve"> </w:t>
      </w:r>
      <w:r w:rsidRPr="00B934D4">
        <w:t xml:space="preserve">Distributions of the </w:t>
      </w:r>
      <w:r>
        <w:t>post-intervention</w:t>
      </w:r>
      <w:r w:rsidRPr="00B934D4">
        <w:t xml:space="preserve"> </w:t>
      </w:r>
      <w:r>
        <w:t xml:space="preserve">rating of </w:t>
      </w:r>
      <w:r w:rsidRPr="004073D7">
        <w:t>resolution for MYLO and ELIZA were not similar, as asses</w:t>
      </w:r>
      <w:r>
        <w:t>sed by visual inspection.  Post</w:t>
      </w:r>
      <w:r>
        <w:noBreakHyphen/>
      </w:r>
      <w:r w:rsidRPr="004073D7">
        <w:t xml:space="preserve">intervention rating of resolution for MYLO (mean rank = </w:t>
      </w:r>
      <w:r>
        <w:t>51.21</w:t>
      </w:r>
      <w:r w:rsidRPr="004073D7">
        <w:t xml:space="preserve">) and ELIZA (mean rank = </w:t>
      </w:r>
      <w:r>
        <w:t>43.79</w:t>
      </w:r>
      <w:r w:rsidRPr="004073D7">
        <w:t>) were not statistically significantly different, </w:t>
      </w:r>
      <w:r w:rsidRPr="00365E88">
        <w:rPr>
          <w:i/>
        </w:rPr>
        <w:t>U</w:t>
      </w:r>
      <w:r w:rsidRPr="004073D7">
        <w:t xml:space="preserve"> = </w:t>
      </w:r>
      <w:r>
        <w:t>930</w:t>
      </w:r>
      <w:r w:rsidRPr="004073D7">
        <w:t>, </w:t>
      </w:r>
      <w:r w:rsidRPr="00365E88">
        <w:rPr>
          <w:i/>
        </w:rPr>
        <w:t>z</w:t>
      </w:r>
      <w:r w:rsidRPr="004073D7">
        <w:t> = -1.</w:t>
      </w:r>
      <w:r>
        <w:t>412</w:t>
      </w:r>
      <w:r w:rsidRPr="004073D7">
        <w:t>, </w:t>
      </w:r>
      <w:r w:rsidRPr="00365E88">
        <w:rPr>
          <w:i/>
        </w:rPr>
        <w:t>p</w:t>
      </w:r>
      <w:r w:rsidRPr="004073D7">
        <w:t> = .137.</w:t>
      </w:r>
      <w:bookmarkEnd w:id="391"/>
      <w:r>
        <w:t xml:space="preserve">  The result indicates that there were no between-group differences in </w:t>
      </w:r>
      <w:r w:rsidRPr="004073D7">
        <w:t>rating of resolution</w:t>
      </w:r>
      <w:r>
        <w:t xml:space="preserve"> at post-intervention.</w:t>
      </w:r>
    </w:p>
    <w:p w14:paraId="042C23D2" w14:textId="77777777" w:rsidR="00111E4D" w:rsidRDefault="00111E4D" w:rsidP="00111E4D">
      <w:r w:rsidRPr="00DE1D0E">
        <w:rPr>
          <w:noProof/>
        </w:rPr>
        <w:t>A Mann-Whitney U test was run to determine if there were differences in</w:t>
      </w:r>
      <w:r w:rsidRPr="00B934D4">
        <w:t xml:space="preserve"> </w:t>
      </w:r>
      <w:r>
        <w:t>follow-up rating of resolution</w:t>
      </w:r>
      <w:r w:rsidRPr="00B934D4">
        <w:t xml:space="preserve"> between </w:t>
      </w:r>
      <w:r>
        <w:t>MYLO</w:t>
      </w:r>
      <w:r w:rsidRPr="00B934D4">
        <w:t xml:space="preserve"> and </w:t>
      </w:r>
      <w:r>
        <w:t>ELIZA</w:t>
      </w:r>
      <w:r w:rsidRPr="00B934D4">
        <w:t>.</w:t>
      </w:r>
      <w:r>
        <w:t xml:space="preserve"> </w:t>
      </w:r>
      <w:r w:rsidRPr="00B934D4">
        <w:t xml:space="preserve"> Distributions of the </w:t>
      </w:r>
      <w:r>
        <w:t xml:space="preserve">follow-up </w:t>
      </w:r>
      <w:r w:rsidRPr="004073D7">
        <w:t xml:space="preserve">rating of resolution for MYLO and ELIZA were not similar, as assessed by visual inspection.  </w:t>
      </w:r>
      <w:r>
        <w:t xml:space="preserve">Follow-up </w:t>
      </w:r>
      <w:r w:rsidRPr="004073D7">
        <w:t xml:space="preserve">rating of resolution for MYLO (mean rank = </w:t>
      </w:r>
      <w:r>
        <w:t xml:space="preserve">50.34) </w:t>
      </w:r>
      <w:r w:rsidRPr="004073D7">
        <w:t xml:space="preserve">and ELIZA (mean rank = </w:t>
      </w:r>
      <w:r>
        <w:t>44.66</w:t>
      </w:r>
      <w:r w:rsidRPr="004073D7">
        <w:t>) were not statistically significantly different, </w:t>
      </w:r>
      <w:r w:rsidRPr="00365E88">
        <w:rPr>
          <w:i/>
        </w:rPr>
        <w:t>U</w:t>
      </w:r>
      <w:r w:rsidRPr="004073D7">
        <w:t xml:space="preserve"> = </w:t>
      </w:r>
      <w:r>
        <w:t>971</w:t>
      </w:r>
      <w:r w:rsidRPr="004073D7">
        <w:t>, </w:t>
      </w:r>
      <w:r w:rsidRPr="00365E88">
        <w:rPr>
          <w:i/>
        </w:rPr>
        <w:t>z</w:t>
      </w:r>
      <w:r w:rsidRPr="004073D7">
        <w:t> = -1.</w:t>
      </w:r>
      <w:r>
        <w:t>021</w:t>
      </w:r>
      <w:r w:rsidRPr="004073D7">
        <w:t>, </w:t>
      </w:r>
      <w:r w:rsidRPr="00365E88">
        <w:rPr>
          <w:i/>
        </w:rPr>
        <w:t>p</w:t>
      </w:r>
      <w:r w:rsidRPr="004073D7">
        <w:t> = .</w:t>
      </w:r>
      <w:r>
        <w:t>307</w:t>
      </w:r>
      <w:r w:rsidRPr="004073D7">
        <w:t>.</w:t>
      </w:r>
      <w:r>
        <w:t xml:space="preserve">  The result indicates that there were no between-group differences in </w:t>
      </w:r>
      <w:r w:rsidRPr="004073D7">
        <w:t>rating of resolution</w:t>
      </w:r>
      <w:r>
        <w:t xml:space="preserve"> at follow-up.</w:t>
      </w:r>
    </w:p>
    <w:p w14:paraId="2C66E1CB" w14:textId="2D581666" w:rsidR="00111E4D" w:rsidRDefault="00111E4D" w:rsidP="00111E4D">
      <w:r>
        <w:t>Forty-seven</w:t>
      </w:r>
      <w:r w:rsidRPr="00F378B6">
        <w:t xml:space="preserve"> participants were recruited </w:t>
      </w:r>
      <w:r>
        <w:t>to MYLO</w:t>
      </w:r>
      <w:r w:rsidR="00554CB4">
        <w:t xml:space="preserve">.  </w:t>
      </w:r>
      <w:r w:rsidRPr="00F378B6">
        <w:t>Data are medians unless otherwise stated.</w:t>
      </w:r>
      <w:r>
        <w:t xml:space="preserve"> </w:t>
      </w:r>
      <w:r w:rsidRPr="00F378B6">
        <w:t xml:space="preserve"> </w:t>
      </w:r>
      <w:r w:rsidRPr="00DE1D0E">
        <w:rPr>
          <w:noProof/>
        </w:rPr>
        <w:t>A sign test with continuity correction was used to</w:t>
      </w:r>
      <w:r w:rsidRPr="005C36F4">
        <w:t xml:space="preserve"> compare the differences in </w:t>
      </w:r>
      <w:r>
        <w:t>rating of resolution between post-intervention and follow-up</w:t>
      </w:r>
      <w:r w:rsidRPr="005C36F4">
        <w:t xml:space="preserve">. </w:t>
      </w:r>
      <w:r>
        <w:t xml:space="preserve"> </w:t>
      </w:r>
      <w:r w:rsidRPr="00F378B6">
        <w:t xml:space="preserve">Of the </w:t>
      </w:r>
      <w:r>
        <w:t>47</w:t>
      </w:r>
      <w:r w:rsidRPr="00F378B6">
        <w:t xml:space="preserve"> participants recruited to </w:t>
      </w:r>
      <w:r>
        <w:t>MYLO</w:t>
      </w:r>
      <w:r w:rsidRPr="00F378B6">
        <w:t xml:space="preserve">, the </w:t>
      </w:r>
      <w:r>
        <w:t>rating of resolution increased from post-intervention to follow-up in</w:t>
      </w:r>
      <w:r w:rsidRPr="00F378B6">
        <w:t xml:space="preserve"> </w:t>
      </w:r>
      <w:r>
        <w:t>26</w:t>
      </w:r>
      <w:r w:rsidRPr="00F378B6">
        <w:t xml:space="preserve"> participants, whereas </w:t>
      </w:r>
      <w:r>
        <w:t>nine</w:t>
      </w:r>
      <w:r w:rsidRPr="00F378B6">
        <w:t xml:space="preserve"> participants saw no improvement and </w:t>
      </w:r>
      <w:r>
        <w:t>12</w:t>
      </w:r>
      <w:r w:rsidRPr="00F378B6">
        <w:t xml:space="preserve"> participant</w:t>
      </w:r>
      <w:r>
        <w:t>s rating of resolution decreased</w:t>
      </w:r>
      <w:r w:rsidRPr="00F378B6">
        <w:t>.</w:t>
      </w:r>
      <w:r>
        <w:t xml:space="preserve"> </w:t>
      </w:r>
      <w:r w:rsidRPr="00F378B6">
        <w:t xml:space="preserve"> </w:t>
      </w:r>
      <w:r w:rsidRPr="005C36F4">
        <w:t>Overall</w:t>
      </w:r>
      <w:r>
        <w:t xml:space="preserve"> the median</w:t>
      </w:r>
      <w:r w:rsidRPr="005C36F4">
        <w:t xml:space="preserve"> participant </w:t>
      </w:r>
      <w:r>
        <w:t>rating of resolution post</w:t>
      </w:r>
      <w:r>
        <w:noBreakHyphen/>
        <w:t>intervention</w:t>
      </w:r>
      <w:r w:rsidRPr="005C36F4">
        <w:t xml:space="preserve"> (1.</w:t>
      </w:r>
      <w:r>
        <w:t>00</w:t>
      </w:r>
      <w:r w:rsidRPr="005C36F4">
        <w:t xml:space="preserve">) </w:t>
      </w:r>
      <w:r>
        <w:t>to follow-up</w:t>
      </w:r>
      <w:r w:rsidRPr="005C36F4">
        <w:t xml:space="preserve"> (</w:t>
      </w:r>
      <w:r>
        <w:t>3</w:t>
      </w:r>
      <w:r w:rsidRPr="005C36F4">
        <w:t>.</w:t>
      </w:r>
      <w:r>
        <w:t>00</w:t>
      </w:r>
      <w:r w:rsidRPr="005C36F4">
        <w:t>)</w:t>
      </w:r>
      <w:r>
        <w:t xml:space="preserve"> increased </w:t>
      </w:r>
      <w:r w:rsidRPr="00365E88">
        <w:rPr>
          <w:i/>
        </w:rPr>
        <w:t>z</w:t>
      </w:r>
      <w:r w:rsidRPr="005C36F4">
        <w:t> = 2.</w:t>
      </w:r>
      <w:r>
        <w:t>109</w:t>
      </w:r>
      <w:r w:rsidRPr="005C36F4">
        <w:t>, </w:t>
      </w:r>
      <w:r w:rsidRPr="00365E88">
        <w:rPr>
          <w:i/>
        </w:rPr>
        <w:t>p</w:t>
      </w:r>
      <w:r w:rsidRPr="005C36F4">
        <w:t> = .</w:t>
      </w:r>
      <w:r>
        <w:t>035</w:t>
      </w:r>
      <w:r w:rsidRPr="005C36F4">
        <w:t>.</w:t>
      </w:r>
    </w:p>
    <w:p w14:paraId="01F0EC8F" w14:textId="57DFC2F6" w:rsidR="00111E4D" w:rsidRDefault="00111E4D" w:rsidP="00111E4D">
      <w:r>
        <w:t>Forty-seven</w:t>
      </w:r>
      <w:r w:rsidRPr="00F378B6">
        <w:t xml:space="preserve"> participants were recruited </w:t>
      </w:r>
      <w:r>
        <w:t>to ELIZA</w:t>
      </w:r>
      <w:r w:rsidR="00554CB4">
        <w:t xml:space="preserve">.  </w:t>
      </w:r>
      <w:r w:rsidRPr="00F378B6">
        <w:t xml:space="preserve">Data are medians unless otherwise stated. </w:t>
      </w:r>
      <w:r>
        <w:t xml:space="preserve"> </w:t>
      </w:r>
      <w:r w:rsidRPr="00DE1D0E">
        <w:rPr>
          <w:noProof/>
        </w:rPr>
        <w:t>A sign test with continuity correction was used to</w:t>
      </w:r>
      <w:r w:rsidRPr="005C36F4">
        <w:t xml:space="preserve"> compare the differences in </w:t>
      </w:r>
      <w:r>
        <w:t>rating of resolution between post-intervention and follow-up</w:t>
      </w:r>
      <w:r w:rsidRPr="005C36F4">
        <w:t xml:space="preserve">. </w:t>
      </w:r>
      <w:r>
        <w:t xml:space="preserve"> </w:t>
      </w:r>
      <w:r w:rsidRPr="00F378B6">
        <w:t xml:space="preserve">Of the </w:t>
      </w:r>
      <w:r>
        <w:t>47</w:t>
      </w:r>
      <w:r w:rsidRPr="00F378B6">
        <w:t xml:space="preserve"> participants recruited to </w:t>
      </w:r>
      <w:r>
        <w:t>ELIZA</w:t>
      </w:r>
      <w:r w:rsidRPr="00F378B6">
        <w:t xml:space="preserve">, the </w:t>
      </w:r>
      <w:r>
        <w:t>rating of resolution increased from post-intervention to follow-up in</w:t>
      </w:r>
      <w:r w:rsidRPr="00F378B6">
        <w:t xml:space="preserve"> </w:t>
      </w:r>
      <w:r>
        <w:t>26</w:t>
      </w:r>
      <w:r w:rsidRPr="00F378B6">
        <w:t xml:space="preserve"> participants, whereas </w:t>
      </w:r>
      <w:r>
        <w:t>14</w:t>
      </w:r>
      <w:r w:rsidRPr="00F378B6">
        <w:t xml:space="preserve"> participants saw no improvement and </w:t>
      </w:r>
      <w:r>
        <w:t>7</w:t>
      </w:r>
      <w:r w:rsidRPr="00F378B6">
        <w:t xml:space="preserve"> participant</w:t>
      </w:r>
      <w:r>
        <w:t>s rating of resolution decreased</w:t>
      </w:r>
      <w:r w:rsidRPr="00F378B6">
        <w:t>.</w:t>
      </w:r>
      <w:r>
        <w:t xml:space="preserve"> </w:t>
      </w:r>
      <w:r w:rsidRPr="00F378B6">
        <w:t xml:space="preserve"> </w:t>
      </w:r>
      <w:r w:rsidRPr="005C36F4">
        <w:t>Overall, participant</w:t>
      </w:r>
      <w:r w:rsidRPr="00D6274D">
        <w:t xml:space="preserve"> </w:t>
      </w:r>
      <w:r>
        <w:t>rating of resolution from</w:t>
      </w:r>
      <w:r w:rsidRPr="005C36F4">
        <w:t xml:space="preserve"> </w:t>
      </w:r>
      <w:r>
        <w:t>post-intervention</w:t>
      </w:r>
      <w:r w:rsidRPr="005C36F4">
        <w:t xml:space="preserve"> (</w:t>
      </w:r>
      <w:r w:rsidR="005A0DF5">
        <w:t>0</w:t>
      </w:r>
      <w:r w:rsidRPr="005C36F4">
        <w:t>.</w:t>
      </w:r>
      <w:r>
        <w:t>00</w:t>
      </w:r>
      <w:r w:rsidRPr="005C36F4">
        <w:t xml:space="preserve">) </w:t>
      </w:r>
      <w:r>
        <w:t>to follow-up</w:t>
      </w:r>
      <w:r w:rsidRPr="005C36F4">
        <w:t xml:space="preserve"> (</w:t>
      </w:r>
      <w:r>
        <w:t>2</w:t>
      </w:r>
      <w:r w:rsidRPr="005C36F4">
        <w:t>.</w:t>
      </w:r>
      <w:r>
        <w:t>00</w:t>
      </w:r>
      <w:r w:rsidRPr="005C36F4">
        <w:t xml:space="preserve">), </w:t>
      </w:r>
      <w:r>
        <w:t>increased</w:t>
      </w:r>
      <w:r w:rsidRPr="005C36F4">
        <w:t>, </w:t>
      </w:r>
      <w:r w:rsidRPr="00365E88">
        <w:rPr>
          <w:i/>
        </w:rPr>
        <w:t>z</w:t>
      </w:r>
      <w:r w:rsidRPr="005C36F4">
        <w:t xml:space="preserve"> = </w:t>
      </w:r>
      <w:r>
        <w:t>3</w:t>
      </w:r>
      <w:r w:rsidRPr="005C36F4">
        <w:t>.</w:t>
      </w:r>
      <w:r>
        <w:t>133</w:t>
      </w:r>
      <w:r w:rsidRPr="005C36F4">
        <w:t>, </w:t>
      </w:r>
      <w:r w:rsidRPr="00365E88">
        <w:rPr>
          <w:i/>
        </w:rPr>
        <w:t>p</w:t>
      </w:r>
      <w:r w:rsidRPr="005C36F4">
        <w:t> = .</w:t>
      </w:r>
      <w:r>
        <w:t>002</w:t>
      </w:r>
      <w:r w:rsidRPr="005C36F4">
        <w:t>.</w:t>
      </w:r>
    </w:p>
    <w:p w14:paraId="12AFEC30" w14:textId="77777777" w:rsidR="00111E4D" w:rsidRDefault="00111E4D" w:rsidP="00111E4D">
      <w:pPr>
        <w:pStyle w:val="Heading4"/>
      </w:pPr>
      <w:r>
        <w:t>Helpfulness</w:t>
      </w:r>
    </w:p>
    <w:p w14:paraId="0204B6CC" w14:textId="77777777" w:rsidR="00111E4D" w:rsidRDefault="00111E4D" w:rsidP="00111E4D">
      <w:r w:rsidRPr="00DE1D0E">
        <w:rPr>
          <w:noProof/>
        </w:rPr>
        <w:t>A Mann-Whitney U test was run to determine if there were differences in</w:t>
      </w:r>
      <w:r>
        <w:t xml:space="preserve"> post-intervention</w:t>
      </w:r>
      <w:r w:rsidRPr="00B934D4">
        <w:t xml:space="preserve"> </w:t>
      </w:r>
      <w:r>
        <w:t>helpfulness</w:t>
      </w:r>
      <w:r w:rsidRPr="00B934D4">
        <w:t xml:space="preserve"> between </w:t>
      </w:r>
      <w:r>
        <w:t>MYLO</w:t>
      </w:r>
      <w:r w:rsidRPr="00B934D4">
        <w:t xml:space="preserve"> and </w:t>
      </w:r>
      <w:r>
        <w:t>ELIZA</w:t>
      </w:r>
      <w:r w:rsidRPr="00B934D4">
        <w:t>.</w:t>
      </w:r>
      <w:r>
        <w:t xml:space="preserve"> </w:t>
      </w:r>
      <w:r w:rsidRPr="00B934D4">
        <w:t xml:space="preserve"> Distributions of the </w:t>
      </w:r>
      <w:r>
        <w:t>post-intervention</w:t>
      </w:r>
      <w:r w:rsidRPr="00B934D4">
        <w:t xml:space="preserve"> </w:t>
      </w:r>
      <w:r>
        <w:t>helpfulness</w:t>
      </w:r>
      <w:r w:rsidRPr="00B934D4">
        <w:t xml:space="preserve"> for </w:t>
      </w:r>
      <w:r>
        <w:t>MYLO</w:t>
      </w:r>
      <w:r w:rsidRPr="00B934D4">
        <w:t xml:space="preserve"> and </w:t>
      </w:r>
      <w:r>
        <w:t>ELIZA</w:t>
      </w:r>
      <w:r w:rsidRPr="00B934D4">
        <w:t xml:space="preserve"> were not similar, as assessed by visual inspection</w:t>
      </w:r>
      <w:r>
        <w:t>.  Post-intervention helpfulness</w:t>
      </w:r>
      <w:r w:rsidRPr="00B934D4">
        <w:t xml:space="preserve"> for </w:t>
      </w:r>
      <w:r>
        <w:t>MYLO</w:t>
      </w:r>
      <w:r w:rsidRPr="00B934D4">
        <w:t xml:space="preserve"> (mean rank = </w:t>
      </w:r>
      <w:r>
        <w:t>54</w:t>
      </w:r>
      <w:r w:rsidRPr="00B934D4">
        <w:t>.</w:t>
      </w:r>
      <w:r>
        <w:t>07</w:t>
      </w:r>
      <w:r w:rsidRPr="00B934D4">
        <w:t xml:space="preserve">) were statistically significantly higher than for </w:t>
      </w:r>
      <w:r>
        <w:t>ELIZA</w:t>
      </w:r>
      <w:r w:rsidRPr="00B934D4">
        <w:t xml:space="preserve"> (mean rank = </w:t>
      </w:r>
      <w:r>
        <w:t>40</w:t>
      </w:r>
      <w:r w:rsidRPr="00B934D4">
        <w:t>.</w:t>
      </w:r>
      <w:r>
        <w:t>93</w:t>
      </w:r>
      <w:r w:rsidRPr="00B934D4">
        <w:t>), </w:t>
      </w:r>
      <w:r w:rsidRPr="00365E88">
        <w:rPr>
          <w:i/>
        </w:rPr>
        <w:t>U</w:t>
      </w:r>
      <w:r w:rsidRPr="00B934D4">
        <w:t xml:space="preserve"> = </w:t>
      </w:r>
      <w:r>
        <w:t>795</w:t>
      </w:r>
      <w:r w:rsidRPr="00B934D4">
        <w:t>, </w:t>
      </w:r>
      <w:r w:rsidRPr="00365E88">
        <w:rPr>
          <w:i/>
        </w:rPr>
        <w:t>z</w:t>
      </w:r>
      <w:r w:rsidRPr="00B934D4">
        <w:t> = -</w:t>
      </w:r>
      <w:r>
        <w:t>2</w:t>
      </w:r>
      <w:r w:rsidRPr="00B934D4">
        <w:t>.</w:t>
      </w:r>
      <w:r>
        <w:t>412</w:t>
      </w:r>
      <w:r w:rsidRPr="00B934D4">
        <w:t>, </w:t>
      </w:r>
      <w:r w:rsidRPr="00365E88">
        <w:rPr>
          <w:i/>
        </w:rPr>
        <w:t>p</w:t>
      </w:r>
      <w:r w:rsidRPr="00B934D4">
        <w:t> = .0</w:t>
      </w:r>
      <w:r>
        <w:t>16</w:t>
      </w:r>
      <w:r w:rsidRPr="00B934D4">
        <w:t>.</w:t>
      </w:r>
      <w:r>
        <w:t xml:space="preserve">  The result indicates that there were between-group differences in helpfulness at post-intervention.</w:t>
      </w:r>
    </w:p>
    <w:p w14:paraId="09E573EC" w14:textId="77777777" w:rsidR="00111E4D" w:rsidRDefault="00111E4D" w:rsidP="00111E4D">
      <w:r w:rsidRPr="00DE1D0E">
        <w:rPr>
          <w:noProof/>
        </w:rPr>
        <w:t>A Mann-Whitney U test was run to determine if there were differences in</w:t>
      </w:r>
      <w:r>
        <w:t xml:space="preserve"> follow-up</w:t>
      </w:r>
      <w:r w:rsidRPr="00B934D4">
        <w:t xml:space="preserve"> </w:t>
      </w:r>
      <w:r>
        <w:t>helpfulness</w:t>
      </w:r>
      <w:r w:rsidRPr="00B934D4">
        <w:t xml:space="preserve"> between </w:t>
      </w:r>
      <w:r>
        <w:t>MYLO</w:t>
      </w:r>
      <w:r w:rsidRPr="00B934D4">
        <w:t xml:space="preserve"> and </w:t>
      </w:r>
      <w:r>
        <w:t>ELIZA</w:t>
      </w:r>
      <w:r w:rsidRPr="00B934D4">
        <w:t xml:space="preserve">. </w:t>
      </w:r>
      <w:r>
        <w:t xml:space="preserve"> </w:t>
      </w:r>
      <w:r w:rsidRPr="00B934D4">
        <w:t xml:space="preserve">Distributions of the </w:t>
      </w:r>
      <w:r>
        <w:t>follow-up</w:t>
      </w:r>
      <w:r w:rsidRPr="00B934D4">
        <w:t xml:space="preserve"> </w:t>
      </w:r>
      <w:r>
        <w:t>helpfulness</w:t>
      </w:r>
      <w:r w:rsidRPr="00B934D4">
        <w:t xml:space="preserve"> for </w:t>
      </w:r>
      <w:r>
        <w:t>MYLO</w:t>
      </w:r>
      <w:r w:rsidRPr="00B934D4">
        <w:t xml:space="preserve"> and </w:t>
      </w:r>
      <w:r>
        <w:t>ELIZA</w:t>
      </w:r>
      <w:r w:rsidRPr="00B934D4">
        <w:t xml:space="preserve"> were not similar, as assessed by visual inspection</w:t>
      </w:r>
      <w:r>
        <w:t>.  Follow-up helpfulness</w:t>
      </w:r>
      <w:r w:rsidRPr="00B934D4">
        <w:t xml:space="preserve"> for </w:t>
      </w:r>
      <w:r>
        <w:t>MYLO</w:t>
      </w:r>
      <w:r w:rsidRPr="00B934D4">
        <w:t xml:space="preserve"> (mean rank = </w:t>
      </w:r>
      <w:r>
        <w:t>54</w:t>
      </w:r>
      <w:r w:rsidRPr="00B934D4">
        <w:t>.</w:t>
      </w:r>
      <w:r>
        <w:t>07</w:t>
      </w:r>
      <w:r w:rsidRPr="00B934D4">
        <w:t xml:space="preserve">) were statistically significantly higher than for </w:t>
      </w:r>
      <w:r>
        <w:t>ELIZA</w:t>
      </w:r>
      <w:r w:rsidRPr="00B934D4">
        <w:t xml:space="preserve"> (mean rank = </w:t>
      </w:r>
      <w:r>
        <w:t>40</w:t>
      </w:r>
      <w:r w:rsidRPr="00B934D4">
        <w:t>.</w:t>
      </w:r>
      <w:r>
        <w:t>93</w:t>
      </w:r>
      <w:r w:rsidRPr="00B934D4">
        <w:t>), </w:t>
      </w:r>
      <w:r w:rsidRPr="00365E88">
        <w:rPr>
          <w:i/>
        </w:rPr>
        <w:t>U</w:t>
      </w:r>
      <w:r w:rsidRPr="00B934D4">
        <w:t xml:space="preserve"> = </w:t>
      </w:r>
      <w:r>
        <w:t>795</w:t>
      </w:r>
      <w:r w:rsidRPr="00B934D4">
        <w:t>, </w:t>
      </w:r>
      <w:r w:rsidRPr="00365E88">
        <w:rPr>
          <w:i/>
        </w:rPr>
        <w:t>z</w:t>
      </w:r>
      <w:r w:rsidRPr="00B934D4">
        <w:t> = -</w:t>
      </w:r>
      <w:r>
        <w:t>2</w:t>
      </w:r>
      <w:r w:rsidRPr="00B934D4">
        <w:t>.</w:t>
      </w:r>
      <w:r>
        <w:t>412</w:t>
      </w:r>
      <w:r w:rsidRPr="00B934D4">
        <w:t>, </w:t>
      </w:r>
      <w:r w:rsidRPr="00365E88">
        <w:rPr>
          <w:i/>
        </w:rPr>
        <w:t>p</w:t>
      </w:r>
      <w:r w:rsidRPr="00B934D4">
        <w:t> = .0</w:t>
      </w:r>
      <w:r>
        <w:t>16</w:t>
      </w:r>
      <w:r w:rsidRPr="00B934D4">
        <w:t>.</w:t>
      </w:r>
      <w:r>
        <w:t xml:space="preserve">  The result indicates that there were between-group differences in helpfulness at follow-up.</w:t>
      </w:r>
    </w:p>
    <w:p w14:paraId="429CE6F9" w14:textId="77777777" w:rsidR="00111E4D" w:rsidRDefault="00111E4D" w:rsidP="00111E4D">
      <w:pPr>
        <w:pStyle w:val="Heading4"/>
      </w:pPr>
      <w:r>
        <w:lastRenderedPageBreak/>
        <w:t>Use again</w:t>
      </w:r>
    </w:p>
    <w:p w14:paraId="1855BECF" w14:textId="77777777" w:rsidR="00111E4D" w:rsidRDefault="00111E4D" w:rsidP="00111E4D">
      <w:r w:rsidRPr="00DE1D0E">
        <w:rPr>
          <w:noProof/>
        </w:rPr>
        <w:t>A Mann-Whitney U test was run to determine if there were differences in</w:t>
      </w:r>
      <w:r w:rsidRPr="00B934D4">
        <w:t xml:space="preserve"> </w:t>
      </w:r>
      <w:r>
        <w:t>post-intervention use again</w:t>
      </w:r>
      <w:r w:rsidRPr="00B934D4">
        <w:t xml:space="preserve"> between </w:t>
      </w:r>
      <w:r>
        <w:t>MYLO</w:t>
      </w:r>
      <w:r w:rsidRPr="00B934D4">
        <w:t xml:space="preserve"> and </w:t>
      </w:r>
      <w:r>
        <w:t>ELIZA</w:t>
      </w:r>
      <w:r w:rsidRPr="00B934D4">
        <w:t>.</w:t>
      </w:r>
      <w:r>
        <w:t xml:space="preserve"> </w:t>
      </w:r>
      <w:r w:rsidRPr="00B934D4">
        <w:t xml:space="preserve"> Distributions of the </w:t>
      </w:r>
      <w:r>
        <w:t>post-intervention</w:t>
      </w:r>
      <w:r w:rsidRPr="00B934D4">
        <w:t xml:space="preserve"> </w:t>
      </w:r>
      <w:r>
        <w:t>use again</w:t>
      </w:r>
      <w:r w:rsidRPr="00B934D4">
        <w:t xml:space="preserve"> for </w:t>
      </w:r>
      <w:r>
        <w:t>MYLO</w:t>
      </w:r>
      <w:r w:rsidRPr="00B934D4">
        <w:t xml:space="preserve"> and </w:t>
      </w:r>
      <w:r>
        <w:t>ELIZA</w:t>
      </w:r>
      <w:r w:rsidRPr="00B934D4">
        <w:t xml:space="preserve"> were not similar, as assessed by visual inspection</w:t>
      </w:r>
      <w:r>
        <w:t>.  Post-intervention use again</w:t>
      </w:r>
      <w:r w:rsidRPr="00B934D4">
        <w:t xml:space="preserve"> for </w:t>
      </w:r>
      <w:r>
        <w:t>MYLO</w:t>
      </w:r>
      <w:r w:rsidRPr="00B934D4">
        <w:t xml:space="preserve"> (mean rank = </w:t>
      </w:r>
      <w:r>
        <w:t>54</w:t>
      </w:r>
      <w:r w:rsidRPr="00B934D4">
        <w:t>.</w:t>
      </w:r>
      <w:r>
        <w:t>81</w:t>
      </w:r>
      <w:r w:rsidRPr="00B934D4">
        <w:t xml:space="preserve">) were statistically significantly higher than for </w:t>
      </w:r>
      <w:r>
        <w:t>ELIZA</w:t>
      </w:r>
      <w:r w:rsidRPr="00B934D4">
        <w:t xml:space="preserve"> (mean rank = </w:t>
      </w:r>
      <w:r>
        <w:t>40</w:t>
      </w:r>
      <w:r w:rsidRPr="00B934D4">
        <w:t>.</w:t>
      </w:r>
      <w:r>
        <w:t>19</w:t>
      </w:r>
      <w:r w:rsidRPr="00B934D4">
        <w:t>), </w:t>
      </w:r>
      <w:r w:rsidRPr="00B3204E">
        <w:rPr>
          <w:i/>
        </w:rPr>
        <w:t>U</w:t>
      </w:r>
      <w:r w:rsidRPr="00B934D4">
        <w:t xml:space="preserve"> = </w:t>
      </w:r>
      <w:r>
        <w:t>761</w:t>
      </w:r>
      <w:r w:rsidRPr="00B934D4">
        <w:t>, </w:t>
      </w:r>
      <w:r w:rsidRPr="00B3204E">
        <w:rPr>
          <w:i/>
        </w:rPr>
        <w:t>z</w:t>
      </w:r>
      <w:r w:rsidRPr="00B934D4">
        <w:t> = -</w:t>
      </w:r>
      <w:r>
        <w:t>2</w:t>
      </w:r>
      <w:r w:rsidRPr="00B934D4">
        <w:t>.</w:t>
      </w:r>
      <w:r>
        <w:t>640</w:t>
      </w:r>
      <w:r w:rsidRPr="00B934D4">
        <w:t>, </w:t>
      </w:r>
      <w:r w:rsidRPr="00B3204E">
        <w:rPr>
          <w:i/>
        </w:rPr>
        <w:t>p</w:t>
      </w:r>
      <w:r w:rsidRPr="00B934D4">
        <w:t> = .</w:t>
      </w:r>
      <w:r>
        <w:t>008</w:t>
      </w:r>
      <w:r w:rsidRPr="00B934D4">
        <w:t>.</w:t>
      </w:r>
      <w:r w:rsidRPr="00E80BA0">
        <w:t xml:space="preserve"> </w:t>
      </w:r>
      <w:r>
        <w:t xml:space="preserve"> The result indicates that there were between-group differences in use again</w:t>
      </w:r>
      <w:r w:rsidRPr="00B934D4">
        <w:t xml:space="preserve"> </w:t>
      </w:r>
      <w:r>
        <w:t>at post-intervention.</w:t>
      </w:r>
    </w:p>
    <w:p w14:paraId="2C85C605" w14:textId="77777777" w:rsidR="00111E4D" w:rsidRDefault="00111E4D" w:rsidP="00111E4D">
      <w:r w:rsidRPr="00DE1D0E">
        <w:rPr>
          <w:noProof/>
        </w:rPr>
        <w:t>A Mann-Whitney U test was run to determine if there were differences in</w:t>
      </w:r>
      <w:r w:rsidRPr="00B934D4">
        <w:t xml:space="preserve"> </w:t>
      </w:r>
      <w:r>
        <w:t>follow-up use again</w:t>
      </w:r>
      <w:r w:rsidRPr="00B934D4">
        <w:t xml:space="preserve"> between </w:t>
      </w:r>
      <w:r>
        <w:t>MYLO</w:t>
      </w:r>
      <w:r w:rsidRPr="00B934D4">
        <w:t xml:space="preserve"> and </w:t>
      </w:r>
      <w:r>
        <w:t>ELIZA</w:t>
      </w:r>
      <w:r w:rsidRPr="00B934D4">
        <w:t xml:space="preserve">. </w:t>
      </w:r>
      <w:r>
        <w:t xml:space="preserve"> </w:t>
      </w:r>
      <w:r w:rsidRPr="00B934D4">
        <w:t xml:space="preserve">Distributions of the </w:t>
      </w:r>
      <w:r>
        <w:t>follow-up</w:t>
      </w:r>
      <w:r w:rsidRPr="00B934D4">
        <w:t xml:space="preserve"> </w:t>
      </w:r>
      <w:r>
        <w:t>use again</w:t>
      </w:r>
      <w:r w:rsidRPr="00B934D4">
        <w:t xml:space="preserve"> for </w:t>
      </w:r>
      <w:r>
        <w:t>MYLO</w:t>
      </w:r>
      <w:r w:rsidRPr="00B934D4">
        <w:t xml:space="preserve"> and </w:t>
      </w:r>
      <w:r>
        <w:t>ELIZA</w:t>
      </w:r>
      <w:r w:rsidRPr="00B934D4">
        <w:t xml:space="preserve"> were not similar, as assessed by visual inspection</w:t>
      </w:r>
      <w:r>
        <w:t>.  Follow-up use again</w:t>
      </w:r>
      <w:r w:rsidRPr="00B934D4">
        <w:t xml:space="preserve"> for </w:t>
      </w:r>
      <w:r>
        <w:t>MYLO</w:t>
      </w:r>
      <w:r w:rsidRPr="00B934D4">
        <w:t xml:space="preserve"> (mean rank = </w:t>
      </w:r>
      <w:r>
        <w:t>53</w:t>
      </w:r>
      <w:r w:rsidRPr="00B934D4">
        <w:t>.</w:t>
      </w:r>
      <w:r>
        <w:t>87</w:t>
      </w:r>
      <w:r w:rsidRPr="00B934D4">
        <w:t xml:space="preserve">) were statistically significantly higher than for </w:t>
      </w:r>
      <w:r>
        <w:t>ELIZA</w:t>
      </w:r>
      <w:r w:rsidRPr="00B934D4">
        <w:t xml:space="preserve"> (mean rank = </w:t>
      </w:r>
      <w:r>
        <w:t>41</w:t>
      </w:r>
      <w:r w:rsidRPr="00B934D4">
        <w:t>.</w:t>
      </w:r>
      <w:r>
        <w:t>13</w:t>
      </w:r>
      <w:r w:rsidRPr="00B934D4">
        <w:t>), </w:t>
      </w:r>
      <w:r w:rsidRPr="007B2FA7">
        <w:rPr>
          <w:i/>
        </w:rPr>
        <w:t>U</w:t>
      </w:r>
      <w:r w:rsidRPr="00B934D4">
        <w:t xml:space="preserve"> = </w:t>
      </w:r>
      <w:r>
        <w:t>805</w:t>
      </w:r>
      <w:r w:rsidRPr="00B934D4">
        <w:t>, </w:t>
      </w:r>
      <w:r w:rsidRPr="007B2FA7">
        <w:rPr>
          <w:i/>
        </w:rPr>
        <w:t>z</w:t>
      </w:r>
      <w:r>
        <w:t xml:space="preserve"> = </w:t>
      </w:r>
      <w:r>
        <w:noBreakHyphen/>
        <w:t>2</w:t>
      </w:r>
      <w:r w:rsidRPr="00B934D4">
        <w:t>.</w:t>
      </w:r>
      <w:r>
        <w:t>329</w:t>
      </w:r>
      <w:r w:rsidRPr="00B934D4">
        <w:t>, </w:t>
      </w:r>
      <w:r w:rsidRPr="007B2FA7">
        <w:rPr>
          <w:i/>
        </w:rPr>
        <w:t>p</w:t>
      </w:r>
      <w:r w:rsidRPr="00B934D4">
        <w:t> = .</w:t>
      </w:r>
      <w:r>
        <w:t>020</w:t>
      </w:r>
      <w:r w:rsidRPr="00B934D4">
        <w:t>.</w:t>
      </w:r>
      <w:r w:rsidRPr="00E80BA0">
        <w:t xml:space="preserve"> </w:t>
      </w:r>
      <w:r>
        <w:t xml:space="preserve"> The result indicates that there were between-group differences in use again</w:t>
      </w:r>
      <w:r w:rsidRPr="00B934D4">
        <w:t xml:space="preserve"> </w:t>
      </w:r>
      <w:r>
        <w:t>at follow-up.</w:t>
      </w:r>
    </w:p>
    <w:p w14:paraId="230A77D9" w14:textId="19D19059" w:rsidR="00111E4D" w:rsidRDefault="00CE0A7B" w:rsidP="00111E4D">
      <w:pPr>
        <w:pStyle w:val="Heading3"/>
      </w:pPr>
      <w:bookmarkStart w:id="392" w:name="_Toc3538146"/>
      <w:bookmarkEnd w:id="390"/>
      <w:r w:rsidRPr="00CE0A7B">
        <w:t xml:space="preserve">Are Both </w:t>
      </w:r>
      <w:r>
        <w:t>MYLO</w:t>
      </w:r>
      <w:r w:rsidRPr="00CE0A7B">
        <w:t xml:space="preserve"> and </w:t>
      </w:r>
      <w:r>
        <w:t>ELIZA</w:t>
      </w:r>
      <w:r w:rsidRPr="00CE0A7B">
        <w:t xml:space="preserve"> of Equal System Usability?</w:t>
      </w:r>
      <w:bookmarkEnd w:id="392"/>
    </w:p>
    <w:p w14:paraId="63A484FD" w14:textId="7350AC8A" w:rsidR="00111E4D" w:rsidRDefault="00111E4D" w:rsidP="00111E4D">
      <w:r w:rsidRPr="00DE1D0E">
        <w:rPr>
          <w:noProof/>
        </w:rPr>
        <w:t>A Mann-Whitney U test was run to determine if there were differences in</w:t>
      </w:r>
      <w:r w:rsidRPr="00B934D4">
        <w:t xml:space="preserve"> </w:t>
      </w:r>
      <w:r>
        <w:t>post-intervention system usability</w:t>
      </w:r>
      <w:r w:rsidRPr="00B934D4">
        <w:t xml:space="preserve"> between </w:t>
      </w:r>
      <w:r>
        <w:t>MYLO</w:t>
      </w:r>
      <w:r w:rsidRPr="00B934D4">
        <w:t xml:space="preserve"> and </w:t>
      </w:r>
      <w:r>
        <w:t>ELIZA</w:t>
      </w:r>
      <w:r w:rsidRPr="00B934D4">
        <w:t>.</w:t>
      </w:r>
      <w:r>
        <w:t xml:space="preserve"> </w:t>
      </w:r>
      <w:r w:rsidRPr="00B934D4">
        <w:t xml:space="preserve"> Distributions of the </w:t>
      </w:r>
      <w:r>
        <w:t>post-intervention</w:t>
      </w:r>
      <w:r w:rsidRPr="00B934D4">
        <w:t xml:space="preserve"> </w:t>
      </w:r>
      <w:r>
        <w:t xml:space="preserve">system usability </w:t>
      </w:r>
      <w:r w:rsidRPr="00B934D4">
        <w:t xml:space="preserve">for </w:t>
      </w:r>
      <w:r>
        <w:t>MYLO</w:t>
      </w:r>
      <w:r w:rsidRPr="00B934D4">
        <w:t xml:space="preserve"> and </w:t>
      </w:r>
      <w:r>
        <w:t>ELIZA</w:t>
      </w:r>
      <w:r w:rsidRPr="00B934D4">
        <w:t xml:space="preserve"> were not similar, as assessed by visual inspection</w:t>
      </w:r>
      <w:r>
        <w:t xml:space="preserve">.  Post-intervention system usability </w:t>
      </w:r>
      <w:r w:rsidRPr="00B934D4">
        <w:t xml:space="preserve">for </w:t>
      </w:r>
      <w:r>
        <w:t>MYLO</w:t>
      </w:r>
      <w:r w:rsidRPr="00B934D4">
        <w:t xml:space="preserve"> (mean rank = </w:t>
      </w:r>
      <w:r>
        <w:t>52.23</w:t>
      </w:r>
      <w:r w:rsidRPr="00B934D4">
        <w:t xml:space="preserve">) </w:t>
      </w:r>
      <w:r>
        <w:t>and ELIZA</w:t>
      </w:r>
      <w:r w:rsidRPr="00B934D4">
        <w:t xml:space="preserve"> (mean rank = </w:t>
      </w:r>
      <w:r>
        <w:t>42.77</w:t>
      </w:r>
      <w:r w:rsidRPr="00B934D4">
        <w:t>)</w:t>
      </w:r>
      <w:r w:rsidRPr="00DD2911">
        <w:t xml:space="preserve"> were not statistically significantly different</w:t>
      </w:r>
      <w:r w:rsidRPr="00B934D4">
        <w:t>, </w:t>
      </w:r>
      <w:r w:rsidRPr="00B3204E">
        <w:rPr>
          <w:i/>
        </w:rPr>
        <w:t>U</w:t>
      </w:r>
      <w:r w:rsidRPr="00B934D4">
        <w:t xml:space="preserve"> = </w:t>
      </w:r>
      <w:r>
        <w:t>882</w:t>
      </w:r>
      <w:r w:rsidRPr="00B934D4">
        <w:t>, </w:t>
      </w:r>
      <w:r w:rsidRPr="00B3204E">
        <w:rPr>
          <w:i/>
        </w:rPr>
        <w:t>z</w:t>
      </w:r>
      <w:r w:rsidRPr="00B934D4">
        <w:t> = -</w:t>
      </w:r>
      <w:r>
        <w:t>1</w:t>
      </w:r>
      <w:r w:rsidRPr="00B934D4">
        <w:t>.</w:t>
      </w:r>
      <w:r>
        <w:t>684</w:t>
      </w:r>
      <w:r w:rsidRPr="00B934D4">
        <w:t>, </w:t>
      </w:r>
      <w:r w:rsidRPr="00B3204E">
        <w:rPr>
          <w:i/>
        </w:rPr>
        <w:t>p</w:t>
      </w:r>
      <w:r w:rsidRPr="00B934D4">
        <w:t> = .</w:t>
      </w:r>
      <w:r>
        <w:t>092</w:t>
      </w:r>
      <w:r w:rsidRPr="00B934D4">
        <w:t>.</w:t>
      </w:r>
      <w:bookmarkStart w:id="393" w:name="_Hlk522192019"/>
      <w:r>
        <w:t xml:space="preserve">  The result indicates that there were no between-group differences in system usability</w:t>
      </w:r>
      <w:r w:rsidRPr="00B934D4">
        <w:t xml:space="preserve"> </w:t>
      </w:r>
      <w:r>
        <w:t xml:space="preserve">at post-intervention.  MYLO had a marginally higher overall mean system usability (see </w:t>
      </w:r>
      <w:r>
        <w:fldChar w:fldCharType="begin"/>
      </w:r>
      <w:r>
        <w:instrText xml:space="preserve"> REF _Ref530484268 \h </w:instrText>
      </w:r>
      <w:r>
        <w:fldChar w:fldCharType="separate"/>
      </w:r>
      <w:r w:rsidR="00574650">
        <w:t xml:space="preserve">Table </w:t>
      </w:r>
      <w:r w:rsidR="00574650">
        <w:rPr>
          <w:noProof/>
        </w:rPr>
        <w:t>5</w:t>
      </w:r>
      <w:r w:rsidR="00574650">
        <w:t>.</w:t>
      </w:r>
      <w:r w:rsidR="00574650">
        <w:rPr>
          <w:noProof/>
        </w:rPr>
        <w:t>2</w:t>
      </w:r>
      <w:r>
        <w:fldChar w:fldCharType="end"/>
      </w:r>
      <w:r>
        <w:t xml:space="preserve">) but neither scored above 68 which is deemed above average usability </w:t>
      </w:r>
      <w:r>
        <w:fldChar w:fldCharType="begin" w:fldLock="1"/>
      </w:r>
      <w:r>
        <w:instrText>ADDIN CSL_CITATION {"citationItems":[{"id":"ITEM-1","itemData":{"author":[{"dropping-particle":"","family":"Brooke","given":"John","non-dropping-particle":"","parse-names":false,"suffix":""}],"id":"ITEM-1","issue":"2","issued":{"date-parts":[["2013"]]},"page":"29-40","title":"SUS: A Retrospective","type":"article-journal","volume":"8"},"uris":["http://www.mendeley.com/documents/?uuid=199211bc-3390-3b6b-a207-281e5ac0820e"]}],"mendeley":{"formattedCitation":"(Brooke, 2013)","plainTextFormattedCitation":"(Brooke, 2013)","previouslyFormattedCitation":"(Brooke, 2013)"},"properties":{"noteIndex":0},"schema":"https://github.com/citation-style-language/schema/raw/master/csl-citation.json"}</w:instrText>
      </w:r>
      <w:r>
        <w:fldChar w:fldCharType="separate"/>
      </w:r>
      <w:r w:rsidRPr="00E45D1D">
        <w:rPr>
          <w:noProof/>
        </w:rPr>
        <w:t>(Brooke, 2013)</w:t>
      </w:r>
      <w:r>
        <w:fldChar w:fldCharType="end"/>
      </w:r>
      <w:r>
        <w:t xml:space="preserve">. </w:t>
      </w:r>
    </w:p>
    <w:p w14:paraId="398ED0DA" w14:textId="379F5423" w:rsidR="00111E4D" w:rsidRDefault="00CE0A7B" w:rsidP="00111E4D">
      <w:pPr>
        <w:pStyle w:val="Heading3"/>
      </w:pPr>
      <w:bookmarkStart w:id="394" w:name="_Toc3538147"/>
      <w:bookmarkEnd w:id="393"/>
      <w:r w:rsidRPr="00CE0A7B">
        <w:t>What Effect Does System Usability Have upon the Acceptability of a Conversational Agent for Problem-Solving?</w:t>
      </w:r>
      <w:bookmarkEnd w:id="394"/>
    </w:p>
    <w:p w14:paraId="36EF0719" w14:textId="63A6496E" w:rsidR="00111E4D" w:rsidRDefault="00111E4D" w:rsidP="00111E4D">
      <w:r w:rsidRPr="00EB616A">
        <w:t xml:space="preserve">A Spearman's rank-order correlation </w:t>
      </w:r>
      <w:r w:rsidRPr="00444DD2">
        <w:t xml:space="preserve">was run to assess the relationship between post-intervention </w:t>
      </w:r>
      <w:r>
        <w:t>system usability</w:t>
      </w:r>
      <w:r w:rsidRPr="00444DD2">
        <w:t xml:space="preserve"> and post-intervention ratings of problem resolution</w:t>
      </w:r>
      <w:r>
        <w:t xml:space="preserve"> within the MYLO group (n=47)</w:t>
      </w:r>
      <w:r w:rsidRPr="00444DD2">
        <w:t>.</w:t>
      </w:r>
      <w:r>
        <w:t xml:space="preserve">  </w:t>
      </w:r>
      <w:r w:rsidRPr="00EB616A">
        <w:t>Preliminary analysis showed the relationship to be monotonic, as assessed by visual inspection of a scatterplot</w:t>
      </w:r>
      <w:r>
        <w:t xml:space="preserve"> (see </w:t>
      </w:r>
      <w:r>
        <w:fldChar w:fldCharType="begin"/>
      </w:r>
      <w:r>
        <w:instrText xml:space="preserve"> REF _Ref526151416 \h </w:instrText>
      </w:r>
      <w:r>
        <w:fldChar w:fldCharType="separate"/>
      </w:r>
      <w:r w:rsidR="00574650">
        <w:t xml:space="preserve">Figure </w:t>
      </w:r>
      <w:r w:rsidR="00574650">
        <w:rPr>
          <w:noProof/>
        </w:rPr>
        <w:t>5</w:t>
      </w:r>
      <w:r w:rsidR="00574650">
        <w:t>.</w:t>
      </w:r>
      <w:r w:rsidR="00574650">
        <w:rPr>
          <w:noProof/>
        </w:rPr>
        <w:t>7</w:t>
      </w:r>
      <w:r>
        <w:fldChar w:fldCharType="end"/>
      </w:r>
      <w:r>
        <w:t>)</w:t>
      </w:r>
      <w:r w:rsidR="00761A67" w:rsidRPr="00EB616A">
        <w:t xml:space="preserve">.  </w:t>
      </w:r>
      <w:r w:rsidRPr="00DE1D0E">
        <w:rPr>
          <w:noProof/>
        </w:rPr>
        <w:t>There was a statistically significant, moderate positive correlation between</w:t>
      </w:r>
      <w:r w:rsidRPr="00EB616A">
        <w:t xml:space="preserve"> </w:t>
      </w:r>
      <w:r>
        <w:t>system usability</w:t>
      </w:r>
      <w:r w:rsidRPr="00EB616A">
        <w:t xml:space="preserve"> </w:t>
      </w:r>
      <w:r w:rsidRPr="00444DD2">
        <w:t>and post-intervention ratings of problem resolution</w:t>
      </w:r>
      <w:r w:rsidRPr="00EB616A">
        <w:t>, </w:t>
      </w:r>
      <w:proofErr w:type="spellStart"/>
      <w:proofErr w:type="gramStart"/>
      <w:r w:rsidRPr="000554C3">
        <w:rPr>
          <w:i/>
        </w:rPr>
        <w:t>r</w:t>
      </w:r>
      <w:r w:rsidRPr="000554C3">
        <w:rPr>
          <w:i/>
          <w:vertAlign w:val="subscript"/>
        </w:rPr>
        <w:t>s</w:t>
      </w:r>
      <w:proofErr w:type="spellEnd"/>
      <w:r w:rsidRPr="00EB616A">
        <w:t>(</w:t>
      </w:r>
      <w:proofErr w:type="gramEnd"/>
      <w:r>
        <w:t>45</w:t>
      </w:r>
      <w:r w:rsidRPr="00EB616A">
        <w:t>) = .</w:t>
      </w:r>
      <w:r>
        <w:t>438</w:t>
      </w:r>
      <w:r w:rsidRPr="00EB616A">
        <w:t>, </w:t>
      </w:r>
      <w:r w:rsidRPr="00237807">
        <w:rPr>
          <w:i/>
        </w:rPr>
        <w:t>p</w:t>
      </w:r>
      <w:r w:rsidRPr="00EB616A">
        <w:t> &lt; .</w:t>
      </w:r>
      <w:r>
        <w:t>001</w:t>
      </w:r>
      <w:r w:rsidRPr="00EB616A">
        <w:t>.</w:t>
      </w:r>
      <w:r>
        <w:t xml:space="preserve">  The result suggests that participants who scored MYLO’s system usability highly felt their problem had been more resolved.</w:t>
      </w:r>
    </w:p>
    <w:p w14:paraId="0AF02400" w14:textId="3611AC70" w:rsidR="00111E4D" w:rsidRDefault="00111E4D" w:rsidP="00111E4D">
      <w:pPr>
        <w:pStyle w:val="Caption"/>
        <w:keepNext/>
      </w:pPr>
      <w:bookmarkStart w:id="395" w:name="_Ref526151416"/>
      <w:bookmarkStart w:id="396" w:name="_Toc530684666"/>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5</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7</w:t>
      </w:r>
      <w:r w:rsidR="00371DCC">
        <w:fldChar w:fldCharType="end"/>
      </w:r>
      <w:bookmarkEnd w:id="395"/>
      <w:r>
        <w:t xml:space="preserve"> System usability (post) and rating of resolution (post) </w:t>
      </w:r>
      <w:r w:rsidRPr="009370F3">
        <w:t>scatterplot</w:t>
      </w:r>
      <w:bookmarkEnd w:id="396"/>
    </w:p>
    <w:p w14:paraId="39A1C647" w14:textId="77777777" w:rsidR="00111E4D" w:rsidRPr="00C821A8" w:rsidRDefault="00111E4D" w:rsidP="00111E4D">
      <w:pPr>
        <w:autoSpaceDE w:val="0"/>
        <w:autoSpaceDN w:val="0"/>
        <w:adjustRightInd w:val="0"/>
        <w:spacing w:after="0" w:line="240" w:lineRule="auto"/>
        <w:rPr>
          <w:rFonts w:ascii="Times New Roman" w:eastAsiaTheme="minorHAnsi" w:hAnsi="Times New Roman" w:cs="Times New Roman"/>
          <w:szCs w:val="24"/>
        </w:rPr>
      </w:pPr>
      <w:r w:rsidRPr="001219AF">
        <w:rPr>
          <w:rFonts w:ascii="Times New Roman" w:eastAsiaTheme="minorHAnsi" w:hAnsi="Times New Roman" w:cs="Times New Roman"/>
          <w:noProof/>
          <w:szCs w:val="24"/>
          <w:lang w:eastAsia="en-GB"/>
        </w:rPr>
        <w:drawing>
          <wp:inline distT="0" distB="0" distL="0" distR="0" wp14:anchorId="7C981270" wp14:editId="710850F0">
            <wp:extent cx="5621548" cy="4461643"/>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21548" cy="4461643"/>
                    </a:xfrm>
                    <a:prstGeom prst="rect">
                      <a:avLst/>
                    </a:prstGeom>
                  </pic:spPr>
                </pic:pic>
              </a:graphicData>
            </a:graphic>
          </wp:inline>
        </w:drawing>
      </w:r>
    </w:p>
    <w:p w14:paraId="0E406711" w14:textId="4F25746D" w:rsidR="00111E4D" w:rsidRDefault="00111E4D" w:rsidP="00111E4D">
      <w:r>
        <w:br/>
      </w:r>
      <w:r w:rsidRPr="00EB616A">
        <w:t xml:space="preserve">A Spearman's rank-order correlation </w:t>
      </w:r>
      <w:r w:rsidRPr="00444DD2">
        <w:t xml:space="preserve">was run to assess the relationship between post-intervention </w:t>
      </w:r>
      <w:r>
        <w:t>system usability</w:t>
      </w:r>
      <w:r w:rsidRPr="00444DD2">
        <w:t xml:space="preserve"> and post-intervention ratings of </w:t>
      </w:r>
      <w:r>
        <w:t>helpfulness within the MYLO group</w:t>
      </w:r>
      <w:r w:rsidR="00554CB4">
        <w:t xml:space="preserve">.  </w:t>
      </w:r>
      <w:r w:rsidRPr="00EB616A">
        <w:t>Preliminary analysis showed the relationship to be monotonic, as assessed by visual inspection of a scatterplot</w:t>
      </w:r>
      <w:r>
        <w:t xml:space="preserve"> (see </w:t>
      </w:r>
      <w:r>
        <w:fldChar w:fldCharType="begin"/>
      </w:r>
      <w:r>
        <w:instrText xml:space="preserve"> REF _Ref526151426 \h </w:instrText>
      </w:r>
      <w:r>
        <w:fldChar w:fldCharType="separate"/>
      </w:r>
      <w:r w:rsidR="00574650">
        <w:t xml:space="preserve">Figure </w:t>
      </w:r>
      <w:r w:rsidR="00574650">
        <w:rPr>
          <w:noProof/>
        </w:rPr>
        <w:t>5</w:t>
      </w:r>
      <w:r w:rsidR="00574650">
        <w:t>.</w:t>
      </w:r>
      <w:r w:rsidR="00574650">
        <w:rPr>
          <w:noProof/>
        </w:rPr>
        <w:t>8</w:t>
      </w:r>
      <w:r>
        <w:fldChar w:fldCharType="end"/>
      </w:r>
      <w:r>
        <w:t>)</w:t>
      </w:r>
      <w:r w:rsidR="00761A67" w:rsidRPr="00EB616A">
        <w:t xml:space="preserve">.  </w:t>
      </w:r>
      <w:r w:rsidRPr="00DE1D0E">
        <w:rPr>
          <w:noProof/>
        </w:rPr>
        <w:t>There was a statistically significant, moderate positive correlation between</w:t>
      </w:r>
      <w:r w:rsidRPr="00EB616A">
        <w:t xml:space="preserve"> </w:t>
      </w:r>
      <w:r>
        <w:t>system usability</w:t>
      </w:r>
      <w:r w:rsidRPr="00EB616A">
        <w:t xml:space="preserve"> </w:t>
      </w:r>
      <w:r w:rsidRPr="00444DD2">
        <w:t xml:space="preserve">and post-intervention ratings of </w:t>
      </w:r>
      <w:r>
        <w:t>helpfulness</w:t>
      </w:r>
      <w:r w:rsidRPr="00EB616A">
        <w:t>, </w:t>
      </w:r>
      <w:proofErr w:type="spellStart"/>
      <w:proofErr w:type="gramStart"/>
      <w:r w:rsidRPr="000554C3">
        <w:rPr>
          <w:i/>
        </w:rPr>
        <w:t>r</w:t>
      </w:r>
      <w:r w:rsidRPr="000554C3">
        <w:rPr>
          <w:i/>
          <w:vertAlign w:val="subscript"/>
        </w:rPr>
        <w:t>s</w:t>
      </w:r>
      <w:proofErr w:type="spellEnd"/>
      <w:r w:rsidRPr="00EB616A">
        <w:t>(</w:t>
      </w:r>
      <w:proofErr w:type="gramEnd"/>
      <w:r>
        <w:t>45</w:t>
      </w:r>
      <w:r w:rsidRPr="00EB616A">
        <w:t>) = .</w:t>
      </w:r>
      <w:r>
        <w:t>514</w:t>
      </w:r>
      <w:r w:rsidRPr="00EB616A">
        <w:t>, </w:t>
      </w:r>
      <w:r w:rsidRPr="000554C3">
        <w:rPr>
          <w:i/>
        </w:rPr>
        <w:t>p</w:t>
      </w:r>
      <w:r w:rsidRPr="00EB616A">
        <w:t> &lt; .</w:t>
      </w:r>
      <w:r>
        <w:t>001</w:t>
      </w:r>
      <w:r w:rsidRPr="00EB616A">
        <w:t>.</w:t>
      </w:r>
      <w:r>
        <w:t xml:space="preserve">  The result suggests that participants who scored MYLO’s system usability highly found MYLO more helpful.</w:t>
      </w:r>
    </w:p>
    <w:p w14:paraId="57BE9F69" w14:textId="3882A7A9" w:rsidR="00111E4D" w:rsidRDefault="00111E4D" w:rsidP="00111E4D">
      <w:pPr>
        <w:pStyle w:val="Caption"/>
        <w:keepNext/>
      </w:pPr>
      <w:bookmarkStart w:id="397" w:name="_Ref526151426"/>
      <w:bookmarkStart w:id="398" w:name="_Toc530684667"/>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5</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8</w:t>
      </w:r>
      <w:r w:rsidR="00371DCC">
        <w:fldChar w:fldCharType="end"/>
      </w:r>
      <w:bookmarkEnd w:id="397"/>
      <w:r>
        <w:t xml:space="preserve"> System usability</w:t>
      </w:r>
      <w:r w:rsidRPr="00A75A85">
        <w:t xml:space="preserve"> (post) and </w:t>
      </w:r>
      <w:r>
        <w:t>helpfulness</w:t>
      </w:r>
      <w:r w:rsidRPr="00A75A85">
        <w:t xml:space="preserve"> (post) scatterplot</w:t>
      </w:r>
      <w:bookmarkEnd w:id="398"/>
    </w:p>
    <w:p w14:paraId="46F66DBD" w14:textId="77777777" w:rsidR="00111E4D" w:rsidRDefault="00111E4D" w:rsidP="00111E4D">
      <w:pPr>
        <w:autoSpaceDE w:val="0"/>
        <w:autoSpaceDN w:val="0"/>
        <w:adjustRightInd w:val="0"/>
        <w:spacing w:after="0" w:line="240" w:lineRule="auto"/>
      </w:pPr>
      <w:r w:rsidRPr="00990C18">
        <w:rPr>
          <w:noProof/>
          <w:lang w:eastAsia="en-GB"/>
        </w:rPr>
        <w:drawing>
          <wp:inline distT="0" distB="0" distL="0" distR="0" wp14:anchorId="671609EF" wp14:editId="538814AD">
            <wp:extent cx="5615411" cy="4455506"/>
            <wp:effectExtent l="0" t="0" r="4445" b="254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15411" cy="4455506"/>
                    </a:xfrm>
                    <a:prstGeom prst="rect">
                      <a:avLst/>
                    </a:prstGeom>
                  </pic:spPr>
                </pic:pic>
              </a:graphicData>
            </a:graphic>
          </wp:inline>
        </w:drawing>
      </w:r>
    </w:p>
    <w:p w14:paraId="76DCC964" w14:textId="561BD3AE" w:rsidR="00111E4D" w:rsidRDefault="00111E4D" w:rsidP="00111E4D">
      <w:r>
        <w:br/>
      </w:r>
      <w:r w:rsidRPr="00EB616A">
        <w:t xml:space="preserve">A Spearman's rank-order correlation </w:t>
      </w:r>
      <w:r w:rsidRPr="00444DD2">
        <w:t xml:space="preserve">was run to assess the relationship between post-intervention </w:t>
      </w:r>
      <w:r>
        <w:t>system usability</w:t>
      </w:r>
      <w:r w:rsidRPr="00444DD2">
        <w:t xml:space="preserve"> and post-intervention </w:t>
      </w:r>
      <w:r w:rsidRPr="003519D0">
        <w:t>ratings of interest in using MYLO again</w:t>
      </w:r>
      <w:r w:rsidRPr="00EB616A">
        <w:t xml:space="preserve"> Preliminary analysis showed the relationship to be monotonic, as assessed by visual inspection of a scatterplot</w:t>
      </w:r>
      <w:r>
        <w:t xml:space="preserve"> (see </w:t>
      </w:r>
      <w:r>
        <w:fldChar w:fldCharType="begin"/>
      </w:r>
      <w:r>
        <w:instrText xml:space="preserve"> REF _Ref526151436 \h </w:instrText>
      </w:r>
      <w:r>
        <w:fldChar w:fldCharType="separate"/>
      </w:r>
      <w:r w:rsidR="00574650">
        <w:t xml:space="preserve">Figure </w:t>
      </w:r>
      <w:r w:rsidR="00574650">
        <w:rPr>
          <w:noProof/>
        </w:rPr>
        <w:t>5</w:t>
      </w:r>
      <w:r w:rsidR="00574650">
        <w:t>.</w:t>
      </w:r>
      <w:r w:rsidR="00574650">
        <w:rPr>
          <w:noProof/>
        </w:rPr>
        <w:t>9</w:t>
      </w:r>
      <w:r>
        <w:fldChar w:fldCharType="end"/>
      </w:r>
      <w:r>
        <w:t>)</w:t>
      </w:r>
      <w:r w:rsidR="00761A67" w:rsidRPr="00EB616A">
        <w:t xml:space="preserve">.  </w:t>
      </w:r>
      <w:r w:rsidRPr="00DE1D0E">
        <w:rPr>
          <w:noProof/>
        </w:rPr>
        <w:t>There was a statistically significant, moderate positive correlation between</w:t>
      </w:r>
      <w:r w:rsidRPr="00EB616A">
        <w:t xml:space="preserve"> </w:t>
      </w:r>
      <w:r>
        <w:t>system usability</w:t>
      </w:r>
      <w:r w:rsidRPr="00EB616A">
        <w:t xml:space="preserve"> </w:t>
      </w:r>
      <w:r w:rsidRPr="00444DD2">
        <w:t xml:space="preserve">and post-intervention </w:t>
      </w:r>
      <w:r w:rsidRPr="003519D0">
        <w:t>ratings of interest in using MYLO again</w:t>
      </w:r>
      <w:r w:rsidRPr="00EB616A">
        <w:t>, </w:t>
      </w:r>
      <w:proofErr w:type="spellStart"/>
      <w:proofErr w:type="gramStart"/>
      <w:r w:rsidRPr="000554C3">
        <w:rPr>
          <w:i/>
        </w:rPr>
        <w:t>r</w:t>
      </w:r>
      <w:r w:rsidRPr="00B12DAC">
        <w:rPr>
          <w:i/>
          <w:vertAlign w:val="subscript"/>
        </w:rPr>
        <w:t>s</w:t>
      </w:r>
      <w:proofErr w:type="spellEnd"/>
      <w:r w:rsidRPr="00EB616A">
        <w:t>(</w:t>
      </w:r>
      <w:proofErr w:type="gramEnd"/>
      <w:r>
        <w:t>45</w:t>
      </w:r>
      <w:r w:rsidRPr="00EB616A">
        <w:t>) = .</w:t>
      </w:r>
      <w:r>
        <w:t>514</w:t>
      </w:r>
      <w:r w:rsidRPr="00EB616A">
        <w:t>, </w:t>
      </w:r>
      <w:r w:rsidRPr="00B12DAC">
        <w:rPr>
          <w:i/>
        </w:rPr>
        <w:t>p</w:t>
      </w:r>
      <w:r w:rsidRPr="00EB616A">
        <w:t> &lt; .</w:t>
      </w:r>
      <w:r>
        <w:t>001</w:t>
      </w:r>
      <w:r w:rsidRPr="00EB616A">
        <w:t>.</w:t>
      </w:r>
      <w:r>
        <w:t xml:space="preserve">  The result suggests that participants who scored MYLO’s system usability highly found MYLO more helpful.</w:t>
      </w:r>
      <w:r w:rsidRPr="00753EA1">
        <w:t xml:space="preserve"> </w:t>
      </w:r>
      <w:r>
        <w:t xml:space="preserve"> </w:t>
      </w:r>
      <w:r w:rsidRPr="003519D0">
        <w:t xml:space="preserve">The result suggests that participants who scored MYLO’s </w:t>
      </w:r>
      <w:r>
        <w:t>system usability</w:t>
      </w:r>
      <w:r w:rsidRPr="003519D0">
        <w:t xml:space="preserve"> highly were more interested in using MYLO agai</w:t>
      </w:r>
      <w:r>
        <w:t>n.</w:t>
      </w:r>
    </w:p>
    <w:p w14:paraId="0F270A73" w14:textId="5F0F1CEA" w:rsidR="00111E4D" w:rsidRDefault="00111E4D" w:rsidP="00111E4D">
      <w:pPr>
        <w:pStyle w:val="Caption"/>
        <w:keepNext/>
      </w:pPr>
      <w:bookmarkStart w:id="399" w:name="_Ref526151436"/>
      <w:bookmarkStart w:id="400" w:name="_Toc530684668"/>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5</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9</w:t>
      </w:r>
      <w:r w:rsidR="00371DCC">
        <w:fldChar w:fldCharType="end"/>
      </w:r>
      <w:bookmarkEnd w:id="399"/>
      <w:r>
        <w:t xml:space="preserve"> System usability</w:t>
      </w:r>
      <w:r w:rsidRPr="00D22774">
        <w:t xml:space="preserve"> (post) and </w:t>
      </w:r>
      <w:r>
        <w:t>use again</w:t>
      </w:r>
      <w:r w:rsidRPr="00D22774">
        <w:t xml:space="preserve"> (post) scatterplot</w:t>
      </w:r>
      <w:bookmarkEnd w:id="400"/>
    </w:p>
    <w:p w14:paraId="67C8A0D6" w14:textId="77777777" w:rsidR="00111E4D" w:rsidRDefault="00111E4D" w:rsidP="00111E4D">
      <w:pPr>
        <w:autoSpaceDE w:val="0"/>
        <w:autoSpaceDN w:val="0"/>
        <w:adjustRightInd w:val="0"/>
        <w:spacing w:after="0" w:line="240" w:lineRule="auto"/>
        <w:rPr>
          <w:rFonts w:ascii="Times New Roman" w:eastAsiaTheme="minorHAnsi" w:hAnsi="Times New Roman" w:cs="Times New Roman"/>
          <w:szCs w:val="24"/>
        </w:rPr>
      </w:pPr>
      <w:r w:rsidRPr="005152A8">
        <w:rPr>
          <w:rFonts w:ascii="Times New Roman" w:eastAsiaTheme="minorHAnsi" w:hAnsi="Times New Roman" w:cs="Times New Roman"/>
          <w:noProof/>
          <w:szCs w:val="24"/>
          <w:lang w:eastAsia="en-GB"/>
        </w:rPr>
        <w:drawing>
          <wp:inline distT="0" distB="0" distL="0" distR="0" wp14:anchorId="268E1E8B" wp14:editId="35369157">
            <wp:extent cx="5615411" cy="4455506"/>
            <wp:effectExtent l="0" t="0" r="4445" b="254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5411" cy="4455506"/>
                    </a:xfrm>
                    <a:prstGeom prst="rect">
                      <a:avLst/>
                    </a:prstGeom>
                  </pic:spPr>
                </pic:pic>
              </a:graphicData>
            </a:graphic>
          </wp:inline>
        </w:drawing>
      </w:r>
    </w:p>
    <w:p w14:paraId="16CF2163" w14:textId="518CA717" w:rsidR="00111E4D" w:rsidRDefault="00111E4D" w:rsidP="00111E4D">
      <w:pPr>
        <w:pStyle w:val="Caption"/>
        <w:keepNext/>
        <w:jc w:val="both"/>
      </w:pPr>
      <w:r>
        <w:br/>
      </w:r>
      <w:bookmarkStart w:id="401" w:name="_Toc530759493"/>
      <w:proofErr w:type="gramStart"/>
      <w:r>
        <w:t xml:space="preserve">Table </w:t>
      </w:r>
      <w:r w:rsidR="007E7BB7">
        <w:fldChar w:fldCharType="begin"/>
      </w:r>
      <w:r w:rsidR="007E7BB7">
        <w:instrText xml:space="preserve"> STYLEREF 1 \s </w:instrText>
      </w:r>
      <w:r w:rsidR="007E7BB7">
        <w:fldChar w:fldCharType="separate"/>
      </w:r>
      <w:r w:rsidR="00574650">
        <w:rPr>
          <w:noProof/>
        </w:rPr>
        <w:t>5</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r w:rsidR="00574650">
        <w:rPr>
          <w:noProof/>
        </w:rPr>
        <w:t>3</w:t>
      </w:r>
      <w:r w:rsidR="007E7BB7">
        <w:fldChar w:fldCharType="end"/>
      </w:r>
      <w:r>
        <w:t xml:space="preserve">  </w:t>
      </w:r>
      <w:r w:rsidRPr="00741833">
        <w:t xml:space="preserve">Correlation matrix of </w:t>
      </w:r>
      <w:r>
        <w:t>System usability and post</w:t>
      </w:r>
      <w:r w:rsidRPr="00741833">
        <w:t xml:space="preserve"> intervention </w:t>
      </w:r>
      <w:r>
        <w:t>Ratings of Resolution, Helpfulness and Use Again, in the MYLO group</w:t>
      </w:r>
      <w:bookmarkEnd w:id="401"/>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638"/>
        <w:gridCol w:w="4103"/>
        <w:gridCol w:w="1350"/>
        <w:gridCol w:w="1350"/>
        <w:gridCol w:w="1350"/>
        <w:gridCol w:w="1346"/>
      </w:tblGrid>
      <w:tr w:rsidR="00111E4D" w14:paraId="7FE5F585" w14:textId="77777777" w:rsidTr="00111E4D">
        <w:tc>
          <w:tcPr>
            <w:tcW w:w="314" w:type="pct"/>
            <w:tcBorders>
              <w:top w:val="single" w:sz="4" w:space="0" w:color="auto"/>
              <w:bottom w:val="single" w:sz="4" w:space="0" w:color="auto"/>
            </w:tcBorders>
          </w:tcPr>
          <w:p w14:paraId="23409F2B" w14:textId="77777777" w:rsidR="00111E4D" w:rsidRPr="002B2599" w:rsidRDefault="00111E4D" w:rsidP="00111E4D">
            <w:pPr>
              <w:pStyle w:val="NoSpacing"/>
            </w:pPr>
          </w:p>
        </w:tc>
        <w:tc>
          <w:tcPr>
            <w:tcW w:w="2024" w:type="pct"/>
            <w:tcBorders>
              <w:top w:val="single" w:sz="4" w:space="0" w:color="auto"/>
              <w:bottom w:val="single" w:sz="4" w:space="0" w:color="auto"/>
            </w:tcBorders>
            <w:vAlign w:val="center"/>
          </w:tcPr>
          <w:p w14:paraId="0127040D" w14:textId="77777777" w:rsidR="00111E4D" w:rsidRPr="002B2599" w:rsidRDefault="00111E4D" w:rsidP="00111E4D">
            <w:pPr>
              <w:pStyle w:val="NoSpacing"/>
            </w:pPr>
          </w:p>
        </w:tc>
        <w:tc>
          <w:tcPr>
            <w:tcW w:w="666" w:type="pct"/>
            <w:tcBorders>
              <w:top w:val="single" w:sz="4" w:space="0" w:color="auto"/>
              <w:bottom w:val="single" w:sz="4" w:space="0" w:color="auto"/>
            </w:tcBorders>
            <w:vAlign w:val="center"/>
          </w:tcPr>
          <w:p w14:paraId="50D30884" w14:textId="77777777" w:rsidR="00111E4D" w:rsidRPr="002B2599" w:rsidRDefault="00111E4D" w:rsidP="00111E4D">
            <w:pPr>
              <w:pStyle w:val="NoSpacing"/>
            </w:pPr>
            <w:r w:rsidRPr="002B2599">
              <w:t>1</w:t>
            </w:r>
          </w:p>
        </w:tc>
        <w:tc>
          <w:tcPr>
            <w:tcW w:w="666" w:type="pct"/>
            <w:tcBorders>
              <w:top w:val="single" w:sz="4" w:space="0" w:color="auto"/>
              <w:bottom w:val="single" w:sz="4" w:space="0" w:color="auto"/>
            </w:tcBorders>
            <w:vAlign w:val="center"/>
          </w:tcPr>
          <w:p w14:paraId="4AFA86B9" w14:textId="77777777" w:rsidR="00111E4D" w:rsidRPr="002B2599" w:rsidRDefault="00111E4D" w:rsidP="00111E4D">
            <w:pPr>
              <w:pStyle w:val="NoSpacing"/>
            </w:pPr>
            <w:r w:rsidRPr="002B2599">
              <w:t>2</w:t>
            </w:r>
          </w:p>
        </w:tc>
        <w:tc>
          <w:tcPr>
            <w:tcW w:w="666" w:type="pct"/>
            <w:tcBorders>
              <w:top w:val="single" w:sz="4" w:space="0" w:color="auto"/>
              <w:bottom w:val="single" w:sz="4" w:space="0" w:color="auto"/>
            </w:tcBorders>
            <w:vAlign w:val="center"/>
          </w:tcPr>
          <w:p w14:paraId="080F3330" w14:textId="77777777" w:rsidR="00111E4D" w:rsidRPr="002B2599" w:rsidRDefault="00111E4D" w:rsidP="00111E4D">
            <w:pPr>
              <w:pStyle w:val="NoSpacing"/>
            </w:pPr>
            <w:r w:rsidRPr="002B2599">
              <w:t>3</w:t>
            </w:r>
          </w:p>
        </w:tc>
        <w:tc>
          <w:tcPr>
            <w:tcW w:w="664" w:type="pct"/>
            <w:tcBorders>
              <w:top w:val="single" w:sz="4" w:space="0" w:color="auto"/>
              <w:bottom w:val="single" w:sz="4" w:space="0" w:color="auto"/>
            </w:tcBorders>
          </w:tcPr>
          <w:p w14:paraId="4A2B72F5" w14:textId="77777777" w:rsidR="00111E4D" w:rsidRPr="002B2599" w:rsidRDefault="00111E4D" w:rsidP="00111E4D">
            <w:pPr>
              <w:pStyle w:val="NoSpacing"/>
            </w:pPr>
            <w:r w:rsidRPr="002B2599">
              <w:t>4</w:t>
            </w:r>
          </w:p>
        </w:tc>
      </w:tr>
      <w:tr w:rsidR="00111E4D" w14:paraId="398A2062" w14:textId="77777777" w:rsidTr="00111E4D">
        <w:tc>
          <w:tcPr>
            <w:tcW w:w="314" w:type="pct"/>
            <w:tcBorders>
              <w:top w:val="single" w:sz="4" w:space="0" w:color="auto"/>
            </w:tcBorders>
          </w:tcPr>
          <w:p w14:paraId="3408EB53" w14:textId="77777777" w:rsidR="00111E4D" w:rsidRPr="002B2599" w:rsidRDefault="00111E4D" w:rsidP="00111E4D">
            <w:pPr>
              <w:pStyle w:val="NoSpacing"/>
            </w:pPr>
            <w:r w:rsidRPr="002B2599">
              <w:t>1</w:t>
            </w:r>
          </w:p>
        </w:tc>
        <w:tc>
          <w:tcPr>
            <w:tcW w:w="2024" w:type="pct"/>
            <w:tcBorders>
              <w:top w:val="single" w:sz="4" w:space="0" w:color="auto"/>
            </w:tcBorders>
            <w:shd w:val="clear" w:color="auto" w:fill="auto"/>
            <w:vAlign w:val="center"/>
          </w:tcPr>
          <w:p w14:paraId="55389A4E" w14:textId="77777777" w:rsidR="00111E4D" w:rsidRPr="002B2599" w:rsidRDefault="00111E4D" w:rsidP="00111E4D">
            <w:pPr>
              <w:pStyle w:val="NoSpacing"/>
            </w:pPr>
            <w:r>
              <w:t>System Usability</w:t>
            </w:r>
            <w:r w:rsidRPr="002B2599">
              <w:t xml:space="preserve"> </w:t>
            </w:r>
          </w:p>
        </w:tc>
        <w:tc>
          <w:tcPr>
            <w:tcW w:w="666" w:type="pct"/>
            <w:tcBorders>
              <w:top w:val="single" w:sz="4" w:space="0" w:color="auto"/>
            </w:tcBorders>
            <w:shd w:val="clear" w:color="auto" w:fill="auto"/>
            <w:vAlign w:val="center"/>
          </w:tcPr>
          <w:p w14:paraId="7784834A" w14:textId="77777777" w:rsidR="00111E4D" w:rsidRPr="002B2599" w:rsidRDefault="00111E4D" w:rsidP="00111E4D">
            <w:pPr>
              <w:pStyle w:val="NoSpacing"/>
            </w:pPr>
            <w:r>
              <w:t>-</w:t>
            </w:r>
          </w:p>
        </w:tc>
        <w:tc>
          <w:tcPr>
            <w:tcW w:w="666" w:type="pct"/>
            <w:tcBorders>
              <w:top w:val="single" w:sz="4" w:space="0" w:color="auto"/>
            </w:tcBorders>
            <w:shd w:val="clear" w:color="auto" w:fill="auto"/>
            <w:vAlign w:val="center"/>
          </w:tcPr>
          <w:p w14:paraId="31ADAFBC" w14:textId="77777777" w:rsidR="00111E4D" w:rsidRPr="002B2599" w:rsidRDefault="00111E4D" w:rsidP="00111E4D">
            <w:pPr>
              <w:pStyle w:val="NoSpacing"/>
            </w:pPr>
            <w:r w:rsidRPr="002B2599">
              <w:t>.</w:t>
            </w:r>
            <w:r>
              <w:t>44</w:t>
            </w:r>
            <w:r w:rsidRPr="002B2599">
              <w:t>**</w:t>
            </w:r>
          </w:p>
        </w:tc>
        <w:tc>
          <w:tcPr>
            <w:tcW w:w="666" w:type="pct"/>
            <w:tcBorders>
              <w:top w:val="single" w:sz="4" w:space="0" w:color="auto"/>
            </w:tcBorders>
            <w:shd w:val="clear" w:color="auto" w:fill="auto"/>
            <w:vAlign w:val="center"/>
          </w:tcPr>
          <w:p w14:paraId="6F3B90E4" w14:textId="1BB868B4" w:rsidR="00111E4D" w:rsidRPr="002B2599" w:rsidRDefault="00111E4D" w:rsidP="00111E4D">
            <w:pPr>
              <w:pStyle w:val="NoSpacing"/>
            </w:pPr>
            <w:r w:rsidRPr="002B2599">
              <w:t>.</w:t>
            </w:r>
            <w:r>
              <w:t>51</w:t>
            </w:r>
            <w:r w:rsidR="00AA1B2A">
              <w:t>**</w:t>
            </w:r>
          </w:p>
        </w:tc>
        <w:tc>
          <w:tcPr>
            <w:tcW w:w="664" w:type="pct"/>
            <w:tcBorders>
              <w:top w:val="single" w:sz="4" w:space="0" w:color="auto"/>
            </w:tcBorders>
          </w:tcPr>
          <w:p w14:paraId="5B32739C" w14:textId="77777777" w:rsidR="00111E4D" w:rsidRPr="002B2599" w:rsidRDefault="00111E4D" w:rsidP="00111E4D">
            <w:pPr>
              <w:pStyle w:val="NoSpacing"/>
            </w:pPr>
            <w:r w:rsidRPr="002B2599">
              <w:t>.54**</w:t>
            </w:r>
          </w:p>
        </w:tc>
      </w:tr>
      <w:tr w:rsidR="00111E4D" w14:paraId="03850881" w14:textId="77777777" w:rsidTr="00111E4D">
        <w:tc>
          <w:tcPr>
            <w:tcW w:w="314" w:type="pct"/>
          </w:tcPr>
          <w:p w14:paraId="03091AFC" w14:textId="77777777" w:rsidR="00111E4D" w:rsidRPr="002B2599" w:rsidRDefault="00111E4D" w:rsidP="00111E4D">
            <w:pPr>
              <w:pStyle w:val="NoSpacing"/>
            </w:pPr>
            <w:r w:rsidRPr="002B2599">
              <w:t>2</w:t>
            </w:r>
          </w:p>
        </w:tc>
        <w:tc>
          <w:tcPr>
            <w:tcW w:w="2024" w:type="pct"/>
            <w:shd w:val="clear" w:color="auto" w:fill="auto"/>
            <w:vAlign w:val="center"/>
          </w:tcPr>
          <w:p w14:paraId="0F5CDEB0" w14:textId="77777777" w:rsidR="00111E4D" w:rsidRPr="002B2599" w:rsidRDefault="00111E4D" w:rsidP="00111E4D">
            <w:pPr>
              <w:pStyle w:val="NoSpacing"/>
            </w:pPr>
            <w:r w:rsidRPr="002B2599">
              <w:t>Ratings of Resolution</w:t>
            </w:r>
          </w:p>
        </w:tc>
        <w:tc>
          <w:tcPr>
            <w:tcW w:w="666" w:type="pct"/>
            <w:shd w:val="clear" w:color="auto" w:fill="auto"/>
            <w:vAlign w:val="center"/>
          </w:tcPr>
          <w:p w14:paraId="78D7AEB3" w14:textId="77777777" w:rsidR="00111E4D" w:rsidRPr="002B2599" w:rsidRDefault="00111E4D" w:rsidP="00111E4D">
            <w:pPr>
              <w:pStyle w:val="NoSpacing"/>
            </w:pPr>
          </w:p>
        </w:tc>
        <w:tc>
          <w:tcPr>
            <w:tcW w:w="666" w:type="pct"/>
            <w:shd w:val="clear" w:color="auto" w:fill="auto"/>
            <w:vAlign w:val="center"/>
          </w:tcPr>
          <w:p w14:paraId="0555F2AE" w14:textId="77777777" w:rsidR="00111E4D" w:rsidRPr="002B2599" w:rsidRDefault="00111E4D" w:rsidP="00111E4D">
            <w:pPr>
              <w:pStyle w:val="NoSpacing"/>
            </w:pPr>
            <w:r>
              <w:t>-</w:t>
            </w:r>
          </w:p>
        </w:tc>
        <w:tc>
          <w:tcPr>
            <w:tcW w:w="666" w:type="pct"/>
            <w:shd w:val="clear" w:color="auto" w:fill="auto"/>
            <w:vAlign w:val="center"/>
          </w:tcPr>
          <w:p w14:paraId="4D4BB52F" w14:textId="77777777" w:rsidR="00111E4D" w:rsidRPr="002B2599" w:rsidRDefault="00111E4D" w:rsidP="00111E4D">
            <w:pPr>
              <w:pStyle w:val="NoSpacing"/>
            </w:pPr>
            <w:r w:rsidRPr="002B2599">
              <w:t>.</w:t>
            </w:r>
            <w:r>
              <w:t>75</w:t>
            </w:r>
            <w:r w:rsidRPr="002B2599">
              <w:t>**</w:t>
            </w:r>
          </w:p>
        </w:tc>
        <w:tc>
          <w:tcPr>
            <w:tcW w:w="664" w:type="pct"/>
          </w:tcPr>
          <w:p w14:paraId="6C7299D9" w14:textId="77777777" w:rsidR="00111E4D" w:rsidRPr="002B2599" w:rsidRDefault="00111E4D" w:rsidP="00111E4D">
            <w:pPr>
              <w:pStyle w:val="NoSpacing"/>
            </w:pPr>
            <w:r w:rsidRPr="002B2599">
              <w:t>.</w:t>
            </w:r>
            <w:r>
              <w:t>56</w:t>
            </w:r>
            <w:r w:rsidRPr="002B2599">
              <w:t>**</w:t>
            </w:r>
          </w:p>
        </w:tc>
      </w:tr>
      <w:tr w:rsidR="00111E4D" w14:paraId="0B24C74C" w14:textId="77777777" w:rsidTr="00111E4D">
        <w:tc>
          <w:tcPr>
            <w:tcW w:w="314" w:type="pct"/>
          </w:tcPr>
          <w:p w14:paraId="21A3FB48" w14:textId="77777777" w:rsidR="00111E4D" w:rsidRPr="002B2599" w:rsidRDefault="00111E4D" w:rsidP="00111E4D">
            <w:pPr>
              <w:pStyle w:val="NoSpacing"/>
            </w:pPr>
            <w:r w:rsidRPr="002B2599">
              <w:t>3</w:t>
            </w:r>
          </w:p>
        </w:tc>
        <w:tc>
          <w:tcPr>
            <w:tcW w:w="2024" w:type="pct"/>
            <w:shd w:val="clear" w:color="auto" w:fill="auto"/>
            <w:vAlign w:val="center"/>
          </w:tcPr>
          <w:p w14:paraId="2AEBB866" w14:textId="77777777" w:rsidR="00111E4D" w:rsidRPr="002B2599" w:rsidRDefault="00111E4D" w:rsidP="00111E4D">
            <w:pPr>
              <w:pStyle w:val="NoSpacing"/>
            </w:pPr>
            <w:r w:rsidRPr="002B2599">
              <w:t>Helpfulness Ratings</w:t>
            </w:r>
          </w:p>
        </w:tc>
        <w:tc>
          <w:tcPr>
            <w:tcW w:w="666" w:type="pct"/>
            <w:shd w:val="clear" w:color="auto" w:fill="auto"/>
            <w:vAlign w:val="center"/>
          </w:tcPr>
          <w:p w14:paraId="300DE038" w14:textId="77777777" w:rsidR="00111E4D" w:rsidRPr="002B2599" w:rsidRDefault="00111E4D" w:rsidP="00111E4D">
            <w:pPr>
              <w:pStyle w:val="NoSpacing"/>
            </w:pPr>
          </w:p>
        </w:tc>
        <w:tc>
          <w:tcPr>
            <w:tcW w:w="666" w:type="pct"/>
            <w:shd w:val="clear" w:color="auto" w:fill="auto"/>
            <w:vAlign w:val="center"/>
          </w:tcPr>
          <w:p w14:paraId="1F5FA2E8" w14:textId="77777777" w:rsidR="00111E4D" w:rsidRPr="002B2599" w:rsidRDefault="00111E4D" w:rsidP="00111E4D">
            <w:pPr>
              <w:pStyle w:val="NoSpacing"/>
            </w:pPr>
          </w:p>
        </w:tc>
        <w:tc>
          <w:tcPr>
            <w:tcW w:w="666" w:type="pct"/>
            <w:shd w:val="clear" w:color="auto" w:fill="auto"/>
            <w:vAlign w:val="center"/>
          </w:tcPr>
          <w:p w14:paraId="32F95A9A" w14:textId="77777777" w:rsidR="00111E4D" w:rsidRPr="002B2599" w:rsidRDefault="00111E4D" w:rsidP="00111E4D">
            <w:pPr>
              <w:pStyle w:val="NoSpacing"/>
            </w:pPr>
            <w:r>
              <w:t>-</w:t>
            </w:r>
          </w:p>
        </w:tc>
        <w:tc>
          <w:tcPr>
            <w:tcW w:w="664" w:type="pct"/>
          </w:tcPr>
          <w:p w14:paraId="231581E4" w14:textId="77777777" w:rsidR="00111E4D" w:rsidRPr="002B2599" w:rsidRDefault="00111E4D" w:rsidP="00111E4D">
            <w:pPr>
              <w:pStyle w:val="NoSpacing"/>
            </w:pPr>
            <w:r w:rsidRPr="002B2599">
              <w:t>.</w:t>
            </w:r>
            <w:r>
              <w:t>77</w:t>
            </w:r>
            <w:r w:rsidRPr="002B2599">
              <w:t>**</w:t>
            </w:r>
          </w:p>
        </w:tc>
      </w:tr>
      <w:tr w:rsidR="00111E4D" w14:paraId="288CB081" w14:textId="77777777" w:rsidTr="00111E4D">
        <w:tc>
          <w:tcPr>
            <w:tcW w:w="314" w:type="pct"/>
            <w:tcBorders>
              <w:bottom w:val="single" w:sz="4" w:space="0" w:color="auto"/>
            </w:tcBorders>
          </w:tcPr>
          <w:p w14:paraId="1CFE5C51" w14:textId="77777777" w:rsidR="00111E4D" w:rsidRPr="002B2599" w:rsidRDefault="00111E4D" w:rsidP="00111E4D">
            <w:pPr>
              <w:pStyle w:val="NoSpacing"/>
            </w:pPr>
            <w:r w:rsidRPr="002B2599">
              <w:t>4</w:t>
            </w:r>
          </w:p>
        </w:tc>
        <w:tc>
          <w:tcPr>
            <w:tcW w:w="2024" w:type="pct"/>
            <w:tcBorders>
              <w:bottom w:val="single" w:sz="4" w:space="0" w:color="auto"/>
            </w:tcBorders>
            <w:shd w:val="clear" w:color="auto" w:fill="auto"/>
            <w:vAlign w:val="center"/>
          </w:tcPr>
          <w:p w14:paraId="6528619F" w14:textId="77777777" w:rsidR="00111E4D" w:rsidRPr="002B2599" w:rsidRDefault="00111E4D" w:rsidP="00111E4D">
            <w:pPr>
              <w:pStyle w:val="NoSpacing"/>
            </w:pPr>
            <w:r w:rsidRPr="002B2599">
              <w:t>Use Again Ratings</w:t>
            </w:r>
          </w:p>
        </w:tc>
        <w:tc>
          <w:tcPr>
            <w:tcW w:w="666" w:type="pct"/>
            <w:tcBorders>
              <w:bottom w:val="single" w:sz="4" w:space="0" w:color="auto"/>
            </w:tcBorders>
            <w:shd w:val="clear" w:color="auto" w:fill="auto"/>
            <w:vAlign w:val="center"/>
          </w:tcPr>
          <w:p w14:paraId="5935F491" w14:textId="77777777" w:rsidR="00111E4D" w:rsidRPr="002B2599" w:rsidRDefault="00111E4D" w:rsidP="00111E4D">
            <w:pPr>
              <w:pStyle w:val="NoSpacing"/>
            </w:pPr>
          </w:p>
        </w:tc>
        <w:tc>
          <w:tcPr>
            <w:tcW w:w="666" w:type="pct"/>
            <w:tcBorders>
              <w:bottom w:val="single" w:sz="4" w:space="0" w:color="auto"/>
            </w:tcBorders>
            <w:shd w:val="clear" w:color="auto" w:fill="auto"/>
            <w:vAlign w:val="center"/>
          </w:tcPr>
          <w:p w14:paraId="05F4366C" w14:textId="77777777" w:rsidR="00111E4D" w:rsidRPr="002B2599" w:rsidRDefault="00111E4D" w:rsidP="00111E4D">
            <w:pPr>
              <w:pStyle w:val="NoSpacing"/>
            </w:pPr>
          </w:p>
        </w:tc>
        <w:tc>
          <w:tcPr>
            <w:tcW w:w="666" w:type="pct"/>
            <w:tcBorders>
              <w:bottom w:val="single" w:sz="4" w:space="0" w:color="auto"/>
            </w:tcBorders>
            <w:shd w:val="clear" w:color="auto" w:fill="auto"/>
            <w:vAlign w:val="center"/>
          </w:tcPr>
          <w:p w14:paraId="04D87540" w14:textId="77777777" w:rsidR="00111E4D" w:rsidRPr="002B2599" w:rsidRDefault="00111E4D" w:rsidP="00111E4D">
            <w:pPr>
              <w:pStyle w:val="NoSpacing"/>
            </w:pPr>
          </w:p>
        </w:tc>
        <w:tc>
          <w:tcPr>
            <w:tcW w:w="664" w:type="pct"/>
            <w:tcBorders>
              <w:bottom w:val="single" w:sz="4" w:space="0" w:color="auto"/>
            </w:tcBorders>
            <w:vAlign w:val="center"/>
          </w:tcPr>
          <w:p w14:paraId="7F16CB93" w14:textId="77777777" w:rsidR="00111E4D" w:rsidRPr="002B2599" w:rsidRDefault="00111E4D" w:rsidP="00111E4D">
            <w:pPr>
              <w:pStyle w:val="NoSpacing"/>
            </w:pPr>
            <w:r>
              <w:t>-</w:t>
            </w:r>
          </w:p>
        </w:tc>
      </w:tr>
      <w:tr w:rsidR="00111E4D" w14:paraId="3C7DE5D4" w14:textId="77777777" w:rsidTr="00111E4D">
        <w:trPr>
          <w:trHeight w:val="293"/>
        </w:trPr>
        <w:tc>
          <w:tcPr>
            <w:tcW w:w="5000" w:type="pct"/>
            <w:gridSpan w:val="6"/>
            <w:tcBorders>
              <w:top w:val="single" w:sz="4" w:space="0" w:color="auto"/>
            </w:tcBorders>
          </w:tcPr>
          <w:p w14:paraId="385C0022" w14:textId="77777777" w:rsidR="00111E4D" w:rsidRDefault="00111E4D" w:rsidP="00111E4D">
            <w:pPr>
              <w:pStyle w:val="NoSpacing"/>
            </w:pPr>
            <w:r w:rsidRPr="00CF7D8B">
              <w:rPr>
                <w:sz w:val="18"/>
              </w:rPr>
              <w:t>*</w:t>
            </w:r>
            <w:r w:rsidRPr="003C1EC7">
              <w:rPr>
                <w:noProof/>
                <w:sz w:val="18"/>
              </w:rPr>
              <w:t>Correlation is significant at the 0.05 level (two-tailed).</w:t>
            </w:r>
            <w:r w:rsidRPr="003C1EC7">
              <w:rPr>
                <w:noProof/>
                <w:sz w:val="18"/>
              </w:rPr>
              <w:br/>
              <w:t>**Correlation is significant at the 0.01 level (two-tailed</w:t>
            </w:r>
            <w:r w:rsidRPr="00CF7D8B">
              <w:rPr>
                <w:sz w:val="18"/>
              </w:rPr>
              <w:t>).</w:t>
            </w:r>
          </w:p>
        </w:tc>
      </w:tr>
    </w:tbl>
    <w:p w14:paraId="44E6C8D0" w14:textId="77777777" w:rsidR="00111E4D" w:rsidRDefault="00111E4D" w:rsidP="00111E4D">
      <w:pPr>
        <w:rPr>
          <w:rFonts w:eastAsiaTheme="majorEastAsia" w:cstheme="majorBidi"/>
          <w:b/>
          <w:bCs/>
          <w:color w:val="000000" w:themeColor="text1"/>
          <w:sz w:val="28"/>
          <w:szCs w:val="28"/>
        </w:rPr>
      </w:pPr>
      <w:r>
        <w:br w:type="page"/>
      </w:r>
    </w:p>
    <w:p w14:paraId="64B2A263" w14:textId="77777777" w:rsidR="00111E4D" w:rsidRPr="00007572" w:rsidRDefault="00111E4D" w:rsidP="00111E4D">
      <w:pPr>
        <w:pStyle w:val="Heading2"/>
      </w:pPr>
      <w:bookmarkStart w:id="402" w:name="_Toc530598193"/>
      <w:bookmarkStart w:id="403" w:name="_Toc530660546"/>
      <w:bookmarkStart w:id="404" w:name="_Toc3538148"/>
      <w:r>
        <w:lastRenderedPageBreak/>
        <w:t>Discussion</w:t>
      </w:r>
      <w:bookmarkEnd w:id="402"/>
      <w:bookmarkEnd w:id="403"/>
      <w:bookmarkEnd w:id="404"/>
    </w:p>
    <w:p w14:paraId="340C8D1A" w14:textId="6520C74A" w:rsidR="00111E4D" w:rsidRPr="00373828" w:rsidRDefault="00111E4D" w:rsidP="00111E4D">
      <w:r w:rsidRPr="00373828">
        <w:t xml:space="preserve">The present study had three aims, </w:t>
      </w:r>
      <w:r>
        <w:t>the first of which was to</w:t>
      </w:r>
      <w:r w:rsidRPr="00373828">
        <w:t xml:space="preserve"> investigate the acceptability and feasibility of a conversational agent for problem solving with an older adult sample.  The study used methodological elements of a previous investigation by Gaffney et al. </w:t>
      </w:r>
      <w:r w:rsidRPr="00373828">
        <w:fldChar w:fldCharType="begin" w:fldLock="1"/>
      </w:r>
      <w:r>
        <w:instrText>ADDIN CSL_CITATION {"citationItems":[{"id":"ITEM-1","itemData":{"DOI":"10.1017/S135246581300060X","ISBN":"1352-4658","ISSN":"14691833","PMID":"23899405","abstract":"Background: Computerized self-help that has an interactive, conversational format holds several advantages, such as flexibility across presenting problems and ease of use. We designed a new program called MYLO that utilizes the principles of Method of Levels (MOL) therapy - based upon Perceptual Control Theory (PCT). Aims: We tested the efficacy of MYLO, tested whether the psychological change mechanisms described by PCT mediated its efficacy, and evaluated effects of client expectancy. Method: Forty-eight student participants were randomly assigned to MYLO or a comparison program ELIZA. Participants discussed a problem they were currently experiencing with their assigned program and completed measures of distress, resolution and expectancy preintervention, postintervention and at 2-week follow-up. Results: MYLO and ELIZA were associated with reductions in distress, depression, anxiety and stress. MYLO was considered more helpful and led to greater problem resolution. The psychological change processes predicted higher ratings of MYLO's helpfulness and reductions in distress. Positive expectancies towards computer-based problem solving correlated with MYLO's perceived helpfulness and greater problem resolution, and this was partly mediated by the psychological change processes identified. Conclusions: The findings provide provisional support for the acceptability of the MYLO program in a non-clinical sample although its efficacy as an innovative computer-based aid to problem solving remains unclear. Nevertheless, the findings provide tentative early support for the mechanisms of psychological change identified within PCT and highlight the importance of client expectations on predicting engagement in computer-based self-help.","author":[{"dropping-particle":"","family":"Gaffney","given":"Hannah","non-dropping-particle":"","parse-names":false,"suffix":""},{"dropping-particle":"","family":"Mansell","given":"Warren","non-dropping-particle":"","parse-names":false,"suffix":""},{"dropping-particle":"","family":"Edwards","given":"Rachel","non-dropping-particle":"","parse-names":false,"suffix":""},{"dropping-particle":"","family":"Wright","given":"Jason","non-dropping-particle":"","parse-names":false,"suffix":""}],"container-title":"Behavioural and Cognitive Psychotherapy","id":"ITEM-1","issue":"6","issued":{"date-parts":[["2014"]]},"page":"731-746","title":"Manage Your Life Online (MYLO): A pilot trial of a conversational computer-based intervention for problem solving in a student sample","type":"article-journal","volume":"42"},"uris":["http://www.mendeley.com/documents/?uuid=a57316c1-59bb-4a79-a904-d9074a57d136"]}],"mendeley":{"formattedCitation":"(Gaffney &lt;i&gt;et al.&lt;/i&gt;, 2014)","manualFormatting":"(2013)","plainTextFormattedCitation":"(Gaffney et al., 2014)","previouslyFormattedCitation":"(Gaffney &lt;i&gt;et al.&lt;/i&gt;, 2014)"},"properties":{"noteIndex":0},"schema":"https://github.com/citation-style-language/schema/raw/master/csl-citation.json"}</w:instrText>
      </w:r>
      <w:r w:rsidRPr="00373828">
        <w:fldChar w:fldCharType="separate"/>
      </w:r>
      <w:r w:rsidRPr="00373828">
        <w:rPr>
          <w:noProof/>
        </w:rPr>
        <w:t>(2013)</w:t>
      </w:r>
      <w:r w:rsidRPr="00373828">
        <w:fldChar w:fldCharType="end"/>
      </w:r>
      <w:r w:rsidRPr="00373828">
        <w:t xml:space="preserve"> that compared the efficacy of MY</w:t>
      </w:r>
      <w:r>
        <w:t xml:space="preserve">LO with another conversational agent </w:t>
      </w:r>
      <w:r w:rsidRPr="00373828">
        <w:t>ELIZA</w:t>
      </w:r>
      <w:r w:rsidR="00554CB4">
        <w:t xml:space="preserve">.  </w:t>
      </w:r>
      <w:r w:rsidRPr="00373828">
        <w:t xml:space="preserve">Secondly, the study aimed to investigate if MYLO and ELIZA had near equal mean </w:t>
      </w:r>
      <w:r>
        <w:t>system usability based on their need identical user interfaces</w:t>
      </w:r>
      <w:r w:rsidRPr="00373828">
        <w:t xml:space="preserve">.  Finally, the study investigated whether </w:t>
      </w:r>
      <w:r>
        <w:t>system usability</w:t>
      </w:r>
      <w:r w:rsidRPr="00373828">
        <w:t xml:space="preserve"> affect</w:t>
      </w:r>
      <w:r>
        <w:t>ed</w:t>
      </w:r>
      <w:r w:rsidRPr="00373828">
        <w:t xml:space="preserve"> the acceptability of MYLO </w:t>
      </w:r>
      <w:r>
        <w:t>when used by</w:t>
      </w:r>
      <w:r w:rsidRPr="00373828">
        <w:t xml:space="preserve"> older adults. </w:t>
      </w:r>
    </w:p>
    <w:p w14:paraId="608DEFD1" w14:textId="77777777" w:rsidR="00111E4D" w:rsidRPr="00373828" w:rsidRDefault="00111E4D" w:rsidP="00111E4D">
      <w:r w:rsidRPr="00373828">
        <w:t>It was hypothesised that both MYLO and ELIZA would be effective conversational agents for problem solving.  All respondents, irrespective of group experienced significant reductions in distress, depression, anxiety, stress, and total DASS-21 scores between baselines</w:t>
      </w:r>
      <w:r>
        <w:t xml:space="preserve"> </w:t>
      </w:r>
      <w:r w:rsidRPr="00373828">
        <w:t>and follow up</w:t>
      </w:r>
      <w:r>
        <w:t>.  No significant results were found when comparing ratings at any of the time-points</w:t>
      </w:r>
      <w:r w:rsidRPr="00373828">
        <w:t xml:space="preserve">.  The findings in this study are fairly consistent with the laboratory based pilot trial by Gaffney et al. (2014) and an online based Randomised Controlled Trial by Bird et al. </w:t>
      </w:r>
      <w:r w:rsidRPr="00373828">
        <w:fldChar w:fldCharType="begin" w:fldLock="1"/>
      </w:r>
      <w:r>
        <w:instrText>ADDIN CSL_CITATION {"citationItems":[{"id":"ITEM-1","itemData":{"DOI":"10.1017/S1352465817000820","ISBN":"1352465817","ISSN":"1352-4658","PMID":"29366432","abstract":"&lt;p&gt; &lt;bold&gt;Background:&lt;/bold&gt; Evidence for the efficacy of computer-based psychological interventions is growing. A number of such interventions have been found to be effective, especially for mild to moderate cases. They largely rely on psychoeducation and ‘homework tasks’, and are specific to certain diagnoses (e.g. depression). &lt;bold&gt;Aims:&lt;/bold&gt; This paper presents the results of a web-based randomized controlled trial of Manage Your Life Online (MYLO), a program that uses artificial intelligence to engage the participant in a conversation across any problem topic. &lt;bold&gt;Method:&lt;/bold&gt; Healthy volunteers ( &lt;italic&gt;n&lt;/italic&gt; = 213) completed a baseline questionnaire and were randomized to the MYLO program or to an active control condition where they used the program ELIZA, which emulates a Rogerian psychotherapist. Participants completed a single session before completing post-study and 2-week follow-up measures. &lt;bold&gt;Results:&lt;/bold&gt; Analyses were per protocol with intent to follow-up. Both programs were associated with improvements in problem distress, anxiety and depression post-intervention, and again 2 weeks later, but MYLO was not found to be more effective than ELIZA. MYLO was rated as significantly more helpful than ELIZA, but there was no main effect of intervention on problem resolution. &lt;bold&gt;Conclusions:&lt;/bold&gt; Findings are consistent with those of a previous smaller, laboratory-based trial and provide support for the acceptability and effectiveness of MYLO delivered over the internet for a non-clinical sample. The lack of a no-treatment control condition means that the effect of spontaneous recovery cannot be ruled out. &lt;/p&gt;","author":[{"dropping-particle":"","family":"Bird","given":"Timothy","non-dropping-particle":"","parse-names":false,"suffix":""},{"dropping-particle":"","family":"Mansell","given":"Warren","non-dropping-particle":"","parse-names":false,"suffix":""},{"dropping-particle":"","family":"Wright","given":"Jason","non-dropping-particle":"","parse-names":false,"suffix":""},{"dropping-particle":"","family":"Gaffney","given":"Hannah","non-dropping-particle":"","parse-names":false,"suffix":""},{"dropping-particle":"","family":"Tai","given":"Sara","non-dropping-particle":"","parse-names":false,"suffix":""}],"container-title":"Behavioural and Cognitive Psychotherapy","id":"ITEM-1","issued":{"date-parts":[["2018"]]},"page":"1-13","title":"Manage Your Life Online: A Web-Based Randomized Controlled Trial Evaluating the Effectiveness of a Problem-Solving Intervention in a Student Sample","type":"article-journal"},"uris":["http://www.mendeley.com/documents/?uuid=2d20f79e-aeeb-44e9-9048-df6b168d56be"]},{"id":"ITEM-2","itemData":{"DOI":"10.1017/S135246581300060X","ISBN":"1352-4658","ISSN":"14691833","PMID":"23899405","abstract":"Background: Computerized self-help that has an interactive, conversational format holds several advantages, such as flexibility across presenting problems and ease of use. We designed a new program called MYLO that utilizes the principles of Method of Levels (MOL) therapy - based upon Perceptual Control Theory (PCT). Aims: We tested the efficacy of MYLO, tested whether the psychological change mechanisms described by PCT mediated its efficacy, and evaluated effects of client expectancy. Method: Forty-eight student participants were randomly assigned to MYLO or a comparison program ELIZA. Participants discussed a problem they were currently experiencing with their assigned program and completed measures of distress, resolution and expectancy preintervention, postintervention and at 2-week follow-up. Results: MYLO and ELIZA were associated with reductions in distress, depression, anxiety and stress. MYLO was considered more helpful and led to greater problem resolution. The psychological change processes predicted higher ratings of MYLO's helpfulness and reductions in distress. Positive expectancies towards computer-based problem solving correlated with MYLO's perceived helpfulness and greater problem resolution, and this was partly mediated by the psychological change processes identified. Conclusions: The findings provide provisional support for the acceptability of the MYLO program in a non-clinical sample although its efficacy as an innovative computer-based aid to problem solving remains unclear. Nevertheless, the findings provide tentative early support for the mechanisms of psychological change identified within PCT and highlight the importance of client expectations on predicting engagement in computer-based self-help.","author":[{"dropping-particle":"","family":"Gaffney","given":"Hannah","non-dropping-particle":"","parse-names":false,"suffix":""},{"dropping-particle":"","family":"Mansell","given":"Warren","non-dropping-particle":"","parse-names":false,"suffix":""},{"dropping-particle":"","family":"Edwards","given":"Rachel","non-dropping-particle":"","parse-names":false,"suffix":""},{"dropping-particle":"","family":"Wright","given":"Jason","non-dropping-particle":"","parse-names":false,"suffix":""}],"container-title":"Behavioural and Cognitive Psychotherapy","id":"ITEM-2","issue":"6","issued":{"date-parts":[["2014"]]},"page":"731-746","title":"Manage Your Life Online (MYLO): A pilot trial of a conversational computer-based intervention for problem solving in a student sample","type":"article-journal","volume":"42"},"uris":["http://www.mendeley.com/documents/?uuid=a57316c1-59bb-4a79-a904-d9074a57d136"]}],"mendeley":{"formattedCitation":"(Gaffney &lt;i&gt;et al.&lt;/i&gt;, 2014; Bird &lt;i&gt;et al.&lt;/i&gt;, 2018)","manualFormatting":"(2018)","plainTextFormattedCitation":"(Gaffney et al., 2014; Bird et al., 2018)","previouslyFormattedCitation":"(Gaffney &lt;i&gt;et al.&lt;/i&gt;, 2014; Bird &lt;i&gt;et al.&lt;/i&gt;, 2018)"},"properties":{"noteIndex":0},"schema":"https://github.com/citation-style-language/schema/raw/master/csl-citation.json"}</w:instrText>
      </w:r>
      <w:r w:rsidRPr="00373828">
        <w:fldChar w:fldCharType="separate"/>
      </w:r>
      <w:r w:rsidRPr="00373828">
        <w:rPr>
          <w:noProof/>
        </w:rPr>
        <w:t>(2018)</w:t>
      </w:r>
      <w:r w:rsidRPr="00373828">
        <w:fldChar w:fldCharType="end"/>
      </w:r>
      <w:r w:rsidRPr="00373828">
        <w:t xml:space="preserve">.  </w:t>
      </w:r>
    </w:p>
    <w:p w14:paraId="403608CE" w14:textId="77777777" w:rsidR="00111E4D" w:rsidRPr="00373828" w:rsidRDefault="00111E4D" w:rsidP="00111E4D">
      <w:r w:rsidRPr="00373828">
        <w:t xml:space="preserve">It was hypothesised that MYLO would be a more acceptable conversational agent for problem solving to older adults than ELIZA.  We found that participant problem resolution increased over time after using either program.  </w:t>
      </w:r>
      <w:r>
        <w:t xml:space="preserve">However, participants spent significantly more time using </w:t>
      </w:r>
      <w:r w:rsidRPr="00373828">
        <w:t>MYLO</w:t>
      </w:r>
      <w:r>
        <w:t xml:space="preserve"> and it was </w:t>
      </w:r>
      <w:r w:rsidRPr="00373828">
        <w:t>rated</w:t>
      </w:r>
      <w:r>
        <w:t xml:space="preserve"> </w:t>
      </w:r>
      <w:r w:rsidRPr="00373828">
        <w:t>significantly more helpful and significantly more likely to be used again when compared with ELIZA.  These combined findings</w:t>
      </w:r>
      <w:r>
        <w:t xml:space="preserve"> are again comparable with previous MYLO studies </w:t>
      </w:r>
      <w:r>
        <w:fldChar w:fldCharType="begin" w:fldLock="1"/>
      </w:r>
      <w:r>
        <w:instrText>ADDIN CSL_CITATION {"citationItems":[{"id":"ITEM-1","itemData":{"DOI":"10.1017/S1352465817000820","ISBN":"1352465817","ISSN":"1352-4658","PMID":"29366432","abstract":"&lt;p&gt; &lt;bold&gt;Background:&lt;/bold&gt; Evidence for the efficacy of computer-based psychological interventions is growing. A number of such interventions have been found to be effective, especially for mild to moderate cases. They largely rely on psychoeducation and ‘homework tasks’, and are specific to certain diagnoses (e.g. depression). &lt;bold&gt;Aims:&lt;/bold&gt; This paper presents the results of a web-based randomized controlled trial of Manage Your Life Online (MYLO), a program that uses artificial intelligence to engage the participant in a conversation across any problem topic. &lt;bold&gt;Method:&lt;/bold&gt; Healthy volunteers ( &lt;italic&gt;n&lt;/italic&gt; = 213) completed a baseline questionnaire and were randomized to the MYLO program or to an active control condition where they used the program ELIZA, which emulates a Rogerian psychotherapist. Participants completed a single session before completing post-study and 2-week follow-up measures. &lt;bold&gt;Results:&lt;/bold&gt; Analyses were per protocol with intent to follow-up. Both programs were associated with improvements in problem distress, anxiety and depression post-intervention, and again 2 weeks later, but MYLO was not found to be more effective than ELIZA. MYLO was rated as significantly more helpful than ELIZA, but there was no main effect of intervention on problem resolution. &lt;bold&gt;Conclusions:&lt;/bold&gt; Findings are consistent with those of a previous smaller, laboratory-based trial and provide support for the acceptability and effectiveness of MYLO delivered over the internet for a non-clinical sample. The lack of a no-treatment control condition means that the effect of spontaneous recovery cannot be ruled out. &lt;/p&gt;","author":[{"dropping-particle":"","family":"Bird","given":"Timothy","non-dropping-particle":"","parse-names":false,"suffix":""},{"dropping-particle":"","family":"Mansell","given":"Warren","non-dropping-particle":"","parse-names":false,"suffix":""},{"dropping-particle":"","family":"Wright","given":"Jason","non-dropping-particle":"","parse-names":false,"suffix":""},{"dropping-particle":"","family":"Gaffney","given":"Hannah","non-dropping-particle":"","parse-names":false,"suffix":""},{"dropping-particle":"","family":"Tai","given":"Sara","non-dropping-particle":"","parse-names":false,"suffix":""}],"container-title":"Behavioural and Cognitive Psychotherapy","id":"ITEM-1","issued":{"date-parts":[["2018"]]},"page":"1-13","title":"Manage Your Life Online: A Web-Based Randomized Controlled Trial Evaluating the Effectiveness of a Problem-Solving Intervention in a Student Sample","type":"article-journal"},"uris":["http://www.mendeley.com/documents/?uuid=2d20f79e-aeeb-44e9-9048-df6b168d56be"]},{"id":"ITEM-2","itemData":{"DOI":"10.1017/S135246581300060X","ISBN":"1352-4658","ISSN":"14691833","PMID":"23899405","abstract":"Background: Computerized self-help that has an interactive, conversational format holds several advantages, such as flexibility across presenting problems and ease of use. We designed a new program called MYLO that utilizes the principles of Method of Levels (MOL) therapy - based upon Perceptual Control Theory (PCT). Aims: We tested the efficacy of MYLO, tested whether the psychological change mechanisms described by PCT mediated its efficacy, and evaluated effects of client expectancy. Method: Forty-eight student participants were randomly assigned to MYLO or a comparison program ELIZA. Participants discussed a problem they were currently experiencing with their assigned program and completed measures of distress, resolution and expectancy preintervention, postintervention and at 2-week follow-up. Results: MYLO and ELIZA were associated with reductions in distress, depression, anxiety and stress. MYLO was considered more helpful and led to greater problem resolution. The psychological change processes predicted higher ratings of MYLO's helpfulness and reductions in distress. Positive expectancies towards computer-based problem solving correlated with MYLO's perceived helpfulness and greater problem resolution, and this was partly mediated by the psychological change processes identified. Conclusions: The findings provide provisional support for the acceptability of the MYLO program in a non-clinical sample although its efficacy as an innovative computer-based aid to problem solving remains unclear. Nevertheless, the findings provide tentative early support for the mechanisms of psychological change identified within PCT and highlight the importance of client expectations on predicting engagement in computer-based self-help.","author":[{"dropping-particle":"","family":"Gaffney","given":"Hannah","non-dropping-particle":"","parse-names":false,"suffix":""},{"dropping-particle":"","family":"Mansell","given":"Warren","non-dropping-particle":"","parse-names":false,"suffix":""},{"dropping-particle":"","family":"Edwards","given":"Rachel","non-dropping-particle":"","parse-names":false,"suffix":""},{"dropping-particle":"","family":"Wright","given":"Jason","non-dropping-particle":"","parse-names":false,"suffix":""}],"container-title":"Behavioural and Cognitive Psychotherapy","id":"ITEM-2","issue":"6","issued":{"date-parts":[["2014"]]},"page":"731-746","title":"Manage Your Life Online (MYLO): A pilot trial of a conversational computer-based intervention for problem solving in a student sample","type":"article-journal","volume":"42"},"uris":["http://www.mendeley.com/documents/?uuid=a57316c1-59bb-4a79-a904-d9074a57d136"]}],"mendeley":{"formattedCitation":"(Gaffney &lt;i&gt;et al.&lt;/i&gt;, 2014; Bird &lt;i&gt;et al.&lt;/i&gt;, 2018)","plainTextFormattedCitation":"(Gaffney et al., 2014; Bird et al., 2018)","previouslyFormattedCitation":"(Gaffney &lt;i&gt;et al.&lt;/i&gt;, 2014; Bird &lt;i&gt;et al.&lt;/i&gt;, 2018)"},"properties":{"noteIndex":0},"schema":"https://github.com/citation-style-language/schema/raw/master/csl-citation.json"}</w:instrText>
      </w:r>
      <w:r>
        <w:fldChar w:fldCharType="separate"/>
      </w:r>
      <w:r w:rsidRPr="00B728F8">
        <w:rPr>
          <w:noProof/>
        </w:rPr>
        <w:t xml:space="preserve">(Gaffney </w:t>
      </w:r>
      <w:r w:rsidRPr="00B728F8">
        <w:rPr>
          <w:i/>
          <w:noProof/>
        </w:rPr>
        <w:t>et al.</w:t>
      </w:r>
      <w:r w:rsidRPr="00B728F8">
        <w:rPr>
          <w:noProof/>
        </w:rPr>
        <w:t xml:space="preserve">, 2014; Bird </w:t>
      </w:r>
      <w:r w:rsidRPr="00B728F8">
        <w:rPr>
          <w:i/>
          <w:noProof/>
        </w:rPr>
        <w:t>et al.</w:t>
      </w:r>
      <w:r w:rsidRPr="00B728F8">
        <w:rPr>
          <w:noProof/>
        </w:rPr>
        <w:t>, 2018)</w:t>
      </w:r>
      <w:r>
        <w:fldChar w:fldCharType="end"/>
      </w:r>
      <w:r>
        <w:t xml:space="preserve"> and</w:t>
      </w:r>
      <w:r w:rsidRPr="00373828">
        <w:t xml:space="preserve"> help to provide support of the acceptability of MYLO in </w:t>
      </w:r>
      <w:r>
        <w:t>helping older adults</w:t>
      </w:r>
      <w:r w:rsidRPr="00373828">
        <w:t xml:space="preserve">. </w:t>
      </w:r>
    </w:p>
    <w:p w14:paraId="73FCA58B" w14:textId="3220BA2B" w:rsidR="00111E4D" w:rsidRPr="00373828" w:rsidRDefault="00111E4D" w:rsidP="00111E4D">
      <w:r w:rsidRPr="00373828">
        <w:t xml:space="preserve">It was hypothesised that older adults would score both MYLO and ELIZA near equal on </w:t>
      </w:r>
      <w:r>
        <w:t>system usability</w:t>
      </w:r>
      <w:r w:rsidRPr="00373828">
        <w:t xml:space="preserve">.  We found no significant difference between programs for </w:t>
      </w:r>
      <w:r>
        <w:t>system usability</w:t>
      </w:r>
      <w:r w:rsidRPr="00373828">
        <w:t xml:space="preserve"> and neither program scored equal to or above the average </w:t>
      </w:r>
      <w:r>
        <w:t>system usability</w:t>
      </w:r>
      <w:r w:rsidRPr="00373828">
        <w:t xml:space="preserve"> score of 68.  The findings suggest that both programs were perceived by older adults as being below average usability.</w:t>
      </w:r>
      <w:r w:rsidR="00554CB4">
        <w:t xml:space="preserve">  </w:t>
      </w:r>
      <w:r w:rsidRPr="00373828">
        <w:t xml:space="preserve">The MYLO group did however receive a marginally higher overall mean score of 63.5 (see </w:t>
      </w:r>
      <w:r>
        <w:fldChar w:fldCharType="begin"/>
      </w:r>
      <w:r>
        <w:instrText xml:space="preserve"> REF _Ref530484268 \h </w:instrText>
      </w:r>
      <w:r>
        <w:fldChar w:fldCharType="separate"/>
      </w:r>
      <w:r w:rsidR="00574650">
        <w:t xml:space="preserve">Table </w:t>
      </w:r>
      <w:r w:rsidR="00574650">
        <w:rPr>
          <w:noProof/>
        </w:rPr>
        <w:t>5</w:t>
      </w:r>
      <w:r w:rsidR="00574650">
        <w:t>.</w:t>
      </w:r>
      <w:r w:rsidR="00574650">
        <w:rPr>
          <w:noProof/>
        </w:rPr>
        <w:t>2</w:t>
      </w:r>
      <w:r>
        <w:fldChar w:fldCharType="end"/>
      </w:r>
      <w:r w:rsidRPr="00373828">
        <w:t>) indicating it narrowly missed the average usability threshold</w:t>
      </w:r>
      <w:r>
        <w:t xml:space="preserve"> of 68</w:t>
      </w:r>
      <w:r w:rsidRPr="00373828">
        <w:t xml:space="preserve">.  It may be possible </w:t>
      </w:r>
      <w:r>
        <w:t>through</w:t>
      </w:r>
      <w:r w:rsidRPr="00373828">
        <w:t xml:space="preserve"> </w:t>
      </w:r>
      <w:r>
        <w:t>enhancement of MYLO’s user</w:t>
      </w:r>
      <w:r w:rsidRPr="00373828">
        <w:t xml:space="preserve"> interface </w:t>
      </w:r>
      <w:r>
        <w:t>that system usability may also improve</w:t>
      </w:r>
      <w:r w:rsidRPr="00373828">
        <w:t>.</w:t>
      </w:r>
      <w:r>
        <w:t xml:space="preserve">  The next chapter of this body of work will explore the modification and testing of MYLO with enhanced users’ interfaces to examine if MYLO’s system usability can be improved.</w:t>
      </w:r>
    </w:p>
    <w:p w14:paraId="3E67B61D" w14:textId="230515D7" w:rsidR="00111E4D" w:rsidRDefault="00111E4D" w:rsidP="00111E4D">
      <w:r w:rsidRPr="00FF5331">
        <w:t>It was hypothesised that the system usability of MYLO would be positively associated with higher ratings of problem resolution, helpfulness and likelihood of using again.  The findings supported this hypothesis and indicated that higher system usability was related to perceiving MYLO as more helpful, gaining greater problem resolution from using MYLO, and likelihood of using MYLO again.  These findings may indicate that system usability has an impact upon how participants receive and rate their experience of using MYLO</w:t>
      </w:r>
      <w:r w:rsidR="00554CB4">
        <w:t xml:space="preserve">.  </w:t>
      </w:r>
      <w:r w:rsidR="00436161">
        <w:t>Alternatively</w:t>
      </w:r>
      <w:r w:rsidRPr="00FF5331">
        <w:t>, the direction of effect may be the opposite.  That is to say, it might be that helpfulness, problem resolution, and likelihood of use lead to greater perceptions of usability</w:t>
      </w:r>
      <w:r w:rsidR="00554CB4">
        <w:t xml:space="preserve">.  </w:t>
      </w:r>
      <w:r w:rsidRPr="00FF5331">
        <w:t>However, this would be counter to accepted models of usability (e.g. ISO 2018). While some studies have implemented the SUS scale as a measure of usability in e-therapies (</w:t>
      </w:r>
      <w:r w:rsidRPr="00FF5331">
        <w:rPr>
          <w:noProof/>
        </w:rPr>
        <w:t xml:space="preserve">Wit </w:t>
      </w:r>
      <w:r w:rsidRPr="00FF5331">
        <w:rPr>
          <w:i/>
          <w:noProof/>
        </w:rPr>
        <w:t xml:space="preserve">et al. </w:t>
      </w:r>
      <w:r w:rsidRPr="00FF5331">
        <w:fldChar w:fldCharType="begin" w:fldLock="1"/>
      </w:r>
      <w:r w:rsidRPr="00FF5331">
        <w:instrText>ADDIN CSL_CITATION {"citationItems":[{"id":"ITEM-1","itemData":{"DOI":"10.1016/J.INVENT.2015.02.007","ISSN":"2214-7829","abstract":"BACKGROUND\nPeople with mild intellectual disabilities or chronic psychiatric disorders often experience challenges in important aspects of life and need support in daily functioning. In this study, we examined the feasibility of a web-based program enabling professional support of patients with chronic conditions in their daily functioning. \n\nMETHOD\nA triangulated research method was applied involving a combination of the results of semi-structured interviews and standardized questionnaires. We conducted face-to-face interviews with clients (n=11) and telephone interviews with coaches (n=10) on their initial experiences with the program. In addition, clients took an online pre-test (n=39) – post-test questionnaire (n=30) which measured quality of life, empowerment, mastery, social cohesion and satisfaction with care. Clients and coaches both received a questionnaire to report on the perceived usability of the program. \n\nRESULTS\nClients and coaches used the program and were positive about this new way of communicating. Clients were pleased that they could contact the coach at any time and experienced increased control over the support they received. Coaches reported positive effects on the levels of independence among clients, saved time and experienced greater flexibility in their scheduling. The implementation of the program did not lead to changes in quality of life, empowerment, mastery, social cohesion or satisfaction with care. Clients and coaches reported that the usability of the MPC could be improved through the use of an enhanced Internet connection. \n\nCONCLUSION\nThe initial results of the use of web-based support for this client population seem promising and justify further research on online support for clients with mild intellectual disabilities or chronic psychiatric disorders.","author":[{"dropping-particle":"","family":"Wit","given":"Jessica","non-dropping-particle":"de","parse-names":false,"suffix":""},{"dropping-particle":"","family":"Dozeman","given":"Els","non-dropping-particle":"","parse-names":false,"suffix":""},{"dropping-particle":"","family":"Ruwaard","given":"Jeroen","non-dropping-particle":"","parse-names":false,"suffix":""},{"dropping-particle":"","family":"Alblas","given":"Jan","non-dropping-particle":"","parse-names":false,"suffix":""},{"dropping-particle":"","family":"Riper","given":"Heleen","non-dropping-particle":"","parse-names":false,"suffix":""}],"container-title":"Internet Interventions","id":"ITEM-1","issue":"2","issued":{"date-parts":[["2015","5","1"]]},"page":"161-168","publisher":"Elsevier","title":"Web-based support for daily functioning of people with mild intellectual disabilities or chronic psychiatric disorders: A feasibility study in routine practice","type":"article-journal","volume":"2"},"uris":["http://www.mendeley.com/documents/?uuid=d9af6fb3-9e38-3f07-af96-8f29b12a9bbc"]}],"mendeley":{"formattedCitation":"(de Wit &lt;i&gt;et al.&lt;/i&gt;, 2015)","manualFormatting":"2015;","plainTextFormattedCitation":"(de Wit et al., 2015)","previouslyFormattedCitation":"(de Wit &lt;i&gt;et al.&lt;/i&gt;, 2015)"},"properties":{"noteIndex":0},"schema":"https://github.com/citation-style-language/schema/raw/master/csl-citation.json"}</w:instrText>
      </w:r>
      <w:r w:rsidRPr="00FF5331">
        <w:fldChar w:fldCharType="separate"/>
      </w:r>
      <w:r w:rsidRPr="00FF5331">
        <w:rPr>
          <w:noProof/>
        </w:rPr>
        <w:t>2015;</w:t>
      </w:r>
      <w:r w:rsidRPr="00FF5331">
        <w:fldChar w:fldCharType="end"/>
      </w:r>
      <w:r w:rsidRPr="00FF5331">
        <w:t xml:space="preserve"> </w:t>
      </w:r>
      <w:r w:rsidRPr="00FF5331">
        <w:rPr>
          <w:noProof/>
        </w:rPr>
        <w:t xml:space="preserve">Etzelmueller </w:t>
      </w:r>
      <w:r w:rsidRPr="00FF5331">
        <w:rPr>
          <w:i/>
          <w:noProof/>
        </w:rPr>
        <w:t xml:space="preserve">et al. </w:t>
      </w:r>
      <w:r w:rsidRPr="00FF5331">
        <w:fldChar w:fldCharType="begin" w:fldLock="1"/>
      </w:r>
      <w:r w:rsidRPr="00FF5331">
        <w:instrText>ADDIN CSL_CITATION {"citationItems":[{"id":"ITEM-1","itemData":{"DOI":"10.1016/J.INVENT.2018.01.003","ISSN":"2214-7829","abstract":"INTRODUCTION\nInternet-based guided self-help and face-to-face CBT have shown to be effective in the treatment of depression, but both approaches might not be an available treatment option for all patients. A treatment which blends internet-based guided self-help with video-based psychotherapy might reduce potential disadvantages of both approaches, while maintaining major advantages such as being location-independent. Additionally, it could provide a stronger focus on patient empowerment and lower resource use compared to traditional face-to-face treatment. \n\nAIM\nThe aim of this study is to evaluate patient's experiences with blended internet- and video-based CBT (blended iCBT) treatment and to derive suggestions for the improvement of such services. \n\nMETHODS\nSemi-structured interviews were conducted with 15 participants of the blended iCBT treatment as part of the European MasterMind trial. Participants included adults suffering from Major Depressive Disorder. The interview guide assessed patient's experiences regarding the four treatment components program, 1. face-to-face diagnostic interviews, 2. video-based synchronous therapy sessions (VTS), 3. online self-help treatment modules (OTM) as well as 4. behaviour diaries and symptom monitoring. Interviews were analyzed using the framework method and outcomes regarding connections within and between participants and categories were generated by counting the statements within relevant themes. \n\nRESULTS\nOverall, patients indicated to have been satisfied with all components of the treatment, highlighting the option to independently work from home in their own pace. While the OTMs allowed for a deeper reflection of the content, the VTS with the therapist were mentioned to provide the personal character of the service. The working alliance with the therapist was experienced as fostering the individual fit of the treatment. Patients reported a high self-perceived treatment effectiveness. Negative effects included that some patients felt overwhelmed by the service, e.g. by working with the content of the OTM as they forced them to address their problems. Within the combination of OTM and VTS, both components were rated as equally important and patients felt that the combination depicted a treatment at least equal to regular face-to-face treatment regarding the perceived effectiveness. Other identified themes included patient's individual factors, reactions in their social environment and suggestions for impro…","author":[{"dropping-particle":"","family":"Etzelmueller","given":"Anne","non-dropping-particle":"","parse-names":false,"suffix":""},{"dropping-particle":"","family":"Radkovsky","given":"Anna","non-dropping-particle":"","parse-names":false,"suffix":""},{"dropping-particle":"","family":"Hannig","given":"Wiebke","non-dropping-particle":"","parse-names":false,"suffix":""},{"dropping-particle":"","family":"Berking","given":"Matthias","non-dropping-particle":"","parse-names":false,"suffix":""},{"dropping-particle":"","family":"Ebert","given":"David Daniel","non-dropping-particle":"","parse-names":false,"suffix":""}],"container-title":"Internet Interventions","id":"ITEM-1","issued":{"date-parts":[["2018","6","1"]]},"page":"165-175","publisher":"Elsevier","title":"Patient's experience with blended video- and internet based cognitive behavioural therapy service in routine care","type":"article-journal","volume":"12"},"uris":["http://www.mendeley.com/documents/?uuid=7f99657b-7785-342d-adb7-98d400e0c1a0"]}],"mendeley":{"formattedCitation":"(Etzelmueller &lt;i&gt;et al.&lt;/i&gt;, 2018)","manualFormatting":"2018)","plainTextFormattedCitation":"(Etzelmueller et al., 2018)","previouslyFormattedCitation":"(Etzelmueller &lt;i&gt;et al.&lt;/i&gt;, 2018)"},"properties":{"noteIndex":0},"schema":"https://github.com/citation-style-language/schema/raw/master/csl-citation.json"}</w:instrText>
      </w:r>
      <w:r w:rsidRPr="00FF5331">
        <w:fldChar w:fldCharType="separate"/>
      </w:r>
      <w:r w:rsidRPr="00FF5331">
        <w:rPr>
          <w:noProof/>
        </w:rPr>
        <w:t>2018)</w:t>
      </w:r>
      <w:r w:rsidRPr="00FF5331">
        <w:fldChar w:fldCharType="end"/>
      </w:r>
      <w:r w:rsidRPr="00FF5331">
        <w:t xml:space="preserve">, there are not, to the author’s </w:t>
      </w:r>
      <w:r w:rsidRPr="00FF5331">
        <w:lastRenderedPageBreak/>
        <w:t xml:space="preserve">knowledge, any published studies that investigate at how </w:t>
      </w:r>
      <w:r>
        <w:t>the SUS scale</w:t>
      </w:r>
      <w:r w:rsidRPr="00FF5331">
        <w:t xml:space="preserve"> interacts with other dimensions of e-therapy</w:t>
      </w:r>
      <w:r>
        <w:t xml:space="preserve"> such as treatment credibility and the therapeutic relationship</w:t>
      </w:r>
      <w:r w:rsidRPr="00FF5331">
        <w:t>.</w:t>
      </w:r>
      <w:r w:rsidR="00554CB4">
        <w:t xml:space="preserve">  </w:t>
      </w:r>
      <w:r w:rsidRPr="00FF5331">
        <w:t>Further studies are required to examine this is more depth</w:t>
      </w:r>
      <w:r w:rsidR="00554CB4">
        <w:t xml:space="preserve">.  </w:t>
      </w:r>
      <w:r w:rsidRPr="00FF5331">
        <w:t>For example, it may be possible to manipulate usability, and compare problem resolution, helpfulness, and likelihood of using again, in an e-therapy with deliberately low versus high usability</w:t>
      </w:r>
      <w:r w:rsidR="00554CB4">
        <w:t xml:space="preserve">.  </w:t>
      </w:r>
      <w:r w:rsidRPr="00FF5331">
        <w:t xml:space="preserve">This would enable researchers to be more confident about the causal direction of the relationship found here. </w:t>
      </w:r>
    </w:p>
    <w:p w14:paraId="2BC250AD" w14:textId="77777777" w:rsidR="00111E4D" w:rsidRPr="00373828" w:rsidRDefault="00111E4D" w:rsidP="00111E4D">
      <w:r>
        <w:t>The results overall provide evidence that a conversational agent can help with resolving problems and reducing associated distress.</w:t>
      </w:r>
    </w:p>
    <w:p w14:paraId="589DC407" w14:textId="10B0770D" w:rsidR="00111E4D" w:rsidRPr="00007572" w:rsidRDefault="00111E4D" w:rsidP="00111E4D">
      <w:pPr>
        <w:pStyle w:val="Heading3"/>
      </w:pPr>
      <w:bookmarkStart w:id="405" w:name="_Toc530598194"/>
      <w:bookmarkStart w:id="406" w:name="_Toc530660547"/>
      <w:bookmarkStart w:id="407" w:name="_Toc3538149"/>
      <w:r>
        <w:t xml:space="preserve">Strengths and </w:t>
      </w:r>
      <w:r w:rsidR="0042112D">
        <w:t>L</w:t>
      </w:r>
      <w:r>
        <w:t>imitations</w:t>
      </w:r>
      <w:bookmarkEnd w:id="405"/>
      <w:bookmarkEnd w:id="406"/>
      <w:bookmarkEnd w:id="407"/>
    </w:p>
    <w:p w14:paraId="37762FD0" w14:textId="52C94F59" w:rsidR="00111E4D" w:rsidRDefault="00111E4D" w:rsidP="00111E4D">
      <w:r>
        <w:t>T</w:t>
      </w:r>
      <w:r w:rsidRPr="633F8370">
        <w:t xml:space="preserve">here </w:t>
      </w:r>
      <w:r>
        <w:t>has been</w:t>
      </w:r>
      <w:r w:rsidRPr="633F8370">
        <w:t xml:space="preserve"> little research examining the medium of </w:t>
      </w:r>
      <w:r>
        <w:rPr>
          <w:rFonts w:eastAsia="Arial" w:cs="Arial"/>
        </w:rPr>
        <w:t>conversation agents for problem solving</w:t>
      </w:r>
      <w:r w:rsidRPr="633F8370">
        <w:rPr>
          <w:rFonts w:eastAsia="Arial" w:cs="Arial"/>
        </w:rPr>
        <w:t xml:space="preserve"> with older adults</w:t>
      </w:r>
      <w:r w:rsidR="00554CB4">
        <w:t xml:space="preserve">.  </w:t>
      </w:r>
      <w:r>
        <w:t>This study aimed to address that gap</w:t>
      </w:r>
      <w:r w:rsidR="00554CB4">
        <w:t xml:space="preserve">.  </w:t>
      </w:r>
      <w:r>
        <w:t>There are however</w:t>
      </w:r>
      <w:r w:rsidRPr="0093093B">
        <w:t xml:space="preserve"> some limitations with the design of the study that should be taken into consideration.</w:t>
      </w:r>
      <w:r>
        <w:t xml:space="preserve"> </w:t>
      </w:r>
    </w:p>
    <w:p w14:paraId="4C150E49" w14:textId="7512C72A" w:rsidR="00111E4D" w:rsidRDefault="00111E4D" w:rsidP="00111E4D">
      <w:r>
        <w:t>T</w:t>
      </w:r>
      <w:r w:rsidRPr="0093093B">
        <w:t xml:space="preserve">he participants in the sample were predominantly from the U3A community.  </w:t>
      </w:r>
      <w:r>
        <w:t xml:space="preserve">This demographic </w:t>
      </w:r>
      <w:r w:rsidRPr="0093093B">
        <w:t>represent</w:t>
      </w:r>
      <w:r>
        <w:t xml:space="preserve">s a </w:t>
      </w:r>
      <w:r w:rsidRPr="0093093B">
        <w:t xml:space="preserve">specific </w:t>
      </w:r>
      <w:r>
        <w:t>group</w:t>
      </w:r>
      <w:r w:rsidRPr="0093093B">
        <w:t xml:space="preserve"> with a distinct set of dimensions</w:t>
      </w:r>
      <w:r>
        <w:t xml:space="preserve"> many of which have not been </w:t>
      </w:r>
      <w:r w:rsidRPr="0093093B">
        <w:t>measured</w:t>
      </w:r>
      <w:r>
        <w:t xml:space="preserve"> in this study</w:t>
      </w:r>
      <w:r w:rsidRPr="0093093B">
        <w:t xml:space="preserve">.  </w:t>
      </w:r>
      <w:r w:rsidR="00282CBE">
        <w:t xml:space="preserve">Recruitment was difficult and </w:t>
      </w:r>
      <w:r w:rsidR="00282CBE" w:rsidRPr="00C501FD">
        <w:rPr>
          <w:color w:val="000000" w:themeColor="text1"/>
        </w:rPr>
        <w:t xml:space="preserve">failed to reach the targeted 67 participants per group which may have </w:t>
      </w:r>
      <w:r w:rsidR="00F06936" w:rsidRPr="00C501FD">
        <w:rPr>
          <w:color w:val="000000" w:themeColor="text1"/>
        </w:rPr>
        <w:t>impacted</w:t>
      </w:r>
      <w:r w:rsidR="00282CBE" w:rsidRPr="00C501FD">
        <w:rPr>
          <w:color w:val="000000" w:themeColor="text1"/>
        </w:rPr>
        <w:t xml:space="preserve"> on </w:t>
      </w:r>
      <w:r w:rsidR="00F06936" w:rsidRPr="00C501FD">
        <w:rPr>
          <w:color w:val="000000" w:themeColor="text1"/>
        </w:rPr>
        <w:t xml:space="preserve">the power of the analyses and </w:t>
      </w:r>
      <w:r w:rsidR="00282CBE" w:rsidRPr="00C501FD">
        <w:rPr>
          <w:color w:val="000000" w:themeColor="text1"/>
        </w:rPr>
        <w:t>overall outcomes of this study</w:t>
      </w:r>
      <w:r w:rsidR="00F06936" w:rsidRPr="00C501FD">
        <w:rPr>
          <w:color w:val="000000" w:themeColor="text1"/>
        </w:rPr>
        <w:t xml:space="preserve">. In turn, this may have </w:t>
      </w:r>
      <w:r w:rsidR="00897079" w:rsidRPr="00C501FD">
        <w:rPr>
          <w:color w:val="000000" w:themeColor="text1"/>
        </w:rPr>
        <w:t>resulted in a different depiction of older adult’s experiences with MYLO</w:t>
      </w:r>
      <w:r w:rsidR="00282CBE" w:rsidRPr="00C501FD">
        <w:rPr>
          <w:color w:val="000000" w:themeColor="text1"/>
        </w:rPr>
        <w:t xml:space="preserve">.  </w:t>
      </w:r>
      <w:r w:rsidRPr="00C501FD">
        <w:rPr>
          <w:color w:val="000000" w:themeColor="text1"/>
        </w:rPr>
        <w:t xml:space="preserve">The </w:t>
      </w:r>
      <w:r w:rsidRPr="0093093B">
        <w:t xml:space="preserve">sample was predominantly </w:t>
      </w:r>
      <w:r>
        <w:t>female, White British</w:t>
      </w:r>
      <w:r w:rsidRPr="0093093B">
        <w:t>.</w:t>
      </w:r>
      <w:r>
        <w:t xml:space="preserve">  The study advertisement asked volunteers if they would be interested in talking to a computer and testing out a computerised problem-solving program.  The type of problem was never specified, and participants were never screened or assessed prior to taking part, raising the possibility that individuals participated who did not feel as distressed about their problem as others.</w:t>
      </w:r>
    </w:p>
    <w:p w14:paraId="5ED1EA8C" w14:textId="77777777" w:rsidR="00111E4D" w:rsidRDefault="00111E4D" w:rsidP="00111E4D">
      <w:r>
        <w:t>Thirdly, although the study requested that participants have a problem they wished to solve, many participants chose to discuss medical problems and symptoms that MYLO is not built to deal with.  MYLO’s user instructions need refinement in order for participants to better understand what MYLO can and cannot help them with through discussion.</w:t>
      </w:r>
    </w:p>
    <w:p w14:paraId="361FE982" w14:textId="79E43E71" w:rsidR="00111E4D" w:rsidRDefault="00111E4D" w:rsidP="00111E4D">
      <w:pPr>
        <w:pStyle w:val="Heading3"/>
      </w:pPr>
      <w:bookmarkStart w:id="408" w:name="_Toc530598195"/>
      <w:bookmarkStart w:id="409" w:name="_Toc530660548"/>
      <w:bookmarkStart w:id="410" w:name="_Toc3538150"/>
      <w:r>
        <w:t xml:space="preserve">Directions for </w:t>
      </w:r>
      <w:r w:rsidR="0042112D">
        <w:t>F</w:t>
      </w:r>
      <w:r>
        <w:t xml:space="preserve">uture </w:t>
      </w:r>
      <w:r w:rsidR="0042112D">
        <w:t>R</w:t>
      </w:r>
      <w:r>
        <w:t>esearch</w:t>
      </w:r>
      <w:bookmarkEnd w:id="408"/>
      <w:bookmarkEnd w:id="409"/>
      <w:bookmarkEnd w:id="410"/>
    </w:p>
    <w:p w14:paraId="014DE23E" w14:textId="77777777" w:rsidR="00111E4D" w:rsidRDefault="00111E4D" w:rsidP="00111E4D">
      <w:r>
        <w:t>The present study has built upon the previous research around the acceptability of MYLO and provides support that older adults may find MYLO an acceptable conversational agent for problem-solving.  The study has also investigated the impact of system usability and on the acceptability of MYLO.  As a result of this, two avenues for further research have been proposed.  Firstly, research needs to be done to examine whether enhancements to the user interface of a conversational agent improves its acceptability and usability with older adults.  Secondly, further investigation needs to look at whether system usability affects other factors associated with e-therapy such as credibility and the therapeutic relationship.</w:t>
      </w:r>
    </w:p>
    <w:p w14:paraId="23ED18FA" w14:textId="5C99654F" w:rsidR="00111E4D" w:rsidRDefault="00111E4D" w:rsidP="00111E4D">
      <w:pPr>
        <w:pStyle w:val="Heading3"/>
      </w:pPr>
      <w:bookmarkStart w:id="411" w:name="_Toc530598196"/>
      <w:bookmarkStart w:id="412" w:name="_Toc530660549"/>
      <w:bookmarkStart w:id="413" w:name="_Toc3538151"/>
      <w:r>
        <w:lastRenderedPageBreak/>
        <w:t xml:space="preserve">Summary and </w:t>
      </w:r>
      <w:r w:rsidR="0042112D">
        <w:t>C</w:t>
      </w:r>
      <w:r>
        <w:t>onclusion</w:t>
      </w:r>
      <w:bookmarkEnd w:id="411"/>
      <w:bookmarkEnd w:id="412"/>
      <w:bookmarkEnd w:id="413"/>
    </w:p>
    <w:p w14:paraId="159AF059" w14:textId="03D0777F" w:rsidR="00366B7A" w:rsidRDefault="00111E4D" w:rsidP="00366B7A">
      <w:r>
        <w:t>The present study has sought to expand on the research of a conversational agent for problem-solving known as MYLO by testing its acceptability with a non-clinical older adult sample.  In doing so, the study has provided evidence that MYLO may be acceptable to this demographic group, and that system usability may impact the experience as a result of doing so.</w:t>
      </w:r>
      <w:r w:rsidR="00554CB4">
        <w:t xml:space="preserve">  </w:t>
      </w:r>
      <w:r>
        <w:t>Furthermore, system usability affected how helpful MYLO was to participants, how likely they were to use MYLO again and the extent to which they rated their problem as resolved.</w:t>
      </w:r>
    </w:p>
    <w:p w14:paraId="6B36880A" w14:textId="77777777" w:rsidR="00366B7A" w:rsidRDefault="00366B7A" w:rsidP="00366B7A">
      <w:pPr>
        <w:sectPr w:rsidR="00366B7A" w:rsidSect="00452C07">
          <w:pgSz w:w="11906" w:h="16838"/>
          <w:pgMar w:top="851" w:right="851" w:bottom="851" w:left="1134" w:header="708" w:footer="708" w:gutter="0"/>
          <w:cols w:space="708"/>
          <w:docGrid w:linePitch="360"/>
        </w:sectPr>
      </w:pPr>
    </w:p>
    <w:p w14:paraId="6202049A" w14:textId="5BC90D06" w:rsidR="00366B7A" w:rsidRDefault="00366B7A" w:rsidP="00366B7A">
      <w:pPr>
        <w:pStyle w:val="Heading1"/>
      </w:pPr>
      <w:bookmarkStart w:id="414" w:name="_Toc530598197"/>
      <w:bookmarkStart w:id="415" w:name="_Toc530660550"/>
      <w:bookmarkStart w:id="416" w:name="_Toc3538152"/>
      <w:r w:rsidRPr="00366B7A">
        <w:lastRenderedPageBreak/>
        <w:t>Acceptability and Usability of Enhanced MYLO(s)</w:t>
      </w:r>
      <w:bookmarkEnd w:id="414"/>
      <w:bookmarkEnd w:id="415"/>
      <w:bookmarkEnd w:id="416"/>
    </w:p>
    <w:p w14:paraId="2BB5C9DA" w14:textId="77777777" w:rsidR="00111E4D" w:rsidRDefault="00111E4D" w:rsidP="00E31AB0">
      <w:pPr>
        <w:pStyle w:val="Heading2"/>
        <w:numPr>
          <w:ilvl w:val="1"/>
          <w:numId w:val="13"/>
        </w:numPr>
      </w:pPr>
      <w:bookmarkStart w:id="417" w:name="_Toc530598198"/>
      <w:bookmarkStart w:id="418" w:name="_Toc530660551"/>
      <w:bookmarkStart w:id="419" w:name="_Toc3538153"/>
      <w:r>
        <w:t>Introduction</w:t>
      </w:r>
      <w:bookmarkEnd w:id="417"/>
      <w:bookmarkEnd w:id="418"/>
      <w:bookmarkEnd w:id="419"/>
    </w:p>
    <w:p w14:paraId="780D81A4" w14:textId="3C96D6F2" w:rsidR="00111E4D" w:rsidRDefault="00111E4D" w:rsidP="00111E4D">
      <w:r>
        <w:t xml:space="preserve">The previous chapter investigated the acceptability of a conversational agent for </w:t>
      </w:r>
      <w:r w:rsidRPr="001244C0">
        <w:rPr>
          <w:noProof/>
        </w:rPr>
        <w:t>problem</w:t>
      </w:r>
      <w:r>
        <w:rPr>
          <w:noProof/>
        </w:rPr>
        <w:t>-</w:t>
      </w:r>
      <w:r w:rsidRPr="001244C0">
        <w:rPr>
          <w:noProof/>
        </w:rPr>
        <w:t>solving</w:t>
      </w:r>
      <w:r>
        <w:t xml:space="preserve"> called MYLO when compared to </w:t>
      </w:r>
      <w:r w:rsidRPr="001244C0">
        <w:rPr>
          <w:noProof/>
        </w:rPr>
        <w:t>a control conversational</w:t>
      </w:r>
      <w:r>
        <w:t xml:space="preserve"> agent called ELIZA.  The study also examined whether system usability contributed to the acceptability of a conversational agent for </w:t>
      </w:r>
      <w:r w:rsidRPr="001244C0">
        <w:rPr>
          <w:noProof/>
        </w:rPr>
        <w:t>problem</w:t>
      </w:r>
      <w:r>
        <w:rPr>
          <w:noProof/>
        </w:rPr>
        <w:t>-</w:t>
      </w:r>
      <w:r w:rsidRPr="001244C0">
        <w:rPr>
          <w:noProof/>
        </w:rPr>
        <w:t>solving</w:t>
      </w:r>
      <w:r>
        <w:t xml:space="preserve"> with older adults.  The findings indicated that both MYLO and ELIZA may be </w:t>
      </w:r>
      <w:r w:rsidRPr="00AC3A07">
        <w:rPr>
          <w:noProof/>
        </w:rPr>
        <w:t>effective</w:t>
      </w:r>
      <w:r>
        <w:t xml:space="preserve"> conversational agents but that MYLO was perceived to be more helpful and more likely to be used again by participants and strong positive correlations were found between system usability, helpfulness, use again and resolution ratings.  Both agents scored below the average usability score of 68 indicating both agents were below average system usability.  In this </w:t>
      </w:r>
      <w:r w:rsidRPr="001244C0">
        <w:rPr>
          <w:noProof/>
        </w:rPr>
        <w:t>chapter</w:t>
      </w:r>
      <w:r>
        <w:rPr>
          <w:noProof/>
        </w:rPr>
        <w:t>,</w:t>
      </w:r>
      <w:r>
        <w:t xml:space="preserve"> we take MYLO and implement enhanced interface features in an attempt to increase its overall system usability score</w:t>
      </w:r>
      <w:r w:rsidR="00554CB4">
        <w:t xml:space="preserve">.  </w:t>
      </w:r>
      <w:r>
        <w:t xml:space="preserve">We also explore how </w:t>
      </w:r>
      <w:r w:rsidRPr="001244C0">
        <w:rPr>
          <w:noProof/>
        </w:rPr>
        <w:t>system usability affects user expectations</w:t>
      </w:r>
      <w:r>
        <w:t xml:space="preserve"> of e-therapy and the therapeutic relationship</w:t>
      </w:r>
      <w:r w:rsidR="00554CB4">
        <w:t xml:space="preserve">.  </w:t>
      </w:r>
      <w:r>
        <w:t>In a pilot survey, we first identify which types of enhanced interface features would be appealing to the target user group</w:t>
      </w:r>
      <w:r w:rsidR="00554CB4">
        <w:t xml:space="preserve">.  </w:t>
      </w:r>
      <w:r>
        <w:t>Subsequently, in the main study described in this chapter, we develop and user-test these enhancements.</w:t>
      </w:r>
    </w:p>
    <w:p w14:paraId="39335B6D" w14:textId="63E3AEFC" w:rsidR="00111E4D" w:rsidRDefault="00111E4D" w:rsidP="00111E4D">
      <w:pPr>
        <w:pStyle w:val="Heading3"/>
      </w:pPr>
      <w:bookmarkStart w:id="420" w:name="_Toc530598199"/>
      <w:bookmarkStart w:id="421" w:name="_Toc530660552"/>
      <w:bookmarkStart w:id="422" w:name="_Toc3538154"/>
      <w:r>
        <w:t xml:space="preserve">E-therapy </w:t>
      </w:r>
      <w:r w:rsidR="00C916F9">
        <w:t>E</w:t>
      </w:r>
      <w:r>
        <w:t>ngagement</w:t>
      </w:r>
      <w:bookmarkEnd w:id="420"/>
      <w:bookmarkEnd w:id="421"/>
      <w:bookmarkEnd w:id="422"/>
    </w:p>
    <w:p w14:paraId="02473F57" w14:textId="77777777" w:rsidR="00111E4D" w:rsidRDefault="00111E4D" w:rsidP="00111E4D">
      <w:r>
        <w:t xml:space="preserve">While using e-therapies for the prevention and treatment of mental health issues has </w:t>
      </w:r>
      <w:r>
        <w:rPr>
          <w:noProof/>
        </w:rPr>
        <w:t>some</w:t>
      </w:r>
      <w:r>
        <w:t xml:space="preserve"> significant benefits there are a substantial number of patients unwilling to engage in their use.  </w:t>
      </w:r>
      <w:r w:rsidRPr="00BF48E8">
        <w:rPr>
          <w:noProof/>
        </w:rPr>
        <w:t>Cavanagh and Millings</w:t>
      </w:r>
      <w:r>
        <w:t xml:space="preserve"> </w:t>
      </w:r>
      <w:r>
        <w:fldChar w:fldCharType="begin" w:fldLock="1"/>
      </w:r>
      <w:r>
        <w:instrText>ADDIN CSL_CITATION {"citationItems":[{"id":"ITEM-1","itemData":{"DOI":"10.4108/trans.amsys.01-06.2013.e3","ISSN":"2032-927X","author":[{"dropping-particle":"","family":"Cavanagh","given":"K.","non-dropping-particle":"","parse-names":false,"suffix":""},{"dropping-particle":"","family":"Millings","given":"a.","non-dropping-particle":"","parse-names":false,"suffix":""}],"container-title":"ICST Transactions on Ambient Systems","id":"ITEM-1","issue":"2","issued":{"date-parts":[["2013","2","22"]]},"page":"e3","title":"Increasing engagement with computerised cognitive behavioural therapies","type":"article-journal","volume":"13"},"uris":["http://www.mendeley.com/documents/?uuid=a4febd98-4158-4342-b389-1f3aa809db55"]}],"mendeley":{"formattedCitation":"(K. Cavanagh and Millings, 2013)","manualFormatting":"(2013)","plainTextFormattedCitation":"(K. Cavanagh and Millings, 2013)","previouslyFormattedCitation":"(K. Cavanagh and Millings, 2013)"},"properties":{"noteIndex":0},"schema":"https://github.com/citation-style-language/schema/raw/master/csl-citation.json"}</w:instrText>
      </w:r>
      <w:r>
        <w:fldChar w:fldCharType="separate"/>
      </w:r>
      <w:r w:rsidRPr="00BF48E8">
        <w:rPr>
          <w:noProof/>
        </w:rPr>
        <w:t>(2013)</w:t>
      </w:r>
      <w:r>
        <w:fldChar w:fldCharType="end"/>
      </w:r>
      <w:r>
        <w:t xml:space="preserve"> created a quadripartite model called the Four P’s that describes the four core factors associated with engagement and disengagement of </w:t>
      </w:r>
      <w:r w:rsidRPr="001244C0">
        <w:rPr>
          <w:noProof/>
        </w:rPr>
        <w:t>cCBT</w:t>
      </w:r>
      <w:r>
        <w:t xml:space="preserve">: </w:t>
      </w:r>
    </w:p>
    <w:p w14:paraId="02559ED0" w14:textId="4B068910" w:rsidR="00111E4D" w:rsidRDefault="00111E4D" w:rsidP="00E31AB0">
      <w:pPr>
        <w:pStyle w:val="ListParagraph"/>
        <w:numPr>
          <w:ilvl w:val="0"/>
          <w:numId w:val="6"/>
        </w:numPr>
      </w:pPr>
      <w:r>
        <w:t xml:space="preserve">Programme factors: content, structure, length, style, and interactivity of the </w:t>
      </w:r>
      <w:r w:rsidRPr="001244C0">
        <w:rPr>
          <w:noProof/>
        </w:rPr>
        <w:t>cCBT</w:t>
      </w:r>
      <w:r>
        <w:t>.</w:t>
      </w:r>
    </w:p>
    <w:p w14:paraId="29BA3981" w14:textId="26EB59D9" w:rsidR="00111E4D" w:rsidRDefault="00111E4D" w:rsidP="00E31AB0">
      <w:pPr>
        <w:pStyle w:val="ListParagraph"/>
        <w:numPr>
          <w:ilvl w:val="0"/>
          <w:numId w:val="6"/>
        </w:numPr>
      </w:pPr>
      <w:r>
        <w:t xml:space="preserve">Problem factors: dimensions of clinical problems: the severity, comorbidity, </w:t>
      </w:r>
      <w:r w:rsidRPr="001244C0">
        <w:rPr>
          <w:noProof/>
        </w:rPr>
        <w:t>and</w:t>
      </w:r>
      <w:r>
        <w:t xml:space="preserve"> complexity.</w:t>
      </w:r>
    </w:p>
    <w:p w14:paraId="683CCD38" w14:textId="6AEE97DB" w:rsidR="00111E4D" w:rsidRDefault="00111E4D" w:rsidP="00E31AB0">
      <w:pPr>
        <w:pStyle w:val="ListParagraph"/>
        <w:numPr>
          <w:ilvl w:val="0"/>
          <w:numId w:val="6"/>
        </w:numPr>
      </w:pPr>
      <w:r>
        <w:t>Person factors: demographic variables and user expectations.</w:t>
      </w:r>
    </w:p>
    <w:p w14:paraId="7F99BADA" w14:textId="77777777" w:rsidR="00111E4D" w:rsidRDefault="00111E4D" w:rsidP="00E31AB0">
      <w:pPr>
        <w:pStyle w:val="ListParagraph"/>
        <w:numPr>
          <w:ilvl w:val="0"/>
          <w:numId w:val="6"/>
        </w:numPr>
      </w:pPr>
      <w:r>
        <w:t xml:space="preserve">Provider factors: treatment location, provider attitudes, the amount of support, </w:t>
      </w:r>
      <w:r w:rsidRPr="001244C0">
        <w:rPr>
          <w:noProof/>
        </w:rPr>
        <w:t>who</w:t>
      </w:r>
      <w:r>
        <w:t xml:space="preserve"> offers support and the type of support </w:t>
      </w:r>
      <w:r w:rsidRPr="000060D9">
        <w:rPr>
          <w:noProof/>
        </w:rPr>
        <w:t>offered</w:t>
      </w:r>
      <w:r>
        <w:t>.</w:t>
      </w:r>
    </w:p>
    <w:p w14:paraId="47A23169" w14:textId="3F1820FB" w:rsidR="00111E4D" w:rsidRPr="00AE33D4" w:rsidRDefault="00111E4D" w:rsidP="00111E4D">
      <w:pPr>
        <w:pStyle w:val="Caption"/>
        <w:keepNext/>
      </w:pPr>
      <w:bookmarkStart w:id="423" w:name="_Ref523840465"/>
      <w:bookmarkStart w:id="424" w:name="_Toc530684669"/>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1</w:t>
      </w:r>
      <w:r w:rsidR="00371DCC">
        <w:fldChar w:fldCharType="end"/>
      </w:r>
      <w:bookmarkEnd w:id="423"/>
      <w:r>
        <w:t xml:space="preserve"> Four P's model of engagement with </w:t>
      </w:r>
      <w:r w:rsidRPr="001244C0">
        <w:rPr>
          <w:noProof/>
        </w:rPr>
        <w:t>cCBT</w:t>
      </w:r>
      <w:r w:rsidRPr="00AE33D4">
        <w:rPr>
          <w:noProof/>
        </w:rPr>
        <w:t xml:space="preserve"> </w:t>
      </w:r>
      <w:r>
        <w:fldChar w:fldCharType="begin" w:fldLock="1"/>
      </w:r>
      <w:r>
        <w:instrText>ADDIN CSL_CITATION {"citationItems":[{"id":"ITEM-1","itemData":{"DOI":"10.4108/trans.amsys.01-06.2013.e3","ISSN":"2032-927X","author":[{"dropping-particle":"","family":"Cavanagh","given":"K.","non-dropping-particle":"","parse-names":false,"suffix":""},{"dropping-particle":"","family":"Millings","given":"a.","non-dropping-particle":"","parse-names":false,"suffix":""}],"container-title":"ICST Transactions on Ambient Systems","id":"ITEM-1","issue":"2","issued":{"date-parts":[["2013","2","22"]]},"page":"e3","title":"Increasing engagement with computerised cognitive behavioural therapies","type":"article-journal","volume":"13"},"uris":["http://www.mendeley.com/documents/?uuid=a4febd98-4158-4342-b389-1f3aa809db55"]}],"mendeley":{"formattedCitation":"(K. Cavanagh and Millings, 2013)","manualFormatting":"(Cavanagh and Millings, 2013)","plainTextFormattedCitation":"(K. Cavanagh and Millings, 2013)","previouslyFormattedCitation":"(K. Cavanagh and Millings, 2013)"},"properties":{"noteIndex":0},"schema":"https://github.com/citation-style-language/schema/raw/master/csl-citation.json"}</w:instrText>
      </w:r>
      <w:r>
        <w:fldChar w:fldCharType="separate"/>
      </w:r>
      <w:r w:rsidRPr="00BF48E8">
        <w:rPr>
          <w:noProof/>
        </w:rPr>
        <w:t>(Cavanagh and Millings</w:t>
      </w:r>
      <w:r>
        <w:rPr>
          <w:noProof/>
        </w:rPr>
        <w:t xml:space="preserve">, </w:t>
      </w:r>
      <w:r w:rsidRPr="00BF48E8">
        <w:rPr>
          <w:noProof/>
        </w:rPr>
        <w:t>2013)</w:t>
      </w:r>
      <w:bookmarkEnd w:id="424"/>
      <w:r>
        <w:fldChar w:fldCharType="end"/>
      </w:r>
    </w:p>
    <w:p w14:paraId="3D3B212E" w14:textId="77777777" w:rsidR="00DF6411" w:rsidRDefault="00111E4D" w:rsidP="00111E4D">
      <w:pPr>
        <w:sectPr w:rsidR="00DF6411" w:rsidSect="00452C07">
          <w:pgSz w:w="11906" w:h="16838"/>
          <w:pgMar w:top="851" w:right="851" w:bottom="851" w:left="1134" w:header="708" w:footer="708" w:gutter="0"/>
          <w:cols w:space="708"/>
          <w:docGrid w:linePitch="360"/>
        </w:sectPr>
      </w:pPr>
      <w:r>
        <w:rPr>
          <w:noProof/>
          <w:lang w:eastAsia="en-GB"/>
        </w:rPr>
        <w:drawing>
          <wp:inline distT="0" distB="0" distL="0" distR="0" wp14:anchorId="5112CB37" wp14:editId="590AD3F9">
            <wp:extent cx="3600000" cy="1804784"/>
            <wp:effectExtent l="0" t="0" r="635" b="508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ngagement factors.png"/>
                    <pic:cNvPicPr/>
                  </pic:nvPicPr>
                  <pic:blipFill>
                    <a:blip r:embed="rId38"/>
                    <a:stretch>
                      <a:fillRect/>
                    </a:stretch>
                  </pic:blipFill>
                  <pic:spPr>
                    <a:xfrm>
                      <a:off x="0" y="0"/>
                      <a:ext cx="3600000" cy="1804784"/>
                    </a:xfrm>
                    <a:prstGeom prst="rect">
                      <a:avLst/>
                    </a:prstGeom>
                  </pic:spPr>
                </pic:pic>
              </a:graphicData>
            </a:graphic>
          </wp:inline>
        </w:drawing>
      </w:r>
    </w:p>
    <w:p w14:paraId="3CA5C153" w14:textId="1503145C" w:rsidR="00111E4D" w:rsidRDefault="00111E4D" w:rsidP="00111E4D">
      <w:r>
        <w:lastRenderedPageBreak/>
        <w:t xml:space="preserve">Within this body of work, it would not be feasible to explore all four P’s and their effect on </w:t>
      </w:r>
      <w:r w:rsidRPr="000060D9">
        <w:rPr>
          <w:noProof/>
        </w:rPr>
        <w:t>engagement</w:t>
      </w:r>
      <w:r>
        <w:t xml:space="preserve"> with MYLO.  To implement Provider factors would require the involvement of external providers creating an array of additional ethical considerations.  Similarly, Problem factors would involve clinical factors such as diagnosis creating further ethical considerations.  It would also be unethical from a clinical viewpoint to use an experimental program on patients.</w:t>
      </w:r>
      <w:r w:rsidRPr="00DA4A5B">
        <w:t xml:space="preserve"> </w:t>
      </w:r>
      <w:r>
        <w:t xml:space="preserve"> This study, therefore, chooses to focus on the Programme and Person factors of the model and how their </w:t>
      </w:r>
      <w:r w:rsidRPr="001244C0">
        <w:rPr>
          <w:noProof/>
        </w:rPr>
        <w:t>subfactors</w:t>
      </w:r>
      <w:r>
        <w:t xml:space="preserve"> interact with one another (see </w:t>
      </w:r>
      <w:r>
        <w:fldChar w:fldCharType="begin"/>
      </w:r>
      <w:r>
        <w:instrText xml:space="preserve"> REF _Ref524182692 \h </w:instrText>
      </w:r>
      <w:r>
        <w:fldChar w:fldCharType="separate"/>
      </w:r>
      <w:r w:rsidR="00574650">
        <w:t xml:space="preserve">Figure </w:t>
      </w:r>
      <w:r w:rsidR="00574650">
        <w:rPr>
          <w:noProof/>
        </w:rPr>
        <w:t>6</w:t>
      </w:r>
      <w:r w:rsidR="00574650">
        <w:t>.</w:t>
      </w:r>
      <w:r w:rsidR="00574650">
        <w:rPr>
          <w:noProof/>
        </w:rPr>
        <w:t>2</w:t>
      </w:r>
      <w:r>
        <w:fldChar w:fldCharType="end"/>
      </w:r>
      <w:r>
        <w:t>).  The model proposed here firstly takes one element of programme factors, namely, style and interactivity, and measures it through system usability</w:t>
      </w:r>
      <w:r w:rsidR="00554CB4">
        <w:t xml:space="preserve">.  </w:t>
      </w:r>
      <w:r>
        <w:t xml:space="preserve">Secondly, one element of person factors, namely, user expectation, is examined.  Perceptions of MYLO’s system usability may determine a user’s belief in MYLO’s treatment credibility.  Upon using MYLO, a user’s perceptions of system usability may also shape their pre-therapy expectations.  All of these things may influence the strength of the therapeutic relationship formed with MYLO and all of these factors should contribute to the engagement people have with MYLO. </w:t>
      </w:r>
    </w:p>
    <w:p w14:paraId="3DF6680A" w14:textId="03084777" w:rsidR="00111E4D" w:rsidRDefault="00111E4D" w:rsidP="00111E4D">
      <w:pPr>
        <w:pStyle w:val="Caption"/>
        <w:keepNext/>
      </w:pPr>
      <w:bookmarkStart w:id="425" w:name="_Ref524182692"/>
      <w:bookmarkStart w:id="426" w:name="_Toc530684670"/>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2</w:t>
      </w:r>
      <w:r w:rsidR="00371DCC">
        <w:fldChar w:fldCharType="end"/>
      </w:r>
      <w:bookmarkEnd w:id="425"/>
      <w:r>
        <w:t xml:space="preserve"> The 2 P Model for this study based on the 4 P’s model by</w:t>
      </w:r>
      <w:r w:rsidRPr="00485D60">
        <w:rPr>
          <w:noProof/>
        </w:rPr>
        <w:t xml:space="preserve"> </w:t>
      </w:r>
      <w:r w:rsidRPr="00BF48E8">
        <w:rPr>
          <w:noProof/>
        </w:rPr>
        <w:t>Cavanagh and Millings</w:t>
      </w:r>
      <w:r>
        <w:t xml:space="preserve"> </w:t>
      </w:r>
      <w:r>
        <w:fldChar w:fldCharType="begin" w:fldLock="1"/>
      </w:r>
      <w:r>
        <w:instrText>ADDIN CSL_CITATION {"citationItems":[{"id":"ITEM-1","itemData":{"DOI":"10.4108/trans.amsys.01-06.2013.e3","ISSN":"2032-927X","author":[{"dropping-particle":"","family":"Cavanagh","given":"K.","non-dropping-particle":"","parse-names":false,"suffix":""},{"dropping-particle":"","family":"Millings","given":"a.","non-dropping-particle":"","parse-names":false,"suffix":""}],"container-title":"ICST Transactions on Ambient Systems","id":"ITEM-1","issue":"2","issued":{"date-parts":[["2013","2","22"]]},"page":"e3","title":"Increasing engagement with computerised cognitive behavioural therapies","type":"article-journal","volume":"13"},"uris":["http://www.mendeley.com/documents/?uuid=a4febd98-4158-4342-b389-1f3aa809db55"]}],"mendeley":{"formattedCitation":"(K. Cavanagh and Millings, 2013)","manualFormatting":"(2013)","plainTextFormattedCitation":"(K. Cavanagh and Millings, 2013)","previouslyFormattedCitation":"(K. Cavanagh and Millings, 2013)"},"properties":{"noteIndex":0},"schema":"https://github.com/citation-style-language/schema/raw/master/csl-citation.json"}</w:instrText>
      </w:r>
      <w:r>
        <w:fldChar w:fldCharType="separate"/>
      </w:r>
      <w:r w:rsidRPr="00BF48E8">
        <w:rPr>
          <w:noProof/>
        </w:rPr>
        <w:t>(2013)</w:t>
      </w:r>
      <w:bookmarkEnd w:id="426"/>
      <w:r>
        <w:fldChar w:fldCharType="end"/>
      </w:r>
    </w:p>
    <w:p w14:paraId="31022E23" w14:textId="77777777" w:rsidR="00111E4D" w:rsidRDefault="00111E4D" w:rsidP="00111E4D">
      <w:r>
        <w:rPr>
          <w:noProof/>
          <w:lang w:eastAsia="en-GB"/>
        </w:rPr>
        <w:drawing>
          <wp:inline distT="0" distB="0" distL="0" distR="0" wp14:anchorId="0F72CCE1" wp14:editId="422A89E9">
            <wp:extent cx="5731510" cy="3224451"/>
            <wp:effectExtent l="0" t="0" r="254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actors Adaption.png"/>
                    <pic:cNvPicPr/>
                  </pic:nvPicPr>
                  <pic:blipFill>
                    <a:blip r:embed="rId39"/>
                    <a:stretch>
                      <a:fillRect/>
                    </a:stretch>
                  </pic:blipFill>
                  <pic:spPr>
                    <a:xfrm>
                      <a:off x="0" y="0"/>
                      <a:ext cx="5731510" cy="3224451"/>
                    </a:xfrm>
                    <a:prstGeom prst="rect">
                      <a:avLst/>
                    </a:prstGeom>
                  </pic:spPr>
                </pic:pic>
              </a:graphicData>
            </a:graphic>
          </wp:inline>
        </w:drawing>
      </w:r>
    </w:p>
    <w:p w14:paraId="3BB0BAC6" w14:textId="77777777" w:rsidR="00111E4D" w:rsidRDefault="00111E4D" w:rsidP="00111E4D">
      <w:pPr>
        <w:pStyle w:val="Heading3"/>
      </w:pPr>
      <w:bookmarkStart w:id="427" w:name="_Toc530598200"/>
      <w:bookmarkStart w:id="428" w:name="_Toc530660553"/>
      <w:bookmarkStart w:id="429" w:name="_Toc3538155"/>
      <w:r>
        <w:t>User Expectations</w:t>
      </w:r>
      <w:bookmarkEnd w:id="427"/>
      <w:bookmarkEnd w:id="428"/>
      <w:bookmarkEnd w:id="429"/>
    </w:p>
    <w:p w14:paraId="05FA1167" w14:textId="77777777" w:rsidR="00111E4D" w:rsidRPr="004F4F46" w:rsidRDefault="00111E4D" w:rsidP="00111E4D">
      <w:pPr>
        <w:pStyle w:val="Heading4"/>
      </w:pPr>
      <w:r>
        <w:t>Pre-therapy Expectations</w:t>
      </w:r>
    </w:p>
    <w:p w14:paraId="657A5D3B" w14:textId="737D7985" w:rsidR="00111E4D" w:rsidRDefault="00111E4D" w:rsidP="00111E4D">
      <w:r w:rsidRPr="00527DF9">
        <w:t xml:space="preserve">The pre-therapy expectations a user may have regarding e-therapy and its likely benefits may </w:t>
      </w:r>
      <w:r w:rsidRPr="00527DF9">
        <w:rPr>
          <w:noProof/>
        </w:rPr>
        <w:t>affect</w:t>
      </w:r>
      <w:r w:rsidRPr="00527DF9">
        <w:t xml:space="preserve"> a user’s willingness to engage with the therapy and their hopefulness regarding the outcomes of using it </w:t>
      </w:r>
      <w:r w:rsidRPr="00527DF9">
        <w:fldChar w:fldCharType="begin" w:fldLock="1"/>
      </w:r>
      <w:r w:rsidR="003E44DA">
        <w:instrText>ADDIN CSL_CITATION {"citationItems":[{"id":"ITEM-1","itemData":{"DOI":"http://dx.doi.org/10.1093/med:psych/9780199590117.003.0021","ISBN":"978-0-19-959011-7 (Paperback)","ISSN":"978-0-19-959011-7 (Paperback)","abstract":"Internet interventions can offer significant benefits for the prevention and treatment of common mental health problems including anxiety and depression. Some internet interventions attract many users, but evidence to date suggests that a significant number of people maybe unwilling to engage with internet interventions or having started, use them only very briefly. Identifying and overcoming the barriers to engagement and helping people to stick with internet interventions for long enough to achieve a sustainable benefit may be a key role for low intensity (LI) practitioners. This chapter explores the challenges of engagement, adherence, and attrition in relation to internet interventions and outlines some possible solutions to these challenges, including the potential importance of the therapeutic alliance triad between the patient, internet intervention, and LI practitioner. It draws on the evidence base for internet interventions; extrapolates from research on standalone computerized cognitive behavioural therapy (cCBT) programs and other self-help services; and looks at the implications for LI practitioners supporting clients to use internet interventions. (PsycINFO Database Record (c) 2016 APA, all rights reserved)","author":[{"dropping-particle":"","family":"Cavanagh","given":"Kate","non-dropping-particle":"","parse-names":false,"suffix":""}],"container-title":"Oxford guide to low intensity CBT interventions","id":"ITEM-1","issued":{"date-parts":[["2010","1"]]},"number-of-pages":"227-233","publisher":"Oxford University Press","title":"Turn on, tune in and (don't) drop out - engagement, adherence, attrition, and alliance with internet-based interventions","type":"book","volume":"1"},"uris":["http://www.mendeley.com/documents/?uuid=b91753fc-9e22-35b3-88b9-25e307f39577"]}],"mendeley":{"formattedCitation":"(Cavanagh, 2010)","plainTextFormattedCitation":"(Cavanagh, 2010)","previouslyFormattedCitation":"(Cavanagh, 2010)"},"properties":{"noteIndex":0},"schema":"https://github.com/citation-style-language/schema/raw/master/csl-citation.json"}</w:instrText>
      </w:r>
      <w:r w:rsidRPr="00527DF9">
        <w:fldChar w:fldCharType="separate"/>
      </w:r>
      <w:r w:rsidR="0040057D" w:rsidRPr="0040057D">
        <w:rPr>
          <w:noProof/>
        </w:rPr>
        <w:t>(Cavanagh, 2010)</w:t>
      </w:r>
      <w:r w:rsidRPr="00527DF9">
        <w:fldChar w:fldCharType="end"/>
      </w:r>
      <w:r w:rsidRPr="00527DF9">
        <w:t xml:space="preserve">.  Studies have found that having higher expectations of e-therapy may improve the uptake of treatment </w:t>
      </w:r>
      <w:r w:rsidRPr="00527DF9">
        <w:fldChar w:fldCharType="begin" w:fldLock="1"/>
      </w:r>
      <w:r w:rsidR="000B6CC8">
        <w:instrText>ADDIN CSL_CITATION {"citationItems":[{"id":"ITEM-1","itemData":{"DOI":"10.1080/16506070802561256","ISSN":"1650-6073","abstract":"The clinical and cost-effectiveness of a computer-aided cognitive behavioural therapy (CCBT) programme, Beating the Blues, is indicated by a number of studies, but relatively little is known about its acceptability for patients with depression, anxiety, or both. This study investigated the acceptability of Beating the Blues offered on eight scheduled clinic visits with brief face-to-face support. Pre and posttreatment measures explored the relationship among programme acceptability, treatment continuation, and outcomes for people accessing the programme in routine care. Two hundred and nineteen patients with depression, anxiety, or both were offered Beating the Blues in 11 primary and secondary care practices. One hundred and ninety-one (87%) completed the pretreatment measures and 84 (38%) completed a treatment feedback questionnaire. Analysis of treatment acceptability for CCBT indicated a positive patient experience with the programme. Pretreatment expectancies predicted CCBT treatment completion but n...","author":[{"dropping-particle":"","family":"Cavanagh","given":"Kate","non-dropping-particle":"","parse-names":false,"suffix":""},{"dropping-particle":"","family":"Shapiro","given":"David Alan","non-dropping-particle":"","parse-names":false,"suffix":""},{"dropping-particle":"","family":"Berg","given":"Susan","non-dropping-particle":"Van Den","parse-names":false,"suffix":""},{"dropping-particle":"","family":"Swain","given":"Sharon","non-dropping-particle":"","parse-names":false,"suffix":""},{"dropping-particle":"","family":"Barkham","given":"Michael","non-dropping-particle":"","parse-names":false,"suffix":""},{"dropping-particle":"","family":"Proudfoot","given":"Judy","non-dropping-particle":"","parse-names":false,"suffix":""}],"container-title":"Cognitive Behaviour Therapy","id":"ITEM-1","issue":"4","issued":{"date-parts":[["2009","12","18"]]},"page":"235-246","publisher":" Taylor &amp; Francis Group ","title":"The Acceptability of Computer-Aided Cognitive Behavioural Therapy: A Pragmatic Study","type":"article-journal","volume":"38"},"uris":["http://www.mendeley.com/documents/?uuid=99c0a2a0-6b35-377a-9676-ca48ded58e8c"]},{"id":"ITEM-2","itemData":{"DOI":"10.1093/med:psych/9780199590117.003.0022","author":[{"dropping-particle":"","family":"Ritterband","given":"Lee","non-dropping-particle":"","parse-names":false,"suffix":""},{"dropping-particle":"","family":"Thorndike","given":"Frances","non-dropping-particle":"","parse-names":false,"suffix":""},{"dropping-particle":"","family":"Vasquez","given":"Desi","non-dropping-particle":"","parse-names":false,"suffix":""},{"dropping-particle":"","family":"Saylor","given":"Drew","non-dropping-particle":"","parse-names":false,"suffix":""}],"id":"ITEM-2","issued":{"date-parts":[["2015","1"]]},"publisher":"Oxford University Press","title":"Treatment credibility and satisfaction with internet interventions","type":"book","volume":"1"},"uris":["http://www.mendeley.com/documents/?uuid=b4ab6d6c-4c00-3390-bb56-d3bd38d00f4d"]}],"mendeley":{"formattedCitation":"(Cavanagh &lt;i&gt;et al.&lt;/i&gt;, 2009b; Ritterband &lt;i&gt;et al.&lt;/i&gt;, 2015)","manualFormatting":"(Ritterband et al., 2015)","plainTextFormattedCitation":"(Cavanagh et al., 2009b; Ritterband et al., 2015)","previouslyFormattedCitation":"(Cavanagh &lt;i&gt;et al.&lt;/i&gt;, 2009b; Ritterband &lt;i&gt;et al.&lt;/i&gt;, 2015)"},"properties":{"noteIndex":0},"schema":"https://github.com/citation-style-language/schema/raw/master/csl-citation.json"}</w:instrText>
      </w:r>
      <w:r w:rsidRPr="00527DF9">
        <w:fldChar w:fldCharType="separate"/>
      </w:r>
      <w:r w:rsidRPr="00527DF9">
        <w:rPr>
          <w:noProof/>
        </w:rPr>
        <w:t xml:space="preserve">(Ritterband </w:t>
      </w:r>
      <w:r w:rsidRPr="00527DF9">
        <w:rPr>
          <w:i/>
          <w:noProof/>
        </w:rPr>
        <w:t>et al.</w:t>
      </w:r>
      <w:r w:rsidRPr="00527DF9">
        <w:rPr>
          <w:noProof/>
        </w:rPr>
        <w:t>, 2015)</w:t>
      </w:r>
      <w:r w:rsidRPr="00527DF9">
        <w:fldChar w:fldCharType="end"/>
      </w:r>
      <w:r w:rsidRPr="00527DF9">
        <w:rPr>
          <w:noProof/>
        </w:rPr>
        <w:t xml:space="preserve">, result in better adherence </w:t>
      </w:r>
      <w:r w:rsidRPr="00527DF9">
        <w:rPr>
          <w:noProof/>
        </w:rPr>
        <w:fldChar w:fldCharType="begin" w:fldLock="1"/>
      </w:r>
      <w:r w:rsidRPr="00527DF9">
        <w:rPr>
          <w:noProof/>
        </w:rPr>
        <w:instrText>ADDIN CSL_CITATION {"citationItems":[{"id":"ITEM-1","itemData":{"DOI":"10.1016/J.CHB.2004.11.014","ISSN":"0747-5632","abstract":"BACKGROUND\nWe recently demonstrated the efficacy and feasibility of a novel CD-ROM based cognitive-behavioral multi-media self-help intervention for the treatment of bulimia nervosa. What is not known in CD-ROM treatments is how to best to deliver and support such packages in clinical practice. In particular, it is of great importance to identify to what extent such packages can be offered stand alone, and to what extent additional support from a practitioner is required. \n\nOBJECTIVE\nThe aim of the present study was to examine whether the addition of therapist support to the CD-ROM intervention would improve treatment uptake, adherence and outcome. \n\nMETHOD\nTwo cohorts of patients with full or partial bulimia nervosa referred to a catchment area based eating disorder service were offered an eight session CD-ROM-based cognitive-behavioral self-help treatment (“Overcoming Bulimia”). The first cohort received minimal guidance only and the second cohort were offered three brief focused support sessions with a therapist. The two cohorts were compared on treatment uptake, adherence and outcome. \n\nRESULTS\nPatients in both groups improved significantly. There were no significant differences between the two groups in terms of treatment uptake, adherence or outcome, except that the therapist guidance group more often achieved remission from excessive exercise at follow-up. \n\nDISCUSSION\nThese findings provide further support for the acceptability and efficacy of the CD-ROM intervention for bulimia nervosa. Brief focused therapist guidance did not confer any significant additional benefits. This result has important implications for the widespread adoption of such approaches.","author":[{"dropping-particle":"","family":"Murray","given":"Kathryn","non-dropping-particle":"","parse-names":false,"suffix":""},{"dropping-particle":"","family":"Schmidt","given":"Ulrike","non-dropping-particle":"","parse-names":false,"suffix":""},{"dropping-particle":"","family":"Pombo-Carril","given":"Maria-Guadelupe","non-dropping-particle":"","parse-names":false,"suffix":""},{"dropping-particle":"","family":"Grover","given":"Miriam","non-dropping-particle":"","parse-names":false,"suffix":""},{"dropping-particle":"","family":"Alenya","given":"Joana","non-dropping-particle":"","parse-names":false,"suffix":""},{"dropping-particle":"","family":"Treasure","given":"Janet","non-dropping-particle":"","parse-names":false,"suffix":""},{"dropping-particle":"","family":"Williams","given":"Christopher","non-dropping-particle":"","parse-names":false,"suffix":""}],"container-title":"Computers in Human Behavior","id":"ITEM-1","issue":"1","issued":{"date-parts":[["2007","1","1"]]},"page":"850-859","publisher":"Pergamon","title":"Does therapist guidance improve uptake, adherence and outcome from a CD-ROM based cognitive-behavioral intervention for the treatment of bulimia nervosa?","type":"article-journal","volume":"23"},"uris":["http://www.mendeley.com/documents/?uuid=5df997bc-c7ae-3352-a030-eb99e6a0a726"]},{"id":"ITEM-2","itemData":{"DOI":"10.1017/S0033291707002607","ISSN":"0033-2917","PMID":"18205964","abstract":"BACKGROUND Cognitive behaviour therapy (CBT) is widely used to treat depression. However, CBT is not always available to patients because of a shortage of therapists and long waiting times. Computerized CBT (CCBT) is one of several alternatives currently available to treat patients with depression. Evidence of its clinical effectiveness has led to programs being used increasingly within the UK and elsewhere. However, little information is available regarding the acceptability of CCBT to patients. METHOD A systematic review of sources of information on acceptability to patients of CCBT for depression. RESULTS Sources of information on acceptability included: recruitment rates, patient drop-outs and patient-completed questionnaires. We identified 16 studies of CCBT for the treatment of depression that provided at least some information on these sources. Limited information was provided on patient take-up rates and recruitment methods. Drop-out rates were comparable to other forms of treatment. Take-up rates, when reported, were much lower. Six of the 16 studies included specific questions on patient acceptability or satisfaction although information was only provided for those who had completed treatment. Several studies have reported positive expectancies and high satisfaction in routine care CCBT services for those completing treatment. CONCLUSIONS Trials of CCBT should include more detailed information on patient recruitment methods, drop-out rates and reasons for dropping out. It is important that well-designed surveys and qualitative studies are included alongside trials to determine levels and determinants of patient acceptability.","author":[{"dropping-particle":"","family":"Kaltenthaler","given":"E.","non-dropping-particle":"","parse-names":false,"suffix":""},{"dropping-particle":"","family":"Sutcliffe","given":"P.","non-dropping-particle":"","parse-names":false,"suffix":""},{"dropping-particle":"","family":"Parry","given":"G.","non-dropping-particle":"","parse-names":false,"suffix":""},{"dropping-particle":"","family":"Beverley","given":"C.","non-dropping-particle":"","parse-names":false,"suffix":""},{"dropping-particle":"","family":"Rees","given":"A.","non-dropping-particle":"","parse-names":false,"suffix":""},{"dropping-particle":"","family":"Ferriter","given":"M.","non-dropping-particle":"","parse-names":false,"suffix":""}],"container-title":"Psychological Medicine","id":"ITEM-2","issue":"11","issued":{"date-parts":[["2008","11","21"]]},"page":"1521","title":"The acceptability to patients of computerized cognitive behaviour therapy for depression: a systematic review","type":"article-journal","volume":"38"},"uris":["http://www.mendeley.com/documents/?uuid=598979ad-b5b2-3339-a5cc-e6ea81af9a5f"]}],"mendeley":{"formattedCitation":"(Murray &lt;i&gt;et al.&lt;/i&gt;, 2007; Kaltenthaler &lt;i&gt;et al.&lt;/i&gt;, 2008)","plainTextFormattedCitation":"(Murray et al., 2007; Kaltenthaler et al., 2008)","previouslyFormattedCitation":"(Murray &lt;i&gt;et al.&lt;/i&gt;, 2007; Kaltenthaler &lt;i&gt;et al.&lt;/i&gt;, 2008)"},"properties":{"noteIndex":0},"schema":"https://github.com/citation-style-language/schema/raw/master/csl-citation.json"}</w:instrText>
      </w:r>
      <w:r w:rsidRPr="00527DF9">
        <w:rPr>
          <w:noProof/>
        </w:rPr>
        <w:fldChar w:fldCharType="separate"/>
      </w:r>
      <w:r w:rsidRPr="00527DF9">
        <w:rPr>
          <w:noProof/>
        </w:rPr>
        <w:t xml:space="preserve">(Murray </w:t>
      </w:r>
      <w:r w:rsidRPr="00527DF9">
        <w:rPr>
          <w:i/>
          <w:noProof/>
        </w:rPr>
        <w:t>et al.</w:t>
      </w:r>
      <w:r w:rsidRPr="00527DF9">
        <w:rPr>
          <w:noProof/>
        </w:rPr>
        <w:t xml:space="preserve">, 2007; Kaltenthaler </w:t>
      </w:r>
      <w:r w:rsidRPr="00527DF9">
        <w:rPr>
          <w:i/>
          <w:noProof/>
        </w:rPr>
        <w:t>et al.</w:t>
      </w:r>
      <w:r w:rsidRPr="00527DF9">
        <w:rPr>
          <w:noProof/>
        </w:rPr>
        <w:t>, 2008)</w:t>
      </w:r>
      <w:r w:rsidRPr="00527DF9">
        <w:rPr>
          <w:noProof/>
        </w:rPr>
        <w:fldChar w:fldCharType="end"/>
      </w:r>
      <w:r w:rsidRPr="00527DF9">
        <w:t>, and have a positive impact upon treatment completion (</w:t>
      </w:r>
      <w:r w:rsidRPr="00527DF9">
        <w:rPr>
          <w:noProof/>
        </w:rPr>
        <w:t xml:space="preserve">Cavanagh </w:t>
      </w:r>
      <w:r w:rsidRPr="00527DF9">
        <w:rPr>
          <w:i/>
          <w:noProof/>
        </w:rPr>
        <w:t>et al.</w:t>
      </w:r>
      <w:r w:rsidRPr="00527DF9">
        <w:rPr>
          <w:noProof/>
        </w:rPr>
        <w:t>, 2009)</w:t>
      </w:r>
      <w:r w:rsidRPr="00527DF9">
        <w:t>.</w:t>
      </w:r>
      <w:r>
        <w:t xml:space="preserve">  All of these findings fit into the proposed model (</w:t>
      </w:r>
      <w:r>
        <w:fldChar w:fldCharType="begin"/>
      </w:r>
      <w:r>
        <w:instrText xml:space="preserve"> REF _Ref524182692 \h </w:instrText>
      </w:r>
      <w:r>
        <w:fldChar w:fldCharType="separate"/>
      </w:r>
      <w:r w:rsidR="00574650">
        <w:t xml:space="preserve">Figure </w:t>
      </w:r>
      <w:r w:rsidR="00574650">
        <w:rPr>
          <w:noProof/>
        </w:rPr>
        <w:t>6</w:t>
      </w:r>
      <w:r w:rsidR="00574650">
        <w:t>.</w:t>
      </w:r>
      <w:r w:rsidR="00574650">
        <w:rPr>
          <w:noProof/>
        </w:rPr>
        <w:t>2</w:t>
      </w:r>
      <w:r>
        <w:fldChar w:fldCharType="end"/>
      </w:r>
      <w:r>
        <w:t>)</w:t>
      </w:r>
      <w:r w:rsidRPr="00527DF9">
        <w:t xml:space="preserve"> </w:t>
      </w:r>
      <w:r>
        <w:t>where pre-therapy expectations maybe associated with greater engagement with MYLO.</w:t>
      </w:r>
      <w:r w:rsidRPr="00527DF9">
        <w:t xml:space="preserve"> </w:t>
      </w:r>
      <w:r>
        <w:t xml:space="preserve"> </w:t>
      </w:r>
      <w:r w:rsidRPr="00527DF9">
        <w:t xml:space="preserve">One suggested </w:t>
      </w:r>
      <w:r w:rsidRPr="00527DF9">
        <w:rPr>
          <w:noProof/>
        </w:rPr>
        <w:t>method</w:t>
      </w:r>
      <w:r w:rsidRPr="00527DF9">
        <w:t xml:space="preserve"> of increasing treatment expectations may be to provide useful information about </w:t>
      </w:r>
      <w:r>
        <w:t>an e-therapy</w:t>
      </w:r>
      <w:r w:rsidRPr="00527DF9">
        <w:t xml:space="preserve"> such as booklet, video, or taster session which may help users to engage with treatment </w:t>
      </w:r>
      <w:r w:rsidRPr="00527DF9">
        <w:fldChar w:fldCharType="begin" w:fldLock="1"/>
      </w:r>
      <w:r w:rsidR="003E44DA">
        <w:instrText>ADDIN CSL_CITATION {"citationItems":[{"id":"ITEM-1","itemData":{"DOI":"http://dx.doi.org/10.1093/med:psych/9780199590117.003.0021","ISBN":"978-0-19-959011-7 (Paperback)","ISSN":"978-0-19-959011-7 (Paperback)","abstract":"Internet interventions can offer significant benefits for the prevention and treatment of common mental health problems including anxiety and depression. Some internet interventions attract many users, but evidence to date suggests that a significant number of people maybe unwilling to engage with internet interventions or having started, use them only very briefly. Identifying and overcoming the barriers to engagement and helping people to stick with internet interventions for long enough to achieve a sustainable benefit may be a key role for low intensity (LI) practitioners. This chapter explores the challenges of engagement, adherence, and attrition in relation to internet interventions and outlines some possible solutions to these challenges, including the potential importance of the therapeutic alliance triad between the patient, internet intervention, and LI practitioner. It draws on the evidence base for internet interventions; extrapolates from research on standalone computerized cognitive behavioural therapy (cCBT) programs and other self-help services; and looks at the implications for LI practitioners supporting clients to use internet interventions. (PsycINFO Database Record (c) 2016 APA, all rights reserved)","author":[{"dropping-particle":"","family":"Cavanagh","given":"Kate","non-dropping-particle":"","parse-names":false,"suffix":""}],"container-title":"Oxford guide to low intensity CBT interventions","id":"ITEM-1","issued":{"date-parts":[["2010","1"]]},"number-of-pages":"227-233","publisher":"Oxford University Press","title":"Turn on, tune in and (don't) drop out - engagement, adherence, attrition, and alliance with internet-based interventions","type":"book","volume":"1"},"uris":["http://www.mendeley.com/documents/?uuid=b91753fc-9e22-35b3-88b9-25e307f39577"]}],"mendeley":{"formattedCitation":"(Cavanagh, 2010)","plainTextFormattedCitation":"(Cavanagh, 2010)","previouslyFormattedCitation":"(Cavanagh, 2010)"},"properties":{"noteIndex":0},"schema":"https://github.com/citation-style-language/schema/raw/master/csl-citation.json"}</w:instrText>
      </w:r>
      <w:r w:rsidRPr="00527DF9">
        <w:fldChar w:fldCharType="separate"/>
      </w:r>
      <w:r w:rsidR="0040057D" w:rsidRPr="0040057D">
        <w:rPr>
          <w:noProof/>
        </w:rPr>
        <w:t xml:space="preserve">(Cavanagh, </w:t>
      </w:r>
      <w:r w:rsidR="0040057D" w:rsidRPr="0040057D">
        <w:rPr>
          <w:noProof/>
        </w:rPr>
        <w:lastRenderedPageBreak/>
        <w:t>2010)</w:t>
      </w:r>
      <w:r w:rsidRPr="00527DF9">
        <w:fldChar w:fldCharType="end"/>
      </w:r>
      <w:r w:rsidRPr="00527DF9">
        <w:t>.</w:t>
      </w:r>
      <w:r>
        <w:t xml:space="preserve">  </w:t>
      </w:r>
      <w:r w:rsidRPr="00527DF9">
        <w:t xml:space="preserve">This method </w:t>
      </w:r>
      <w:r w:rsidRPr="00527DF9">
        <w:rPr>
          <w:noProof/>
        </w:rPr>
        <w:t>was explored</w:t>
      </w:r>
      <w:r w:rsidRPr="00527DF9">
        <w:t xml:space="preserve"> in a study by </w:t>
      </w:r>
      <w:r w:rsidRPr="00527DF9">
        <w:rPr>
          <w:noProof/>
        </w:rPr>
        <w:t>Mitchell and Gordon</w:t>
      </w:r>
      <w:r w:rsidRPr="00527DF9">
        <w:t xml:space="preserve"> </w:t>
      </w:r>
      <w:r w:rsidRPr="00527DF9">
        <w:fldChar w:fldCharType="begin" w:fldLock="1"/>
      </w:r>
      <w:r w:rsidRPr="00527DF9">
        <w:instrText>ADDIN CSL_CITATION {"citationItems":[{"id":"ITEM-1","itemData":{"DOI":"10.1017/S1352465807003700","ISSN":"1352-4658","author":[{"dropping-particle":"","family":"Mitchell","given":"Nicky","non-dropping-particle":"","parse-names":false,"suffix":""},{"dropping-particle":"","family":"Gordon","given":"P. Kenneth","non-dropping-particle":"","parse-names":false,"suffix":""}],"container-title":"Behavioural and Cognitive Psychotherapy","id":"ITEM-1","issue":"04","issued":{"date-parts":[["2007","7","14"]]},"page":"421","title":"Attitudes Towards Computerized CBT for Depression Amongst a Student Population","type":"article-journal","volume":"35"},"uris":["http://www.mendeley.com/documents/?uuid=3eaf216e-8d2a-37c9-8549-7d0492648313"]}],"mendeley":{"formattedCitation":"(Mitchell and Gordon, 2007)","manualFormatting":"(2007)","plainTextFormattedCitation":"(Mitchell and Gordon, 2007)","previouslyFormattedCitation":"(Mitchell and Gordon, 2007)"},"properties":{"noteIndex":0},"schema":"https://github.com/citation-style-language/schema/raw/master/csl-citation.json"}</w:instrText>
      </w:r>
      <w:r w:rsidRPr="00527DF9">
        <w:fldChar w:fldCharType="separate"/>
      </w:r>
      <w:r w:rsidRPr="00527DF9">
        <w:rPr>
          <w:noProof/>
        </w:rPr>
        <w:t>(2007)</w:t>
      </w:r>
      <w:r w:rsidRPr="00527DF9">
        <w:fldChar w:fldCharType="end"/>
      </w:r>
      <w:r w:rsidRPr="00527DF9">
        <w:t xml:space="preserve"> in which pre-credibility and preference for </w:t>
      </w:r>
      <w:r>
        <w:t>e-therapy</w:t>
      </w:r>
      <w:r w:rsidRPr="00527DF9">
        <w:t xml:space="preserve"> </w:t>
      </w:r>
      <w:r w:rsidRPr="00527DF9">
        <w:rPr>
          <w:noProof/>
        </w:rPr>
        <w:t>were</w:t>
      </w:r>
      <w:r w:rsidRPr="00527DF9">
        <w:t xml:space="preserve"> found to be initially poor among their sample.  After being shown a short demonstration of </w:t>
      </w:r>
      <w:r>
        <w:rPr>
          <w:noProof/>
        </w:rPr>
        <w:t>e-therapy</w:t>
      </w:r>
      <w:r w:rsidRPr="00527DF9">
        <w:rPr>
          <w:noProof/>
        </w:rPr>
        <w:t>,</w:t>
      </w:r>
      <w:r w:rsidRPr="00527DF9">
        <w:t xml:space="preserve"> the proportion of those expressing a preference </w:t>
      </w:r>
      <w:r w:rsidRPr="00527DF9">
        <w:rPr>
          <w:noProof/>
        </w:rPr>
        <w:t>for</w:t>
      </w:r>
      <w:r w:rsidRPr="00527DF9">
        <w:t xml:space="preserve"> </w:t>
      </w:r>
      <w:r>
        <w:t>e-therapy</w:t>
      </w:r>
      <w:r w:rsidRPr="00527DF9">
        <w:t xml:space="preserve"> increased from below 10 to 30%.</w:t>
      </w:r>
    </w:p>
    <w:p w14:paraId="22577ED8" w14:textId="77777777" w:rsidR="00111E4D" w:rsidRDefault="00111E4D" w:rsidP="00111E4D">
      <w:pPr>
        <w:pStyle w:val="Heading4"/>
      </w:pPr>
      <w:r>
        <w:t>Credibility</w:t>
      </w:r>
    </w:p>
    <w:p w14:paraId="11A9F937" w14:textId="21355A98" w:rsidR="00111E4D" w:rsidRDefault="00111E4D" w:rsidP="00111E4D">
      <w:r>
        <w:t xml:space="preserve">Treatment credibility is how believable and convincing an intervention is perceived to be by a patient </w:t>
      </w:r>
      <w:r>
        <w:fldChar w:fldCharType="begin" w:fldLock="1"/>
      </w:r>
      <w:r>
        <w:instrText>ADDIN CSL_CITATION {"citationItems":[{"id":"ITEM-1","itemData":{"DOI":"10.1093/med:psych/9780199590117.003.0022","author":[{"dropping-particle":"","family":"Ritterband","given":"Lee","non-dropping-particle":"","parse-names":false,"suffix":""},{"dropping-particle":"","family":"Thorndike","given":"Frances","non-dropping-particle":"","parse-names":false,"suffix":""},{"dropping-particle":"","family":"Vasquez","given":"Desi","non-dropping-particle":"","parse-names":false,"suffix":""},{"dropping-particle":"","family":"Saylor","given":"Drew","non-dropping-particle":"","parse-names":false,"suffix":""}],"id":"ITEM-1","issued":{"date-parts":[["2015","1"]]},"publisher":"Oxford University Press","title":"Treatment credibility and satisfaction with internet interventions","type":"book","volume":"1"},"uris":["http://www.mendeley.com/documents/?uuid=b4ab6d6c-4c00-3390-bb56-d3bd38d00f4d"]}],"mendeley":{"formattedCitation":"(Ritterband &lt;i&gt;et al.&lt;/i&gt;, 2015)","plainTextFormattedCitation":"(Ritterband et al., 2015)","previouslyFormattedCitation":"(Ritterband &lt;i&gt;et al.&lt;/i&gt;, 2015)"},"properties":{"noteIndex":0},"schema":"https://github.com/citation-style-language/schema/raw/master/csl-citation.json"}</w:instrText>
      </w:r>
      <w:r>
        <w:fldChar w:fldCharType="separate"/>
      </w:r>
      <w:r w:rsidRPr="00BC2532">
        <w:rPr>
          <w:noProof/>
        </w:rPr>
        <w:t xml:space="preserve">(Ritterband </w:t>
      </w:r>
      <w:r w:rsidRPr="00BC2532">
        <w:rPr>
          <w:i/>
          <w:noProof/>
        </w:rPr>
        <w:t>et al.</w:t>
      </w:r>
      <w:r w:rsidRPr="00BC2532">
        <w:rPr>
          <w:noProof/>
        </w:rPr>
        <w:t>, 2015)</w:t>
      </w:r>
      <w:r>
        <w:fldChar w:fldCharType="end"/>
      </w:r>
      <w:r>
        <w:t xml:space="preserve">.  Treatment credibility ratings for e-therapy tend to range from intermediate </w:t>
      </w:r>
      <w:r>
        <w:fldChar w:fldCharType="begin" w:fldLock="1"/>
      </w:r>
      <w:r>
        <w:instrText>ADDIN CSL_CITATION {"citationItems":[{"id":"ITEM-1","itemData":{"ISSN":"0005-7916","PMID":"12899896","abstract":"A randomized trial was conducted of two different self-help programs for panic disorder (PD) on the Internet. After confirming the PD-diagnosis with an in-person structured clinical interview for DSM-IV (SCID) interview 22 participants were randomized to either applied relaxation (AR) or a multimodal treatment package based on cognitive behavioral therapy (CBT). Overall, the results suggest that Internet-administered self-help plus minimal therapist contact via e-mail has a significant medium to large effect (Cohen's d=0.71 for AR and d=0.42 for CBT). The results from this study generally provide evidence to support the continued use and development of Internet-distributed self-help programs.","author":[{"dropping-particle":"","family":"Carlbring","given":"Per","non-dropping-particle":"","parse-names":false,"suffix":""},{"dropping-particle":"","family":"Ekselius","given":"Lisa","non-dropping-particle":"","parse-names":false,"suffix":""},{"dropping-particle":"","family":"Andersson","given":"Gerhard","non-dropping-particle":"","parse-names":false,"suffix":""}],"container-title":"Journal of behavior therapy and experimental psychiatry","id":"ITEM-1","issue":"2","issued":{"date-parts":[["2003","6"]]},"page":"129-40","title":"Treatment of panic disorder via the Internet: a randomized trial of CBT vs. applied relaxation.","type":"article-journal","volume":"34"},"uris":["http://www.mendeley.com/documents/?uuid=43fc4b74-59d1-3db3-ad8c-fb379711744a"]}],"mendeley":{"formattedCitation":"(Carlbring, Ekselius and Andersson, 2003)","plainTextFormattedCitation":"(Carlbring, Ekselius and Andersson, 2003)","previouslyFormattedCitation":"(Carlbring, Ekselius and Andersson, 2003)"},"properties":{"noteIndex":0},"schema":"https://github.com/citation-style-language/schema/raw/master/csl-citation.json"}</w:instrText>
      </w:r>
      <w:r>
        <w:fldChar w:fldCharType="separate"/>
      </w:r>
      <w:r w:rsidRPr="00BC2532">
        <w:rPr>
          <w:noProof/>
        </w:rPr>
        <w:t>(Carlbring, Ekselius and Andersson, 2003)</w:t>
      </w:r>
      <w:r>
        <w:fldChar w:fldCharType="end"/>
      </w:r>
      <w:r>
        <w:t xml:space="preserve"> to high </w:t>
      </w:r>
      <w:r>
        <w:fldChar w:fldCharType="begin" w:fldLock="1"/>
      </w:r>
      <w:r>
        <w:instrText>ADDIN CSL_CITATION {"citationItems":[{"id":"ITEM-1","itemData":{"DOI":"10.1016/S0005-7894(01)80019-8","ISSN":"0005-7894","abstract":"This controlled study evaluated an Internet-delivered self-help program plus minimal therapist contact via e-mail for people suffering from panic disorder. Out of the 500 individuals screened using the self-administered diagnostic instrument Composite International Diagnostic Interview in shortened form (World Health Organization, 1999), 41 fulfilled the inclusion criteria. These participants were randomized to either treatment via the Internet or to a waiting-list control. The main components of the treatment were psychoeducation, breathing retraining, cognitive restructuring, interoceptive exposure, in vivo exposure, and relapse prevention. From pre- to post-test self-help, participants improved significantly more on almost all dimensions. The results from this experiment generally provide evidence for the continued use and development of self-help programs for panic disorder distributed via the Internet.","author":[{"dropping-particle":"","family":"Carlbring","given":"Per","non-dropping-particle":"","parse-names":false,"suffix":""},{"dropping-particle":"","family":"Westling","given":"Bengt E.","non-dropping-particle":"","parse-names":false,"suffix":""},{"dropping-particle":"","family":"Ljungstrand","given":"Peter","non-dropping-particle":"","parse-names":false,"suffix":""},{"dropping-particle":"","family":"Ekselius","given":"Lisa","non-dropping-particle":"","parse-names":false,"suffix":""},{"dropping-particle":"","family":"Andersson","given":"Gerhard","non-dropping-particle":"","parse-names":false,"suffix":""}],"container-title":"Behavior Therapy","id":"ITEM-1","issue":"4","issued":{"date-parts":[["2001","9","1"]]},"page":"751-764","publisher":"Elsevier","title":"Treatment of panic disorder via the internet: A randomized trial of a self-help program","type":"article-journal","volume":"32"},"uris":["http://www.mendeley.com/documents/?uuid=b1494fc8-fb8e-39e8-bc2b-7d1be9bae932"]}],"mendeley":{"formattedCitation":"(Carlbring &lt;i&gt;et al.&lt;/i&gt;, 2001)","plainTextFormattedCitation":"(Carlbring et al., 2001)","previouslyFormattedCitation":"(Carlbring &lt;i&gt;et al.&lt;/i&gt;, 2001)"},"properties":{"noteIndex":0},"schema":"https://github.com/citation-style-language/schema/raw/master/csl-citation.json"}</w:instrText>
      </w:r>
      <w:r>
        <w:fldChar w:fldCharType="separate"/>
      </w:r>
      <w:r w:rsidRPr="0057252C">
        <w:rPr>
          <w:noProof/>
        </w:rPr>
        <w:t xml:space="preserve">(Carlbring </w:t>
      </w:r>
      <w:r w:rsidRPr="0057252C">
        <w:rPr>
          <w:i/>
          <w:noProof/>
        </w:rPr>
        <w:t>et al.</w:t>
      </w:r>
      <w:r w:rsidRPr="0057252C">
        <w:rPr>
          <w:noProof/>
        </w:rPr>
        <w:t>, 2001)</w:t>
      </w:r>
      <w:r>
        <w:fldChar w:fldCharType="end"/>
      </w:r>
      <w:r>
        <w:t xml:space="preserve">.  This lack of consistency may point to there being problems in the way treatment credibility is assessed and a need for ‘gold standard’ </w:t>
      </w:r>
      <w:r>
        <w:fldChar w:fldCharType="begin" w:fldLock="1"/>
      </w:r>
      <w:r>
        <w:instrText>ADDIN CSL_CITATION {"citationItems":[{"id":"ITEM-1","itemData":{"DOI":"10.1093/med:psych/9780199590117.003.0022","author":[{"dropping-particle":"","family":"Ritterband","given":"Lee","non-dropping-particle":"","parse-names":false,"suffix":""},{"dropping-particle":"","family":"Thorndike","given":"Frances","non-dropping-particle":"","parse-names":false,"suffix":""},{"dropping-particle":"","family":"Vasquez","given":"Desi","non-dropping-particle":"","parse-names":false,"suffix":""},{"dropping-particle":"","family":"Saylor","given":"Drew","non-dropping-particle":"","parse-names":false,"suffix":""}],"id":"ITEM-1","issued":{"date-parts":[["2015","1"]]},"publisher":"Oxford University Press","title":"Treatment credibility and satisfaction with internet interventions","type":"book","volume":"1"},"uris":["http://www.mendeley.com/documents/?uuid=b4ab6d6c-4c00-3390-bb56-d3bd38d00f4d"]}],"mendeley":{"formattedCitation":"(Ritterband &lt;i&gt;et al.&lt;/i&gt;, 2015)","plainTextFormattedCitation":"(Ritterband et al., 2015)","previouslyFormattedCitation":"(Ritterband &lt;i&gt;et al.&lt;/i&gt;, 2015)"},"properties":{"noteIndex":0},"schema":"https://github.com/citation-style-language/schema/raw/master/csl-citation.json"}</w:instrText>
      </w:r>
      <w:r>
        <w:fldChar w:fldCharType="separate"/>
      </w:r>
      <w:r w:rsidRPr="00BC2532">
        <w:rPr>
          <w:noProof/>
        </w:rPr>
        <w:t xml:space="preserve">(Ritterband </w:t>
      </w:r>
      <w:r w:rsidRPr="00BC2532">
        <w:rPr>
          <w:i/>
          <w:noProof/>
        </w:rPr>
        <w:t>et al.</w:t>
      </w:r>
      <w:r w:rsidRPr="00BC2532">
        <w:rPr>
          <w:noProof/>
        </w:rPr>
        <w:t>, 2015)</w:t>
      </w:r>
      <w:r>
        <w:fldChar w:fldCharType="end"/>
      </w:r>
      <w:r>
        <w:t xml:space="preserve">.  </w:t>
      </w:r>
      <w:r>
        <w:rPr>
          <w:noProof/>
        </w:rPr>
        <w:t>Regarding</w:t>
      </w:r>
      <w:r>
        <w:t xml:space="preserve"> treatment credibility’s relationship with treatment outcome, consistent correlations have not been forthcoming, </w:t>
      </w:r>
      <w:r w:rsidRPr="000060D9">
        <w:rPr>
          <w:noProof/>
        </w:rPr>
        <w:t>and</w:t>
      </w:r>
      <w:r>
        <w:t xml:space="preserve"> </w:t>
      </w:r>
      <w:r>
        <w:rPr>
          <w:noProof/>
        </w:rPr>
        <w:t xml:space="preserve">in some </w:t>
      </w:r>
      <w:r w:rsidRPr="000060D9">
        <w:rPr>
          <w:noProof/>
        </w:rPr>
        <w:t>cases</w:t>
      </w:r>
      <w:r>
        <w:rPr>
          <w:noProof/>
        </w:rPr>
        <w:t xml:space="preserve">, studies have found </w:t>
      </w:r>
      <w:r>
        <w:t xml:space="preserve">little </w:t>
      </w:r>
      <w:r>
        <w:rPr>
          <w:noProof/>
        </w:rPr>
        <w:t>connection</w:t>
      </w:r>
      <w:r>
        <w:t xml:space="preserve"> between the two </w:t>
      </w:r>
      <w:r>
        <w:fldChar w:fldCharType="begin" w:fldLock="1"/>
      </w:r>
      <w:r>
        <w:instrText>ADDIN CSL_CITATION {"citationItems":[{"id":"ITEM-1","itemData":{"ISSN":"0005-7916","PMID":"12899896","abstract":"A randomized trial was conducted of two different self-help programs for panic disorder (PD) on the Internet. After confirming the PD-diagnosis with an in-person structured clinical interview for DSM-IV (SCID) interview 22 participants were randomized to either applied relaxation (AR) or a multimodal treatment package based on cognitive behavioral therapy (CBT). Overall, the results suggest that Internet-administered self-help plus minimal therapist contact via e-mail has a significant medium to large effect (Cohen's d=0.71 for AR and d=0.42 for CBT). The results from this study generally provide evidence to support the continued use and development of Internet-distributed self-help programs.","author":[{"dropping-particle":"","family":"Carlbring","given":"Per","non-dropping-particle":"","parse-names":false,"suffix":""},{"dropping-particle":"","family":"Ekselius","given":"Lisa","non-dropping-particle":"","parse-names":false,"suffix":""},{"dropping-particle":"","family":"Andersson","given":"Gerhard","non-dropping-particle":"","parse-names":false,"suffix":""}],"container-title":"Journal of behavior therapy and experimental psychiatry","id":"ITEM-1","issue":"2","issued":{"date-parts":[["2003","6"]]},"page":"129-40","title":"Treatment of panic disorder via the Internet: a randomized trial of CBT vs. applied relaxation.","type":"article-journal","volume":"34"},"uris":["http://www.mendeley.com/documents/?uuid=43fc4b74-59d1-3db3-ad8c-fb379711744a"]},{"id":"ITEM-2","itemData":{"DOI":"10.1016/j.beth.2007.10.003","ISSN":"00057894","PMID":"19027431","abstract":"Tinnitus distress can be reduced by means of cognitive-behavior therapy (CBT), and the treatment can be delivered in different ways. The most recent format is Internet-based self-help. The aim of this study was to compare this treatment (n= 26) with standard group-based CBT (n=25) in a randomized controlled trial. Outcomes on self-report inventories measuring tinnitus distress were evaluated immediately after and 1 year after treatment. Results showed that both groups had improved, and there were few differences between them. The effect size for the Internet treatment was d=0.73 (95% CI=0.16-1.30) and for the group treatment was d=0.64 (95% CI=0.07-1.21). The Internet treatment consumed less therapist time and was 1.7 times as cost-effective as the group treatment. At pretreatment patients rated the Internet treatment as less credible than the group treatment. In conclusion, Internet treatment for tinnitus distress merits further investigation, as the outcomes achieved are promising.","author":[{"dropping-particle":"","family":"Kaldo","given":"Viktor","non-dropping-particle":"","parse-names":false,"suffix":""},{"dropping-particle":"","family":"Levin","given":"Susanna","non-dropping-particle":"","parse-names":false,"suffix":""},{"dropping-particle":"","family":"Widarsson","given":"Jenny","non-dropping-particle":"","parse-names":false,"suffix":""},{"dropping-particle":"","family":"Buhrman","given":"Monica","non-dropping-particle":"","parse-names":false,"suffix":""},{"dropping-particle":"","family":"Larsen","given":"Hans-Christian","non-dropping-particle":"","parse-names":false,"suffix":""},{"dropping-particle":"","family":"Andersson","given":"Gerhard","non-dropping-particle":"","parse-names":false,"suffix":""}],"container-title":"Behavior Therapy","id":"ITEM-2","issue":"4","issued":{"date-parts":[["2008","12"]]},"page":"348-359","title":"Internet Versus Group Cognitive-Behavioral Treatment of Distress Associated With Tinnitus: A Randomized Controlled Trial","type":"article-journal","volume":"39"},"uris":["http://www.mendeley.com/documents/?uuid=e96f795c-02ce-31f4-8783-01c363d8f61b"]},{"id":"ITEM-3","itemData":{"DOI":"10.1017/S1352465803003047","ISSN":"13524658","abstract":"&lt;div class=\"abstract\" data-abstract-type=\"normal\"&gt;&lt;p&gt;The project aims to investigate the efficacy of a preventive cognitive behavioural intervention delivered via \n    the Internet to individuals at risk of developing anxiety disorders. There is increasing evidence that suggests anxiety \n    sensitivity may act as a premorbid risk factor for the development of anxiety pathology and panic disorder. Eighty-three university students with elevated anxiety sensitivity were randomly allocated to either an intervention group (&lt;span class='italic'&gt;n&lt;/span&gt; = 43), who worked through the Internet based program over a period of 6 weeks, or a waitlist control group (&lt;span class='italic'&gt;n&lt;/span&gt; = 40). Significant treatment effects were found for anxiety related cognitions and symptoms of depression, and a non-significant trend for anxiety sensitivity. These outcomes were related to expectancy but not to program utilization. Implications for the prevention of anxiety via the Internet are discussed.&lt;/p&gt;&lt;/div&gt;","author":[{"dropping-particle":"","family":"Kenardy","given":"Justin","non-dropping-particle":"","parse-names":false,"suffix":""},{"dropping-particle":"","family":"McCafferty","given":"Kelly","non-dropping-particle":"","parse-names":false,"suffix":""},{"dropping-particle":"","family":"Rosa","given":"Viginia","non-dropping-particle":"","parse-names":false,"suffix":""}],"container-title":"Behavioural and Cognitive Psychotherapy","id":"ITEM-3","issue":"3","issued":{"date-parts":[["2003","7"]]},"page":"S1352465803003047","publisher":"Cambridge University Press","title":"Internet-Delivered Indicated Prevention For Anxiety Disorders: A Randomized Controlled Trial","type":"article-journal","volume":"31"},"uris":["http://www.mendeley.com/documents/?uuid=794f5182-600a-385a-82fa-bb1d60f75802"]}],"mendeley":{"formattedCitation":"(Carlbring, Ekselius and Andersson, 2003; Kenardy, McCafferty and Rosa, 2003; Kaldo &lt;i&gt;et al.&lt;/i&gt;, 2008)","plainTextFormattedCitation":"(Carlbring, Ekselius and Andersson, 2003; Kenardy, McCafferty and Rosa, 2003; Kaldo et al., 2008)","previouslyFormattedCitation":"(Carlbring, Ekselius and Andersson, 2003; Kenardy, McCafferty and Rosa, 2003; Kaldo &lt;i&gt;et al.&lt;/i&gt;, 2008)"},"properties":{"noteIndex":0},"schema":"https://github.com/citation-style-language/schema/raw/master/csl-citation.json"}</w:instrText>
      </w:r>
      <w:r>
        <w:fldChar w:fldCharType="separate"/>
      </w:r>
      <w:r w:rsidRPr="000060D9">
        <w:rPr>
          <w:noProof/>
        </w:rPr>
        <w:t xml:space="preserve">(Carlbring, Ekselius </w:t>
      </w:r>
      <w:r w:rsidRPr="009029B3">
        <w:rPr>
          <w:noProof/>
        </w:rPr>
        <w:t>and</w:t>
      </w:r>
      <w:r w:rsidRPr="000060D9">
        <w:rPr>
          <w:noProof/>
        </w:rPr>
        <w:t xml:space="preserve"> Andersson, 2003; Kenardy, McCafferty and Rosa, 2003; Kaldo </w:t>
      </w:r>
      <w:r w:rsidRPr="000060D9">
        <w:rPr>
          <w:i/>
          <w:noProof/>
        </w:rPr>
        <w:t>et al.</w:t>
      </w:r>
      <w:r w:rsidRPr="000060D9">
        <w:rPr>
          <w:noProof/>
        </w:rPr>
        <w:t>, 2008)</w:t>
      </w:r>
      <w:r>
        <w:fldChar w:fldCharType="end"/>
      </w:r>
      <w:r>
        <w:t xml:space="preserve">.  </w:t>
      </w:r>
      <w:r w:rsidRPr="00BC2532">
        <w:rPr>
          <w:noProof/>
        </w:rPr>
        <w:t xml:space="preserve">Ritterband </w:t>
      </w:r>
      <w:r w:rsidRPr="00BC2532">
        <w:rPr>
          <w:i/>
          <w:noProof/>
        </w:rPr>
        <w:t>et al.</w:t>
      </w:r>
      <w:r>
        <w:rPr>
          <w:i/>
          <w:noProof/>
        </w:rPr>
        <w:t xml:space="preserve"> </w:t>
      </w:r>
      <w:r>
        <w:fldChar w:fldCharType="begin" w:fldLock="1"/>
      </w:r>
      <w:r>
        <w:instrText>ADDIN CSL_CITATION {"citationItems":[{"id":"ITEM-1","itemData":{"DOI":"10.1093/med:psych/9780199590117.003.0022","author":[{"dropping-particle":"","family":"Ritterband","given":"Lee","non-dropping-particle":"","parse-names":false,"suffix":""},{"dropping-particle":"","family":"Thorndike","given":"Frances","non-dropping-particle":"","parse-names":false,"suffix":""},{"dropping-particle":"","family":"Vasquez","given":"Desi","non-dropping-particle":"","parse-names":false,"suffix":""},{"dropping-particle":"","family":"Saylor","given":"Drew","non-dropping-particle":"","parse-names":false,"suffix":""}],"id":"ITEM-1","issued":{"date-parts":[["2015","1"]]},"publisher":"Oxford University Press","title":"Treatment credibility and satisfaction with internet interventions","type":"book","volume":"1"},"uris":["http://www.mendeley.com/documents/?uuid=b4ab6d6c-4c00-3390-bb56-d3bd38d00f4d"]}],"mendeley":{"formattedCitation":"(Ritterband &lt;i&gt;et al.&lt;/i&gt;, 2015)","manualFormatting":"(2015)","plainTextFormattedCitation":"(Ritterband et al., 2015)","previouslyFormattedCitation":"(Ritterband &lt;i&gt;et al.&lt;/i&gt;, 2015)"},"properties":{"noteIndex":0},"schema":"https://github.com/citation-style-language/schema/raw/master/csl-citation.json"}</w:instrText>
      </w:r>
      <w:r>
        <w:fldChar w:fldCharType="separate"/>
      </w:r>
      <w:r w:rsidRPr="00BC2532">
        <w:rPr>
          <w:noProof/>
        </w:rPr>
        <w:t>(2015)</w:t>
      </w:r>
      <w:r>
        <w:fldChar w:fldCharType="end"/>
      </w:r>
      <w:r>
        <w:t xml:space="preserve"> </w:t>
      </w:r>
      <w:r w:rsidRPr="000060D9">
        <w:rPr>
          <w:noProof/>
        </w:rPr>
        <w:t>ha</w:t>
      </w:r>
      <w:r>
        <w:rPr>
          <w:noProof/>
        </w:rPr>
        <w:t>ve</w:t>
      </w:r>
      <w:r>
        <w:t xml:space="preserve"> suggested that the look and feel of the e-therapy may play a </w:t>
      </w:r>
      <w:r>
        <w:rPr>
          <w:noProof/>
        </w:rPr>
        <w:t>significant</w:t>
      </w:r>
      <w:r>
        <w:t xml:space="preserve"> role in how patients rate its credibility.  This suggestion fits with the proposed model in </w:t>
      </w:r>
      <w:r>
        <w:fldChar w:fldCharType="begin"/>
      </w:r>
      <w:r>
        <w:instrText xml:space="preserve"> REF _Ref524182692 \h </w:instrText>
      </w:r>
      <w:r>
        <w:fldChar w:fldCharType="separate"/>
      </w:r>
      <w:r w:rsidR="00574650">
        <w:t xml:space="preserve">Figure </w:t>
      </w:r>
      <w:r w:rsidR="00574650">
        <w:rPr>
          <w:noProof/>
        </w:rPr>
        <w:t>6</w:t>
      </w:r>
      <w:r w:rsidR="00574650">
        <w:t>.</w:t>
      </w:r>
      <w:r w:rsidR="00574650">
        <w:rPr>
          <w:noProof/>
        </w:rPr>
        <w:t>2</w:t>
      </w:r>
      <w:r>
        <w:fldChar w:fldCharType="end"/>
      </w:r>
      <w:r w:rsidRPr="00527DF9">
        <w:t xml:space="preserve"> </w:t>
      </w:r>
      <w:r>
        <w:t>where by system usability may influence MYLO’s treatment credibility.</w:t>
      </w:r>
    </w:p>
    <w:p w14:paraId="40CA772A" w14:textId="77777777" w:rsidR="00111E4D" w:rsidRDefault="00111E4D" w:rsidP="00111E4D">
      <w:pPr>
        <w:pStyle w:val="Heading3"/>
      </w:pPr>
      <w:bookmarkStart w:id="430" w:name="_Toc530598201"/>
      <w:bookmarkStart w:id="431" w:name="_Toc530660554"/>
      <w:bookmarkStart w:id="432" w:name="_Toc3538156"/>
      <w:r>
        <w:t>Style and Interactivity</w:t>
      </w:r>
      <w:bookmarkEnd w:id="430"/>
      <w:bookmarkEnd w:id="431"/>
      <w:bookmarkEnd w:id="432"/>
    </w:p>
    <w:p w14:paraId="324A6B56" w14:textId="77948CB2" w:rsidR="00111E4D" w:rsidRPr="00437A0A" w:rsidRDefault="00111E4D" w:rsidP="00111E4D">
      <w:r>
        <w:t>The style (aesthetic) of an app, which falls under the umbrella of ‘programme factors’ in the proposed model (</w:t>
      </w:r>
      <w:r>
        <w:fldChar w:fldCharType="begin"/>
      </w:r>
      <w:r>
        <w:instrText xml:space="preserve"> REF _Ref524182692 \h </w:instrText>
      </w:r>
      <w:r>
        <w:fldChar w:fldCharType="separate"/>
      </w:r>
      <w:r w:rsidR="00574650">
        <w:t xml:space="preserve">Figure </w:t>
      </w:r>
      <w:r w:rsidR="00574650">
        <w:rPr>
          <w:noProof/>
        </w:rPr>
        <w:t>6</w:t>
      </w:r>
      <w:r w:rsidR="00574650">
        <w:t>.</w:t>
      </w:r>
      <w:r w:rsidR="00574650">
        <w:rPr>
          <w:noProof/>
        </w:rPr>
        <w:t>2</w:t>
      </w:r>
      <w:r>
        <w:fldChar w:fldCharType="end"/>
      </w:r>
      <w:r>
        <w:t xml:space="preserve">), encompasses the aesthetic experience which is suggested to be intrinsically </w:t>
      </w:r>
      <w:r w:rsidRPr="00B149EE">
        <w:rPr>
          <w:noProof/>
        </w:rPr>
        <w:t>motivating</w:t>
      </w:r>
      <w:r>
        <w:t xml:space="preserve"> and requiring focused attention, which stimulates curiosity, interest and pleasure </w:t>
      </w:r>
      <w:r>
        <w:fldChar w:fldCharType="begin" w:fldLock="1"/>
      </w:r>
      <w:r>
        <w:instrText>ADDIN CSL_CITATION {"citationItems":[{"id":"ITEM-1","itemData":{"DOI":"10.1145/333334.333358","ISBN":"158113212X","author":[{"dropping-particle":"","family":"Jennings","given":"Morgan","non-dropping-particle":"","parse-names":false,"suffix":""},{"dropping-particle":"","family":"Morgan","given":"","non-dropping-particle":"","parse-names":false,"suffix":""}],"container-title":"Proceedings of the 2000 ACM SIGCPR conference on Computer personnel research  - SIGCPR '00","id":"ITEM-1","issued":{"date-parts":[["2000"]]},"page":"77-85","publisher":"ACM Press","publisher-place":"New York, New York, USA","title":"Theory and models for creating engaging and immersive ecommerce Websites","type":"paper-conference"},"uris":["http://www.mendeley.com/documents/?uuid=8f41ff4b-2454-315c-b5c5-c073507423ec"]}],"mendeley":{"formattedCitation":"(Jennings and Morgan, 2000)","manualFormatting":"(Jennings and Morgan, 2000)","plainTextFormattedCitation":"(Jennings and Morgan, 2000)","previouslyFormattedCitation":"(Jennings and Morgan, 2000)"},"properties":{"noteIndex":0},"schema":"https://github.com/citation-style-language/schema/raw/master/csl-citation.json"}</w:instrText>
      </w:r>
      <w:r>
        <w:fldChar w:fldCharType="separate"/>
      </w:r>
      <w:r w:rsidRPr="0089081B">
        <w:rPr>
          <w:noProof/>
        </w:rPr>
        <w:t>(Jennings and Morgan</w:t>
      </w:r>
      <w:r>
        <w:rPr>
          <w:noProof/>
        </w:rPr>
        <w:t xml:space="preserve">, </w:t>
      </w:r>
      <w:r w:rsidRPr="0089081B">
        <w:rPr>
          <w:noProof/>
        </w:rPr>
        <w:t>2000)</w:t>
      </w:r>
      <w:r>
        <w:fldChar w:fldCharType="end"/>
      </w:r>
      <w:r>
        <w:t>.  The i</w:t>
      </w:r>
      <w:r w:rsidRPr="0052020B">
        <w:t>nteractivity</w:t>
      </w:r>
      <w:r>
        <w:t xml:space="preserve"> of an app enables a user to feel more involved in the process of what they are undertaking.  The style (aesthetic) and interactivity of apps have both been associated with user engagement </w:t>
      </w:r>
      <w:r>
        <w:fldChar w:fldCharType="begin" w:fldLock="1"/>
      </w:r>
      <w:r>
        <w:instrText>ADDIN CSL_CITATION {"citationItems":[{"id":"ITEM-1","itemData":{"abstract":"Two studies examined user engagement in two types of multimedia training systems-a more passive medium, videotape, and a less passive medium, interactive software. Each study compared engagement in three formats: the Text format contained text and still images, the Audio format contained audio and still images, and the Video format contained audio and video images. In both studies, engagement was lower in the Text condition than in the Video condition. However, there were no differences in engagement between Text and Audio in the videotape-based training, and no differences between Audio and Video in the computer-based training.","author":[{"dropping-particle":"","family":"Chapman","given":"Peter","non-dropping-particle":"","parse-names":false,"suffix":""},{"dropping-particle":"","family":"Selvarajah","given":"Sanjeebhan","non-dropping-particle":"","parse-names":false,"suffix":""},{"dropping-particle":"","family":"Webster","given":"Jane","non-dropping-particle":"","parse-names":false,"suffix":""}],"id":"ITEM-1","issued":{"date-parts":[["1999"]]},"title":"Engagement in Multimedia Training Systems","type":"report"},"uris":["http://www.mendeley.com/documents/?uuid=4604d431-028a-3f8e-b533-7bd897a7c768"]}],"mendeley":{"formattedCitation":"(Chapman, Selvarajah and Webster, 1999)","plainTextFormattedCitation":"(Chapman, Selvarajah and Webster, 1999)","previouslyFormattedCitation":"(Chapman, Selvarajah and Webster, 1999)"},"properties":{"noteIndex":0},"schema":"https://github.com/citation-style-language/schema/raw/master/csl-citation.json"}</w:instrText>
      </w:r>
      <w:r>
        <w:fldChar w:fldCharType="separate"/>
      </w:r>
      <w:r w:rsidRPr="002C1B13">
        <w:rPr>
          <w:noProof/>
        </w:rPr>
        <w:t>(Chapman, Selvarajah and Webster, 1999)</w:t>
      </w:r>
      <w:r>
        <w:fldChar w:fldCharType="end"/>
      </w:r>
      <w:r>
        <w:t xml:space="preserve">.  </w:t>
      </w:r>
      <w:r w:rsidRPr="00AE5DFC">
        <w:rPr>
          <w:noProof/>
        </w:rPr>
        <w:t>O’Brien and</w:t>
      </w:r>
      <w:r w:rsidRPr="00E62669">
        <w:rPr>
          <w:noProof/>
        </w:rPr>
        <w:t xml:space="preserve"> Toms</w:t>
      </w:r>
      <w:r w:rsidRPr="00E62669">
        <w:t xml:space="preserve"> </w:t>
      </w:r>
      <w:r w:rsidRPr="00E62669">
        <w:fldChar w:fldCharType="begin" w:fldLock="1"/>
      </w:r>
      <w:r w:rsidRPr="00E62669">
        <w:instrText>ADDIN CSL_CITATION {"citationItems":[{"id":"ITEM-1","itemData":{"DOI":"10.1002/asi.21229","ISSN":"15322882","author":[{"dropping-particle":"","family":"O'Brien","given":"Heather L.","non-dropping-particle":"","parse-names":false,"suffix":""},{"dropping-particle":"","family":"Toms","given":"Elaine G.","non-dropping-particle":"","parse-names":false,"suffix":""}],"container-title":"Journal of the American Society for Information Science and Technology","id":"ITEM-1","issue":"1","issued":{"date-parts":[["2010","1","1"]]},"page":"50-69","publisher":"Wiley-Blackwell","title":"The development and evaluation of a survey to measure user engagement","type":"article-journal","volume":"61"},"uris":["http://www.mendeley.com/documents/?uuid=6698e6f2-6359-3096-aeae-625e0daaaf08"]}],"mendeley":{"formattedCitation":"(O’Brien and Toms, 2010)","manualFormatting":"(2010)","plainTextFormattedCitation":"(O’Brien and Toms, 2010)","previouslyFormattedCitation":"(O’Brien and Toms, 2010)"},"properties":{"noteIndex":0},"schema":"https://github.com/citation-style-language/schema/raw/master/csl-citation.json"}</w:instrText>
      </w:r>
      <w:r w:rsidRPr="00E62669">
        <w:fldChar w:fldCharType="separate"/>
      </w:r>
      <w:r w:rsidRPr="00E62669">
        <w:rPr>
          <w:noProof/>
        </w:rPr>
        <w:t>(2010)</w:t>
      </w:r>
      <w:r w:rsidRPr="00E62669">
        <w:fldChar w:fldCharType="end"/>
      </w:r>
      <w:bookmarkStart w:id="433" w:name="bbib32"/>
      <w:r w:rsidRPr="00E62669">
        <w:t xml:space="preserve"> </w:t>
      </w:r>
      <w:r w:rsidRPr="00E62669">
        <w:rPr>
          <w:rFonts w:cs="Arial"/>
        </w:rPr>
        <w:t>propose</w:t>
      </w:r>
      <w:r>
        <w:rPr>
          <w:rFonts w:cs="Arial"/>
        </w:rPr>
        <w:t>s</w:t>
      </w:r>
      <w:r w:rsidRPr="00E62669">
        <w:rPr>
          <w:rFonts w:cs="Arial"/>
        </w:rPr>
        <w:t xml:space="preserve"> six dimensions of </w:t>
      </w:r>
      <w:r>
        <w:rPr>
          <w:rFonts w:cs="Arial"/>
        </w:rPr>
        <w:t xml:space="preserve">the </w:t>
      </w:r>
      <w:r w:rsidRPr="00E62669">
        <w:rPr>
          <w:rFonts w:cs="Arial"/>
        </w:rPr>
        <w:t>user engageme</w:t>
      </w:r>
      <w:r>
        <w:rPr>
          <w:rFonts w:cs="Arial"/>
        </w:rPr>
        <w:t xml:space="preserve">nt: Aesthetics, </w:t>
      </w:r>
      <w:proofErr w:type="spellStart"/>
      <w:r w:rsidRPr="00E62669">
        <w:rPr>
          <w:rFonts w:cs="Arial"/>
        </w:rPr>
        <w:t>Endurability</w:t>
      </w:r>
      <w:proofErr w:type="spellEnd"/>
      <w:r w:rsidRPr="00E62669">
        <w:rPr>
          <w:rFonts w:cs="Arial"/>
        </w:rPr>
        <w:t xml:space="preserve">, </w:t>
      </w:r>
      <w:r>
        <w:rPr>
          <w:rFonts w:cs="Arial"/>
        </w:rPr>
        <w:t>F</w:t>
      </w:r>
      <w:r w:rsidRPr="00E62669">
        <w:rPr>
          <w:rFonts w:cs="Arial"/>
        </w:rPr>
        <w:t>elt Involvement</w:t>
      </w:r>
      <w:r>
        <w:rPr>
          <w:rFonts w:cs="Arial"/>
        </w:rPr>
        <w:t xml:space="preserve">, </w:t>
      </w:r>
      <w:r w:rsidRPr="00E62669">
        <w:rPr>
          <w:rFonts w:cs="Arial"/>
        </w:rPr>
        <w:t xml:space="preserve">Focussed Attention, </w:t>
      </w:r>
      <w:r>
        <w:rPr>
          <w:rFonts w:cs="Arial"/>
        </w:rPr>
        <w:t>N</w:t>
      </w:r>
      <w:r w:rsidRPr="00E62669">
        <w:rPr>
          <w:rFonts w:cs="Arial"/>
        </w:rPr>
        <w:t>ovelty</w:t>
      </w:r>
      <w:r>
        <w:rPr>
          <w:rFonts w:cs="Arial"/>
        </w:rPr>
        <w:t xml:space="preserve"> and</w:t>
      </w:r>
      <w:r w:rsidRPr="00E62669">
        <w:rPr>
          <w:rFonts w:cs="Arial"/>
        </w:rPr>
        <w:t xml:space="preserve"> Perceived Usability</w:t>
      </w:r>
      <w:r w:rsidR="00554CB4">
        <w:rPr>
          <w:rFonts w:cs="Arial"/>
        </w:rPr>
        <w:t xml:space="preserve">.  </w:t>
      </w:r>
      <w:r>
        <w:rPr>
          <w:rFonts w:cs="Arial"/>
        </w:rPr>
        <w:t>In the proposed model (</w:t>
      </w:r>
      <w:r>
        <w:rPr>
          <w:rFonts w:cs="Arial"/>
        </w:rPr>
        <w:fldChar w:fldCharType="begin"/>
      </w:r>
      <w:r>
        <w:rPr>
          <w:rFonts w:cs="Arial"/>
        </w:rPr>
        <w:instrText xml:space="preserve"> REF _Ref524182692 \h </w:instrText>
      </w:r>
      <w:r>
        <w:rPr>
          <w:rFonts w:cs="Arial"/>
        </w:rPr>
      </w:r>
      <w:r>
        <w:rPr>
          <w:rFonts w:cs="Arial"/>
        </w:rPr>
        <w:fldChar w:fldCharType="separate"/>
      </w:r>
      <w:r w:rsidR="00574650">
        <w:t xml:space="preserve">Figure </w:t>
      </w:r>
      <w:r w:rsidR="00574650">
        <w:rPr>
          <w:noProof/>
        </w:rPr>
        <w:t>6</w:t>
      </w:r>
      <w:r w:rsidR="00574650">
        <w:t>.</w:t>
      </w:r>
      <w:r w:rsidR="00574650">
        <w:rPr>
          <w:noProof/>
        </w:rPr>
        <w:t>2</w:t>
      </w:r>
      <w:r>
        <w:rPr>
          <w:rFonts w:cs="Arial"/>
        </w:rPr>
        <w:fldChar w:fldCharType="end"/>
      </w:r>
      <w:r>
        <w:rPr>
          <w:rFonts w:cs="Arial"/>
        </w:rPr>
        <w:t xml:space="preserve">), style and interactivity are fundamental to usability. </w:t>
      </w:r>
    </w:p>
    <w:p w14:paraId="6C049D5A" w14:textId="75E6AF0E" w:rsidR="00111E4D" w:rsidRDefault="00111E4D" w:rsidP="00111E4D">
      <w:pPr>
        <w:pStyle w:val="Heading3"/>
      </w:pPr>
      <w:bookmarkStart w:id="434" w:name="_Toc530598202"/>
      <w:bookmarkStart w:id="435" w:name="_Toc530660555"/>
      <w:bookmarkStart w:id="436" w:name="_Toc3538157"/>
      <w:bookmarkEnd w:id="433"/>
      <w:r>
        <w:t>The Therapeutic Relationship</w:t>
      </w:r>
      <w:bookmarkEnd w:id="434"/>
      <w:bookmarkEnd w:id="435"/>
      <w:bookmarkEnd w:id="436"/>
    </w:p>
    <w:p w14:paraId="0815811B" w14:textId="77777777" w:rsidR="00111E4D" w:rsidRDefault="00111E4D" w:rsidP="00111E4D">
      <w:r>
        <w:rPr>
          <w:noProof/>
        </w:rPr>
        <w:t xml:space="preserve">In face-to-face </w:t>
      </w:r>
      <w:r w:rsidRPr="009029B3">
        <w:rPr>
          <w:noProof/>
        </w:rPr>
        <w:t>therapy</w:t>
      </w:r>
      <w:r>
        <w:rPr>
          <w:noProof/>
        </w:rPr>
        <w:t xml:space="preserve">, the therapeutic </w:t>
      </w:r>
      <w:r w:rsidRPr="009029B3">
        <w:rPr>
          <w:noProof/>
        </w:rPr>
        <w:t>relationship</w:t>
      </w:r>
      <w:r>
        <w:rPr>
          <w:noProof/>
        </w:rPr>
        <w:t xml:space="preserve"> or working alliance is </w:t>
      </w:r>
      <w:r w:rsidRPr="009029B3">
        <w:rPr>
          <w:noProof/>
        </w:rPr>
        <w:t>conceptualised</w:t>
      </w:r>
      <w:r>
        <w:rPr>
          <w:noProof/>
        </w:rPr>
        <w:t xml:space="preserve"> by </w:t>
      </w:r>
      <w:r w:rsidRPr="00AA4D14">
        <w:rPr>
          <w:noProof/>
        </w:rPr>
        <w:t>Bordin</w:t>
      </w:r>
      <w:r>
        <w:t xml:space="preserve"> </w:t>
      </w:r>
      <w:r>
        <w:fldChar w:fldCharType="begin" w:fldLock="1"/>
      </w:r>
      <w:r>
        <w:instrText>ADDIN CSL_CITATION {"citationItems":[{"id":"ITEM-1","itemData":{"DOI":"10.1037/h0085885","ISBN":"0033-3204","ISSN":"0033-3204","abstract":"Reviews and elaborates the psychoanalytic concept of the working alliance. It is argued that various modes of psychotherapy can be meaningfully differentiated in terms of the kinds of working alliances (WA) embedded in them. Moreover, the strength, rather than the kind of WA, will prove to be the major factor in change achieved through psychotherapy. Strength of alliance will be a function of the goodness of fit of the respective personalities of patient and therapist to the demands of the WA. The WA includes 3 features: agreement on goals, assignment of tasks, and the development of bonds. (36 ref) (PsycINFO Database Record (c) 2012 APA, all rights reserved).","author":[{"dropping-particle":"","family":"Bordin","given":"Edward S","non-dropping-particle":"","parse-names":false,"suffix":""}],"container-title":"Psychotherapy: Theory, Research &amp; Practice","id":"ITEM-1","issue":"3","issued":{"date-parts":[["1979"]]},"page":"252-260","title":"The generalizability of the psychoanalytic concept of the working alliance.","type":"article-journal","volume":"16"},"uris":["http://www.mendeley.com/documents/?uuid=70fc5697-f4e5-3859-b4bb-2e23ff216a50"]}],"mendeley":{"formattedCitation":"(Bordin, 1979)","manualFormatting":"(1979)","plainTextFormattedCitation":"(Bordin, 1979)","previouslyFormattedCitation":"(Bordin, 1979)"},"properties":{"noteIndex":0},"schema":"https://github.com/citation-style-language/schema/raw/master/csl-citation.json"}</w:instrText>
      </w:r>
      <w:r>
        <w:fldChar w:fldCharType="separate"/>
      </w:r>
      <w:r w:rsidRPr="00AA4D14">
        <w:rPr>
          <w:noProof/>
        </w:rPr>
        <w:t>(1979)</w:t>
      </w:r>
      <w:r>
        <w:fldChar w:fldCharType="end"/>
      </w:r>
      <w:r>
        <w:t xml:space="preserve"> as being comprised of three aspects:  the emotional bond between patient and therapist, the agreement between patient and therapist on the tasks of therapy, and the agreement between patient and therapist on the goals of </w:t>
      </w:r>
      <w:r w:rsidRPr="009029B3">
        <w:rPr>
          <w:noProof/>
        </w:rPr>
        <w:t>t</w:t>
      </w:r>
      <w:r>
        <w:rPr>
          <w:noProof/>
        </w:rPr>
        <w:t>reatment</w:t>
      </w:r>
      <w:r>
        <w:t xml:space="preserve">.  The Working Alliance Inventory (WAI, Horvath and Greenberg, 1989) is a measure based on </w:t>
      </w:r>
      <w:proofErr w:type="spellStart"/>
      <w:r>
        <w:t>Bordin's</w:t>
      </w:r>
      <w:proofErr w:type="spellEnd"/>
      <w:r>
        <w:t xml:space="preserve"> work and </w:t>
      </w:r>
      <w:r w:rsidRPr="008F70E4">
        <w:rPr>
          <w:noProof/>
        </w:rPr>
        <w:t>widely used</w:t>
      </w:r>
      <w:r>
        <w:t xml:space="preserve"> in psychotherapy research.  The scale </w:t>
      </w:r>
      <w:r w:rsidRPr="00185BA0">
        <w:rPr>
          <w:shd w:val="clear" w:color="auto" w:fill="FFFFFF"/>
        </w:rPr>
        <w:t xml:space="preserve">captures </w:t>
      </w:r>
      <w:r>
        <w:rPr>
          <w:shd w:val="clear" w:color="auto" w:fill="FFFFFF"/>
        </w:rPr>
        <w:t xml:space="preserve">the </w:t>
      </w:r>
      <w:r w:rsidRPr="00185BA0">
        <w:rPr>
          <w:shd w:val="clear" w:color="auto" w:fill="FFFFFF"/>
        </w:rPr>
        <w:t xml:space="preserve">three key alliance aspects: </w:t>
      </w:r>
      <w:r>
        <w:rPr>
          <w:shd w:val="clear" w:color="auto" w:fill="FFFFFF"/>
        </w:rPr>
        <w:t>‘</w:t>
      </w:r>
      <w:r>
        <w:rPr>
          <w:noProof/>
          <w:shd w:val="clear" w:color="auto" w:fill="FFFFFF"/>
        </w:rPr>
        <w:t>Task’</w:t>
      </w:r>
      <w:r w:rsidRPr="00B43451">
        <w:rPr>
          <w:noProof/>
          <w:shd w:val="clear" w:color="auto" w:fill="FFFFFF"/>
        </w:rPr>
        <w:t xml:space="preserve"> </w:t>
      </w:r>
      <w:r>
        <w:rPr>
          <w:noProof/>
          <w:shd w:val="clear" w:color="auto" w:fill="FFFFFF"/>
        </w:rPr>
        <w:t xml:space="preserve">- </w:t>
      </w:r>
      <w:r w:rsidRPr="00B43451">
        <w:rPr>
          <w:noProof/>
          <w:shd w:val="clear" w:color="auto" w:fill="FFFFFF"/>
        </w:rPr>
        <w:t xml:space="preserve">agreement on the tasks of therapy, </w:t>
      </w:r>
      <w:r>
        <w:rPr>
          <w:noProof/>
          <w:shd w:val="clear" w:color="auto" w:fill="FFFFFF"/>
        </w:rPr>
        <w:t>‘Goal’ -</w:t>
      </w:r>
      <w:r w:rsidRPr="00B43451">
        <w:rPr>
          <w:noProof/>
          <w:shd w:val="clear" w:color="auto" w:fill="FFFFFF"/>
        </w:rPr>
        <w:t xml:space="preserve"> agreement on the goals of therapy</w:t>
      </w:r>
      <w:r>
        <w:rPr>
          <w:noProof/>
          <w:shd w:val="clear" w:color="auto" w:fill="FFFFFF"/>
        </w:rPr>
        <w:t xml:space="preserve"> </w:t>
      </w:r>
      <w:r w:rsidRPr="00B43451">
        <w:rPr>
          <w:noProof/>
          <w:shd w:val="clear" w:color="auto" w:fill="FFFFFF"/>
        </w:rPr>
        <w:t xml:space="preserve">and </w:t>
      </w:r>
      <w:r>
        <w:rPr>
          <w:noProof/>
          <w:shd w:val="clear" w:color="auto" w:fill="FFFFFF"/>
        </w:rPr>
        <w:t>‘Bond’</w:t>
      </w:r>
      <w:r w:rsidRPr="00B43451">
        <w:rPr>
          <w:noProof/>
          <w:shd w:val="clear" w:color="auto" w:fill="FFFFFF"/>
        </w:rPr>
        <w:t xml:space="preserve"> </w:t>
      </w:r>
      <w:r>
        <w:rPr>
          <w:noProof/>
          <w:shd w:val="clear" w:color="auto" w:fill="FFFFFF"/>
        </w:rPr>
        <w:t xml:space="preserve">– the </w:t>
      </w:r>
      <w:r w:rsidRPr="00B43451">
        <w:rPr>
          <w:noProof/>
          <w:shd w:val="clear" w:color="auto" w:fill="FFFFFF"/>
        </w:rPr>
        <w:t>development of an affective bond.</w:t>
      </w:r>
      <w:r>
        <w:t xml:space="preserve">  </w:t>
      </w:r>
    </w:p>
    <w:p w14:paraId="3C06A294" w14:textId="77777777" w:rsidR="00111E4D" w:rsidRDefault="00111E4D" w:rsidP="00111E4D">
      <w:r>
        <w:rPr>
          <w:noProof/>
        </w:rPr>
        <w:t xml:space="preserve">Both </w:t>
      </w:r>
      <w:r w:rsidRPr="00376261">
        <w:rPr>
          <w:noProof/>
        </w:rPr>
        <w:t>Richardson and Richards</w:t>
      </w:r>
      <w:r>
        <w:t xml:space="preserve"> </w:t>
      </w:r>
      <w:r>
        <w:fldChar w:fldCharType="begin" w:fldLock="1"/>
      </w:r>
      <w:r>
        <w:instrText>ADDIN CSL_CITATION {"citationItems":[{"id":"ITEM-1","itemData":{"DOI":"10.1017/S1352465805002481","ISBN":"1352465809","ISSN":"13524658","PMID":"19995466","abstract":"In the UK, recent guidelines on the treatment of depression and anxiety recommend CBT-based self-help materials as one important component of services. However, despite being based on specific CBT techniques or “empirically grounded interventions”, early optimism has been dented by data from recent studies that have cast doubt on the effectiveness of the current generation of these materials. As a consequence, it may be necessary to consider that other factors may contribute to the overall magnitude of CBT effects. Indeed, it is logically inconsistent to argue that specific factors are pre-eminent in CBT whilst maintaining that delivery via therapists is more likely to be effective than self-help. The contribution of “common factors” that operate in personal therapeutic encounters, for example, therapist responsiveness and the patient-therapist alliance, may be one possible overlooked reason for the reduced ef-fectiveness of self-help materials. The development of the next generation of self-help materials, therefore, may benefit from the testing of materials that combine common and specific factors, including specific measurement of the strength of common factors and their relationship to clinical outcomes. We discuss a model of such common factors and suggest how they could be incorporated into the next generation of CBT based self-help materials.","author":[{"dropping-particle":"","family":"Richardson","given":"Rachel","non-dropping-particle":"","parse-names":false,"suffix":""},{"dropping-particle":"","family":"Richards","given":"David A.","non-dropping-particle":"","parse-names":false,"suffix":""}],"container-title":"Behavioural and Cognitive Psychotherapy","id":"ITEM-1","issue":"1","issued":{"date-parts":[["2006","11","22"]]},"page":"13-23","publisher":"Cambridge University Press","title":"Self-help: Towards the next generation","type":"article-journal","volume":"34"},"uris":["http://www.mendeley.com/documents/?uuid=40193f61-23b0-3f9e-ac5c-6908ecf6d5a5"]}],"mendeley":{"formattedCitation":"(Richardson and Richards, 2006)","manualFormatting":"(2006)","plainTextFormattedCitation":"(Richardson and Richards, 2006)","previouslyFormattedCitation":"(Richardson and Richards, 2006)"},"properties":{"noteIndex":0},"schema":"https://github.com/citation-style-language/schema/raw/master/csl-citation.json"}</w:instrText>
      </w:r>
      <w:r>
        <w:fldChar w:fldCharType="separate"/>
      </w:r>
      <w:r w:rsidRPr="00376261">
        <w:rPr>
          <w:noProof/>
        </w:rPr>
        <w:t>(2006)</w:t>
      </w:r>
      <w:r>
        <w:fldChar w:fldCharType="end"/>
      </w:r>
      <w:r>
        <w:t xml:space="preserve"> and </w:t>
      </w:r>
      <w:r w:rsidRPr="00CB79AD">
        <w:rPr>
          <w:noProof/>
        </w:rPr>
        <w:t>Peck</w:t>
      </w:r>
      <w:r>
        <w:t xml:space="preserve"> </w:t>
      </w:r>
      <w:r>
        <w:fldChar w:fldCharType="begin" w:fldLock="1"/>
      </w:r>
      <w:r>
        <w:instrText>ADDIN CSL_CITATION {"citationItems":[{"id":"ITEM-1","itemData":{"DOI":"10.1002/cpp.669","ISBN":"1063-3995","ISSN":"10633995","PMID":"19946947","abstract":"There is strong evidence that a good relationship between therapist and client is associated with positive outcomes after all types of psychological therapy. There is also strong evidence that computer-guided cognitive behaviour therapy (CCBT), in which there may be little or no face-to-face contact, is associated with outcomes that are as good as outcomes after conventional therapy. These two sets of findings can be reconciled by reference to the common factors debate, in that common factors may be as important in CCBT as in conventional therapy; and by reconstruing the therapist-client relationship as a channel through which common and specific factors are brought into play. [References: 45]","author":[{"dropping-particle":"","family":"Peck","given":"David F.","non-dropping-particle":"","parse-names":false,"suffix":""}],"container-title":"Clinical Psychology and Psychotherapy","id":"ITEM-1","issue":"2","issued":{"date-parts":[["2010"]]},"page":"147-153","title":"The therapist-client relationship, computerized self-help and active therapy ingredients","type":"article-journal","volume":"17"},"uris":["http://www.mendeley.com/documents/?uuid=87ebf470-d6d2-3b7f-be48-30350a8c4031"]}],"mendeley":{"formattedCitation":"(Peck, 2010)","manualFormatting":"(2010)","plainTextFormattedCitation":"(Peck, 2010)","previouslyFormattedCitation":"(Peck, 2010)"},"properties":{"noteIndex":0},"schema":"https://github.com/citation-style-language/schema/raw/master/csl-citation.json"}</w:instrText>
      </w:r>
      <w:r>
        <w:fldChar w:fldCharType="separate"/>
      </w:r>
      <w:r w:rsidRPr="00CB79AD">
        <w:rPr>
          <w:noProof/>
        </w:rPr>
        <w:t>(2010)</w:t>
      </w:r>
      <w:r>
        <w:fldChar w:fldCharType="end"/>
      </w:r>
      <w:r>
        <w:t xml:space="preserve"> have highlighted the importance of developing e-therapies that integrate ‘common factors’</w:t>
      </w:r>
      <w:r w:rsidRPr="00376261">
        <w:t xml:space="preserve"> </w:t>
      </w:r>
      <w:r>
        <w:t xml:space="preserve">and features of the therapeutic relationship.  It has been </w:t>
      </w:r>
      <w:r>
        <w:rPr>
          <w:noProof/>
        </w:rPr>
        <w:t>stress</w:t>
      </w:r>
      <w:r w:rsidRPr="009029B3">
        <w:rPr>
          <w:noProof/>
        </w:rPr>
        <w:t>ed</w:t>
      </w:r>
      <w:r>
        <w:t xml:space="preserve"> </w:t>
      </w:r>
      <w:r>
        <w:lastRenderedPageBreak/>
        <w:t xml:space="preserve">that e-therapies may fail to incorporate these factors, particularly those that are core to the therapeutic relationship </w:t>
      </w:r>
      <w:r>
        <w:fldChar w:fldCharType="begin" w:fldLock="1"/>
      </w:r>
      <w:r>
        <w:instrText>ADDIN CSL_CITATION {"citationItems":[{"id":"ITEM-1","itemData":{"DOI":"10.1375/bech.26.4.245","ISBN":"0813-4839","ISSN":"08134839","PMID":"936332106034302","abstract":"&lt;p&gt;Reviews have demonstrated large effect sizes when using computerised cognitive behaviour therapy (CBT) protocols for treating anxiety, depression and health related concerns. However, the amount of therapist contact per user seems to be the most significant prognostic indicator. Thus, in some ways current online interventions can be viewed primarily as an extension of one-on-one therapy. The present article provides guidelines for targeting this limitation of online psychological interventions. The goal is to mimic the therapeutic relationship using a computer, without having any therapist involved. Consequently, thousands of users would be able to receive treatment simultaneously, reaching a wider audience, which was the initial goal of the online model. The development of a treatment program using file audit data is suggested as an alternative to having an individual therapist for each user. This is done by allowing the ‘computer psychologist’ to tailor individualised treatments for each user based on their psychological profile. The user is provided with individualised corrective feedback based on a set of prewritten responses to common faulty thoughts. A new paradigm is proposed for online treatment delivery.&lt;/p&gt;","author":[{"dropping-particle":"","family":"Helgadóttir","given":"Fjóla Dögg","non-dropping-particle":"","parse-names":false,"suffix":""},{"dropping-particle":"","family":"Menzies","given":"Ross G.","non-dropping-particle":"","parse-names":false,"suffix":""},{"dropping-particle":"","family":"Onslow","given":"Mark","non-dropping-particle":"","parse-names":false,"suffix":""},{"dropping-particle":"","family":"Packman","given":"Ann","non-dropping-particle":"","parse-names":false,"suffix":""},{"dropping-particle":"","family":"O'Brian","given":"Sue","non-dropping-particle":"","parse-names":false,"suffix":""}],"container-title":"Behaviour Change","id":"ITEM-1","issue":"4","issued":{"date-parts":[["2009"]]},"page":"245-253","title":"Online CBT I: Bridging the gap between Eliza and modern online CBT treatment packages","type":"article-journal","volume":"26"},"uris":["http://www.mendeley.com/documents/?uuid=04bb4b31-a945-4458-92ce-b0bc625b3032"]}],"mendeley":{"formattedCitation":"(Helgadóttir &lt;i&gt;et al.&lt;/i&gt;, 2009)","plainTextFormattedCitation":"(Helgadóttir et al., 2009)","previouslyFormattedCitation":"(Helgadóttir &lt;i&gt;et al.&lt;/i&gt;, 2009)"},"properties":{"noteIndex":0},"schema":"https://github.com/citation-style-language/schema/raw/master/csl-citation.json"}</w:instrText>
      </w:r>
      <w:r>
        <w:fldChar w:fldCharType="separate"/>
      </w:r>
      <w:r w:rsidRPr="0072235F">
        <w:rPr>
          <w:noProof/>
        </w:rPr>
        <w:t xml:space="preserve">(Helgadóttir </w:t>
      </w:r>
      <w:r w:rsidRPr="0072235F">
        <w:rPr>
          <w:i/>
          <w:noProof/>
        </w:rPr>
        <w:t>et al.</w:t>
      </w:r>
      <w:r w:rsidRPr="0072235F">
        <w:rPr>
          <w:noProof/>
        </w:rPr>
        <w:t>, 2009)</w:t>
      </w:r>
      <w:r>
        <w:fldChar w:fldCharType="end"/>
      </w:r>
      <w:r>
        <w:t>.</w:t>
      </w:r>
    </w:p>
    <w:p w14:paraId="6597E353" w14:textId="7BE5E1FF" w:rsidR="00111E4D" w:rsidRDefault="00111E4D" w:rsidP="00111E4D">
      <w:r>
        <w:t xml:space="preserve">The therapeutic relationship in e-therapy </w:t>
      </w:r>
      <w:r w:rsidRPr="008F70E4">
        <w:rPr>
          <w:noProof/>
        </w:rPr>
        <w:t xml:space="preserve">is </w:t>
      </w:r>
      <w:r>
        <w:t xml:space="preserve">the relationship between the service user and the therapist and their individual </w:t>
      </w:r>
      <w:r w:rsidRPr="00AC3A07">
        <w:rPr>
          <w:noProof/>
        </w:rPr>
        <w:t>and shared expectations and beliefs about each other, and the</w:t>
      </w:r>
      <w:r>
        <w:t xml:space="preserve"> programme.  </w:t>
      </w:r>
      <w:r w:rsidRPr="009029B3">
        <w:rPr>
          <w:noProof/>
        </w:rPr>
        <w:t xml:space="preserve">There is a need to </w:t>
      </w:r>
      <w:r>
        <w:rPr>
          <w:noProof/>
        </w:rPr>
        <w:t>understand further</w:t>
      </w:r>
      <w:r w:rsidRPr="009029B3">
        <w:rPr>
          <w:noProof/>
        </w:rPr>
        <w:t xml:space="preserve"> the</w:t>
      </w:r>
      <w:r>
        <w:t xml:space="preserve"> nature of this relationship and how it may go beyond the traditional dyad (therapist-client) and triad (user-program-supporter) models</w:t>
      </w:r>
      <w:r w:rsidRPr="0044773A">
        <w:rPr>
          <w:noProof/>
        </w:rPr>
        <w:t xml:space="preserve"> </w:t>
      </w:r>
      <w:r>
        <w:fldChar w:fldCharType="begin" w:fldLock="1"/>
      </w:r>
      <w:r>
        <w:instrText>ADDIN CSL_CITATION {"citationItems":[{"id":"ITEM-1","itemData":{"DOI":"10.1007/s10879-013-9242-z","ISSN":"0022-0116","abstract":"E-mental health technologies are rapidly expanding the reach of psychological interventions around the globe. There is a growing evidence base supporting the potential benefits of these new technologies for psychological and behavioural health. Most of this evidence to date has focused on evaluating the feasibility and outcomes from such interventions, whilst limited research has begun to explore the change processes associated with their impact. In traditional psychological therapies the quality of common factors, including the therapeutic relationship, are widely held to be important for engagement and outcomes. E-mental health interventions present a challenge to the importance of these factors, as therapeutic interactions are typically remote, limited, or even absent in the case of fully automated e-mental health programmes. This paper explores the role of the therapeutic relationship in e-mental health. Where measured, it appears that the relationship is fairly robust to distance and limited contact, but may be less intimately associated with therapy outcomes than in traditional therapies. Where the intervention comprises little or no therapeutic contact, we explore how some of the variance in engagement and outcomes may still be accounted for by common and relational factors offered through a supportive frame or embedded within the technologies themselves. Implications for theory, research and practice are presented. 2013 Springer Science+Business Media New York.","author":[{"dropping-particle":"","family":"Cavanagh","given":"Kate","non-dropping-particle":"","parse-names":false,"suffix":""},{"dropping-particle":"","family":"Millings","given":"Abigail","non-dropping-particle":"","parse-names":false,"suffix":""}],"container-title":"Journal of Contemporary Psychotherapy","id":"ITEM-1","issue":"4","issued":{"date-parts":[["2013","7","17"]]},"page":"197-206","title":"(Inter)personal computing: The role of the therapeutic relationship in E-mental health","type":"article-journal","volume":"43"},"uris":["http://www.mendeley.com/documents/?uuid=93dad80f-9634-42ce-9b29-d91165968d54"]}],"mendeley":{"formattedCitation":"(Kate Cavanagh and Millings, 2013)","manualFormatting":"(Cavanagh and Millings, 2013)","plainTextFormattedCitation":"(Kate Cavanagh and Millings, 2013)","previouslyFormattedCitation":"(Kate Cavanagh and Millings, 2013)"},"properties":{"noteIndex":0},"schema":"https://github.com/citation-style-language/schema/raw/master/csl-citation.json"}</w:instrText>
      </w:r>
      <w:r>
        <w:fldChar w:fldCharType="separate"/>
      </w:r>
      <w:r w:rsidRPr="007A1E55">
        <w:rPr>
          <w:noProof/>
        </w:rPr>
        <w:t>(Cavanagh and Millings</w:t>
      </w:r>
      <w:r>
        <w:rPr>
          <w:noProof/>
        </w:rPr>
        <w:t xml:space="preserve">, </w:t>
      </w:r>
      <w:r w:rsidRPr="007A1E55">
        <w:rPr>
          <w:noProof/>
        </w:rPr>
        <w:t>2013)</w:t>
      </w:r>
      <w:r>
        <w:fldChar w:fldCharType="end"/>
      </w:r>
      <w:r>
        <w:t>.</w:t>
      </w:r>
      <w:r w:rsidR="0040057D">
        <w:t xml:space="preserve">  </w:t>
      </w:r>
      <w:r w:rsidR="0040057D" w:rsidRPr="0040057D">
        <w:rPr>
          <w:noProof/>
        </w:rPr>
        <w:t>Cavanagh</w:t>
      </w:r>
      <w:r>
        <w:t xml:space="preserve"> </w:t>
      </w:r>
      <w:r w:rsidR="0040057D">
        <w:fldChar w:fldCharType="begin" w:fldLock="1"/>
      </w:r>
      <w:r w:rsidR="003E44DA">
        <w:instrText>ADDIN CSL_CITATION {"citationItems":[{"id":"ITEM-1","itemData":{"DOI":"http://dx.doi.org/10.1093/med:psych/9780199590117.003.0021","ISBN":"978-0-19-959011-7 (Paperback)","ISSN":"978-0-19-959011-7 (Paperback)","abstract":"Internet interventions can offer significant benefits for the prevention and treatment of common mental health problems including anxiety and depression. Some internet interventions attract many users, but evidence to date suggests that a significant number of people maybe unwilling to engage with internet interventions or having started, use them only very briefly. Identifying and overcoming the barriers to engagement and helping people to stick with internet interventions for long enough to achieve a sustainable benefit may be a key role for low intensity (LI) practitioners. This chapter explores the challenges of engagement, adherence, and attrition in relation to internet interventions and outlines some possible solutions to these challenges, including the potential importance of the therapeutic alliance triad between the patient, internet intervention, and LI practitioner. It draws on the evidence base for internet interventions; extrapolates from research on standalone computerized cognitive behavioural therapy (cCBT) programs and other self-help services; and looks at the implications for LI practitioners supporting clients to use internet interventions. (PsycINFO Database Record (c) 2016 APA, all rights reserved)","author":[{"dropping-particle":"","family":"Cavanagh","given":"Kate","non-dropping-particle":"","parse-names":false,"suffix":""}],"container-title":"Oxford guide to low intensity CBT interventions","id":"ITEM-1","issued":{"date-parts":[["2010","1"]]},"number-of-pages":"227-233","publisher":"Oxford University Press","title":"Turn on, tune in and (don't) drop out - engagement, adherence, attrition, and alliance with internet-based interventions","type":"book","volume":"1"},"uris":["http://www.mendeley.com/documents/?uuid=b91753fc-9e22-35b3-88b9-25e307f39577"]}],"mendeley":{"formattedCitation":"(Cavanagh, 2010)","manualFormatting":"(2010)","plainTextFormattedCitation":"(Cavanagh, 2010)","previouslyFormattedCitation":"(Cavanagh, 2010)"},"properties":{"noteIndex":0},"schema":"https://github.com/citation-style-language/schema/raw/master/csl-citation.json"}</w:instrText>
      </w:r>
      <w:r w:rsidR="0040057D">
        <w:fldChar w:fldCharType="separate"/>
      </w:r>
      <w:r w:rsidR="0040057D" w:rsidRPr="0040057D">
        <w:rPr>
          <w:noProof/>
        </w:rPr>
        <w:t>(2010)</w:t>
      </w:r>
      <w:r w:rsidR="0040057D">
        <w:fldChar w:fldCharType="end"/>
      </w:r>
      <w:r w:rsidR="0040057D">
        <w:t xml:space="preserve"> </w:t>
      </w:r>
      <w:r>
        <w:t xml:space="preserve">refers to the triad model as a ‘triangle of alliance’ between the user, the software </w:t>
      </w:r>
      <w:r w:rsidRPr="008F70E4">
        <w:rPr>
          <w:noProof/>
        </w:rPr>
        <w:t>used</w:t>
      </w:r>
      <w:r>
        <w:t xml:space="preserve"> and the programme supporter</w:t>
      </w:r>
      <w:r w:rsidR="00554CB4">
        <w:t xml:space="preserve">.  </w:t>
      </w:r>
      <w:r>
        <w:t>In the proposed model (</w:t>
      </w:r>
      <w:r w:rsidR="00E22560">
        <w:fldChar w:fldCharType="begin"/>
      </w:r>
      <w:r w:rsidR="00E22560">
        <w:instrText xml:space="preserve"> REF _Ref524182692 \h </w:instrText>
      </w:r>
      <w:r w:rsidR="00E22560">
        <w:fldChar w:fldCharType="separate"/>
      </w:r>
      <w:r w:rsidR="00574650">
        <w:t xml:space="preserve">Figure </w:t>
      </w:r>
      <w:r w:rsidR="00574650">
        <w:rPr>
          <w:noProof/>
        </w:rPr>
        <w:t>6</w:t>
      </w:r>
      <w:r w:rsidR="00574650">
        <w:t>.</w:t>
      </w:r>
      <w:r w:rsidR="00574650">
        <w:rPr>
          <w:noProof/>
        </w:rPr>
        <w:t>2</w:t>
      </w:r>
      <w:r w:rsidR="00E22560">
        <w:fldChar w:fldCharType="end"/>
      </w:r>
      <w:r>
        <w:t>), usability, credibility, and pre-expectations all feed in to therapeutic alliance, which in turn affects engagement</w:t>
      </w:r>
      <w:r w:rsidR="00554CB4">
        <w:t xml:space="preserve">.  </w:t>
      </w:r>
      <w:r>
        <w:t xml:space="preserve">Conversational agents such as MYLO communicate via written or spoken dialogue, </w:t>
      </w:r>
      <w:r w:rsidRPr="008F70E4">
        <w:rPr>
          <w:noProof/>
        </w:rPr>
        <w:t>and</w:t>
      </w:r>
      <w:r>
        <w:t xml:space="preserve"> the paradigm has more in common with face-to-face therapy than guided self-help.  Limited research has been done to test for the presence of a therapeutic relationship between user and program within this dyad (user-agent) but some research has looked at how simulating human interaction through the use of technologies such as Avatars may increase the therapeutic alliance </w:t>
      </w:r>
      <w:r>
        <w:fldChar w:fldCharType="begin" w:fldLock="1"/>
      </w:r>
      <w:r>
        <w:instrText>ADDIN CSL_CITATION {"citationItems":[{"id":"ITEM-1","itemData":{"DOI":"10.1016/j.invent.2018.01.005","ISSN":"22147829","abstract":"Objective: To examine the working alliance between users and an avatar and users' treatment expectations in an unguided Internet intervention for the treatment of insomnia. Methods: The sample included participants from the treatment condition (N = 29) of a randomised controlled trial. The task and goal subscales of the Working Alliance Inventory Short Revised (WAI-SR) were applied in week three. Five items of the Bern Post-Session Report and one question about the extent to which users had missed a human therapist were administered after each session. Treatment expectations were measured with the Credibility Expectancy Questionnaire (CEQ), and the Insomnia Severity Index (ISI) was used as the primary outcome measure. Results: The mean scores for the WAI-SR task and goal subscales were relatively high (M = 3.24, SD = 0.79; M = 3.16, SD = 0.91, respectively). The mean score of the five Bern Post-Session Report items remained stable over time, but some users increasingly indicated that they missed a real therapist over the course of the intervention, with a strong linear effect (t(87) = 3.16, p &lt; 0.01). ISI chance score was predicted by the mean score of the Bern Post-Session Report (b = −0.3.83, t(21.80) = −2.97, p &lt; 0.01), missing a human therapist (b = −0.0.13, t(20.47) = −2.72, p = 0.01) and the CEQ (b = 0.18, t(19.03) = −2.69, p = 0.01), but not by WAI-SR task and goal subscales. Conclusions: Results indicate that users established a working alliance with the avatar. The affective bond remained stable over time, but towards the end of the intervention some users indicated that they missed having a human therapist. Affective bond and missing a real therapist predicted symptom change.","author":[{"dropping-particle":"","family":"Heim","given":"Eva","non-dropping-particle":"","parse-names":false,"suffix":""},{"dropping-particle":"","family":"Rötger","given":"Alexander","non-dropping-particle":"","parse-names":false,"suffix":""},{"dropping-particle":"","family":"Lorenz","given":"Noah","non-dropping-particle":"","parse-names":false,"suffix":""},{"dropping-particle":"","family":"Maercker","given":"Andreas","non-dropping-particle":"","parse-names":false,"suffix":""}],"container-title":"Internet Interventions","id":"ITEM-1","issue":"January","issued":{"date-parts":[["2018"]]},"page":"41-46","publisher":"Elsevier","title":"Working alliance with an avatar: How far can we go with internet interventions?","type":"article-journal","volume":"11"},"uris":["http://www.mendeley.com/documents/?uuid=c8e129b4-1d67-4a2f-877d-d56f50d7d26b"]}],"mendeley":{"formattedCitation":"(Heim &lt;i&gt;et al.&lt;/i&gt;, 2018)","plainTextFormattedCitation":"(Heim et al., 2018)","previouslyFormattedCitation":"(Heim &lt;i&gt;et al.&lt;/i&gt;, 2018)"},"properties":{"noteIndex":0},"schema":"https://github.com/citation-style-language/schema/raw/master/csl-citation.json"}</w:instrText>
      </w:r>
      <w:r>
        <w:fldChar w:fldCharType="separate"/>
      </w:r>
      <w:r w:rsidRPr="00AF5BEB">
        <w:rPr>
          <w:noProof/>
        </w:rPr>
        <w:t xml:space="preserve">(Heim </w:t>
      </w:r>
      <w:r w:rsidRPr="00AF5BEB">
        <w:rPr>
          <w:i/>
          <w:noProof/>
        </w:rPr>
        <w:t>et al.</w:t>
      </w:r>
      <w:r w:rsidRPr="00AF5BEB">
        <w:rPr>
          <w:noProof/>
        </w:rPr>
        <w:t>, 2018)</w:t>
      </w:r>
      <w:r>
        <w:fldChar w:fldCharType="end"/>
      </w:r>
      <w:r>
        <w:t xml:space="preserve">. </w:t>
      </w:r>
    </w:p>
    <w:p w14:paraId="0EF8E602" w14:textId="77777777" w:rsidR="00111E4D" w:rsidRDefault="00111E4D" w:rsidP="00111E4D">
      <w:pPr>
        <w:pStyle w:val="Heading2"/>
      </w:pPr>
      <w:bookmarkStart w:id="437" w:name="_Toc530598203"/>
      <w:bookmarkStart w:id="438" w:name="_Toc530660556"/>
      <w:bookmarkStart w:id="439" w:name="_Toc3538158"/>
      <w:r>
        <w:t>Aims</w:t>
      </w:r>
      <w:bookmarkEnd w:id="437"/>
      <w:bookmarkEnd w:id="438"/>
      <w:bookmarkEnd w:id="439"/>
      <w:r>
        <w:t xml:space="preserve"> </w:t>
      </w:r>
    </w:p>
    <w:p w14:paraId="7D9CA20E" w14:textId="4D577CED" w:rsidR="00111E4D" w:rsidRDefault="00111E4D" w:rsidP="00111E4D">
      <w:bookmarkStart w:id="440" w:name="_Hlk529888965"/>
      <w:r w:rsidRPr="00BE1703">
        <w:rPr>
          <w:noProof/>
        </w:rPr>
        <w:t xml:space="preserve">The primary aim of the </w:t>
      </w:r>
      <w:r>
        <w:rPr>
          <w:noProof/>
        </w:rPr>
        <w:t xml:space="preserve">current </w:t>
      </w:r>
      <w:r w:rsidRPr="00BE1703">
        <w:rPr>
          <w:noProof/>
        </w:rPr>
        <w:t>study is to</w:t>
      </w:r>
      <w:r w:rsidRPr="00AC3A07">
        <w:rPr>
          <w:noProof/>
        </w:rPr>
        <w:t xml:space="preserve"> examine</w:t>
      </w:r>
      <w:r w:rsidRPr="00625691">
        <w:t xml:space="preserve"> </w:t>
      </w:r>
      <w:r>
        <w:t xml:space="preserve">whether </w:t>
      </w:r>
      <w:r w:rsidRPr="008F70E4">
        <w:rPr>
          <w:noProof/>
        </w:rPr>
        <w:t>enhanced</w:t>
      </w:r>
      <w:r w:rsidRPr="00625691">
        <w:t xml:space="preserve"> user interface</w:t>
      </w:r>
      <w:r>
        <w:t xml:space="preserve"> (UI)</w:t>
      </w:r>
      <w:r w:rsidRPr="00625691">
        <w:t xml:space="preserve"> features improve the </w:t>
      </w:r>
      <w:r>
        <w:t xml:space="preserve">effectiveness, acceptability and usability </w:t>
      </w:r>
      <w:r w:rsidRPr="00625691">
        <w:t xml:space="preserve">of </w:t>
      </w:r>
      <w:r>
        <w:t>MYLO with</w:t>
      </w:r>
      <w:r w:rsidRPr="00625691">
        <w:t xml:space="preserve"> older adults</w:t>
      </w:r>
      <w:r>
        <w:t>.  Secondly, the study will investigate whether giving introductory information about</w:t>
      </w:r>
      <w:r w:rsidRPr="008F70E4">
        <w:rPr>
          <w:noProof/>
        </w:rPr>
        <w:t xml:space="preserve"> MYLO</w:t>
      </w:r>
      <w:r>
        <w:rPr>
          <w:noProof/>
        </w:rPr>
        <w:t xml:space="preserve"> and the underlying MOL therapy</w:t>
      </w:r>
      <w:r>
        <w:t xml:space="preserve"> affects older adults’ initial treatment expectancy and credibility.  Thirdly</w:t>
      </w:r>
      <w:r w:rsidRPr="00C040D7">
        <w:t xml:space="preserve">, </w:t>
      </w:r>
      <w:r>
        <w:t xml:space="preserve">the study will investigate whether </w:t>
      </w:r>
      <w:r w:rsidRPr="001C1ADF">
        <w:t xml:space="preserve">system usability </w:t>
      </w:r>
      <w:r>
        <w:t xml:space="preserve">affects the </w:t>
      </w:r>
      <w:r w:rsidRPr="001C1ADF">
        <w:t>working alliance</w:t>
      </w:r>
      <w:r>
        <w:t xml:space="preserve"> and </w:t>
      </w:r>
      <w:r>
        <w:rPr>
          <w:shd w:val="clear" w:color="auto" w:fill="FFFFFF"/>
        </w:rPr>
        <w:t xml:space="preserve">treatment </w:t>
      </w:r>
      <w:r>
        <w:t xml:space="preserve">credibility of a conversational agent for </w:t>
      </w:r>
      <w:r w:rsidRPr="009029B3">
        <w:rPr>
          <w:noProof/>
        </w:rPr>
        <w:t>problem</w:t>
      </w:r>
      <w:r>
        <w:rPr>
          <w:noProof/>
        </w:rPr>
        <w:t>-</w:t>
      </w:r>
      <w:r w:rsidRPr="009029B3">
        <w:rPr>
          <w:noProof/>
        </w:rPr>
        <w:t>solving</w:t>
      </w:r>
      <w:r w:rsidR="00554CB4">
        <w:t xml:space="preserve">.  </w:t>
      </w:r>
      <w:r>
        <w:t xml:space="preserve">In the previous </w:t>
      </w:r>
      <w:r w:rsidRPr="008F70E4">
        <w:rPr>
          <w:noProof/>
        </w:rPr>
        <w:t>chapter</w:t>
      </w:r>
      <w:r>
        <w:rPr>
          <w:noProof/>
        </w:rPr>
        <w:t xml:space="preserve">, we </w:t>
      </w:r>
      <w:r>
        <w:t xml:space="preserve">investigated how system usability related to factors of acceptability and found that it may play a small but </w:t>
      </w:r>
      <w:r>
        <w:rPr>
          <w:noProof/>
        </w:rPr>
        <w:t>essential</w:t>
      </w:r>
      <w:r>
        <w:t xml:space="preserve"> role in problem resolution, helpfulness and the likelihood of using a conversational agent again</w:t>
      </w:r>
      <w:r w:rsidR="00554CB4">
        <w:t xml:space="preserve">.  </w:t>
      </w:r>
      <w:r>
        <w:t xml:space="preserve">Here, we will look to see if system usability affects the therapeutic relationship and its sub-scales of Task, Goal </w:t>
      </w:r>
      <w:r w:rsidRPr="009029B3">
        <w:rPr>
          <w:noProof/>
        </w:rPr>
        <w:t>and</w:t>
      </w:r>
      <w:r>
        <w:t xml:space="preserve"> Bond.  </w:t>
      </w:r>
      <w:r w:rsidR="00020C11">
        <w:t>Unlike g</w:t>
      </w:r>
      <w:r>
        <w:t>eneral</w:t>
      </w:r>
      <w:r w:rsidR="00020C11">
        <w:t xml:space="preserve"> software</w:t>
      </w:r>
      <w:r>
        <w:t xml:space="preserve">, therapeutic software usability is focused on goal achievement </w:t>
      </w:r>
      <w:r>
        <w:fldChar w:fldCharType="begin" w:fldLock="1"/>
      </w:r>
      <w:r>
        <w:instrText>ADDIN CSL_CITATION {"citationItems":[{"id":"ITEM-1","itemData":{"URL":"https://usabilitygeek.com/the-difference-between-usability-and-user-experience/","accessed":{"date-parts":[["2018","6","12"]]},"author":[{"dropping-particle":"","family":"Mifsud","given":"Justin","non-dropping-particle":"","parse-names":false,"suffix":""}],"container-title":"UsabilityGeek","id":"ITEM-1","issued":{"date-parts":[["2011"]]},"title":"The Difference (and Relationship) Between Usability And User Experience","type":"webpage"},"uris":["http://www.mendeley.com/documents/?uuid=add4fdab-e83d-3ac6-a2be-233dadda3a07"]}],"mendeley":{"formattedCitation":"(Mifsud, 2011)","plainTextFormattedCitation":"(Mifsud, 2011)","previouslyFormattedCitation":"(Mifsud, 2011)"},"properties":{"noteIndex":0},"schema":"https://github.com/citation-style-language/schema/raw/master/csl-citation.json"}</w:instrText>
      </w:r>
      <w:r>
        <w:fldChar w:fldCharType="separate"/>
      </w:r>
      <w:r w:rsidRPr="005B4C28">
        <w:rPr>
          <w:noProof/>
        </w:rPr>
        <w:t>(Mifsud, 2011)</w:t>
      </w:r>
      <w:r>
        <w:fldChar w:fldCharType="end"/>
      </w:r>
      <w:r>
        <w:t xml:space="preserve">.  </w:t>
      </w:r>
      <w:r w:rsidRPr="009029B3">
        <w:rPr>
          <w:noProof/>
        </w:rPr>
        <w:t xml:space="preserve">It </w:t>
      </w:r>
      <w:r w:rsidRPr="00856C73">
        <w:rPr>
          <w:noProof/>
        </w:rPr>
        <w:t>is suggested</w:t>
      </w:r>
      <w:r>
        <w:rPr>
          <w:noProof/>
        </w:rPr>
        <w:t xml:space="preserve"> </w:t>
      </w:r>
      <w:r w:rsidRPr="009029B3">
        <w:rPr>
          <w:noProof/>
        </w:rPr>
        <w:t>that 10% to 15</w:t>
      </w:r>
      <w:r>
        <w:t xml:space="preserve">% of a task's success or failure </w:t>
      </w:r>
      <w:r w:rsidRPr="00856C73">
        <w:rPr>
          <w:noProof/>
        </w:rPr>
        <w:t>is loosely linked</w:t>
      </w:r>
      <w:r>
        <w:t xml:space="preserve"> to system usability </w:t>
      </w:r>
      <w:r>
        <w:fldChar w:fldCharType="begin" w:fldLock="1"/>
      </w:r>
      <w:r>
        <w:instrText>ADDIN CSL_CITATION {"citationItems":[{"id":"ITEM-1","itemData":{"URL":"https://measuringu.com/task-comp-sus/","accessed":{"date-parts":[["2018","6","12"]]},"author":[{"dropping-particle":"","family":"Sauro","given":"Jeff","non-dropping-particle":"","parse-names":false,"suffix":""}],"container-title":"MeasuringU","id":"ITEM-1","issued":{"date-parts":[["2012"]]},"title":"Predicting Task Completion with the System Usability Scale","type":"webpage"},"uris":["http://www.mendeley.com/documents/?uuid=d372eb54-7644-3cf5-90ba-b60bb27dd0df"]}],"mendeley":{"formattedCitation":"(Sauro, 2012)","plainTextFormattedCitation":"(Sauro, 2012)","previouslyFormattedCitation":"(Sauro, 2012)"},"properties":{"noteIndex":0},"schema":"https://github.com/citation-style-language/schema/raw/master/csl-citation.json"}</w:instrText>
      </w:r>
      <w:r>
        <w:fldChar w:fldCharType="separate"/>
      </w:r>
      <w:r w:rsidRPr="005B4C28">
        <w:rPr>
          <w:noProof/>
        </w:rPr>
        <w:t>(Sauro, 2012)</w:t>
      </w:r>
      <w:r>
        <w:fldChar w:fldCharType="end"/>
      </w:r>
      <w:r>
        <w:t xml:space="preserve">.  Drawing from this principle, the current study will examine whether the usability of a conversational agent for </w:t>
      </w:r>
      <w:r w:rsidRPr="009029B3">
        <w:rPr>
          <w:noProof/>
        </w:rPr>
        <w:t>problem</w:t>
      </w:r>
      <w:r>
        <w:rPr>
          <w:noProof/>
        </w:rPr>
        <w:t>-</w:t>
      </w:r>
      <w:r w:rsidRPr="009029B3">
        <w:rPr>
          <w:noProof/>
        </w:rPr>
        <w:t>solving</w:t>
      </w:r>
      <w:r>
        <w:t xml:space="preserve"> is associated with the task sub-scale of working alliance.</w:t>
      </w:r>
    </w:p>
    <w:bookmarkEnd w:id="440"/>
    <w:p w14:paraId="7D01F04A" w14:textId="276BE110" w:rsidR="00111E4D" w:rsidRDefault="00111E4D" w:rsidP="00111E4D">
      <w:r>
        <w:t>In order to address these aims, it is first necessary to identify which, of many possible enhancements to the user interface, it would be most fruitful to examine</w:t>
      </w:r>
      <w:bookmarkStart w:id="441" w:name="_Hlk529888992"/>
      <w:r w:rsidR="00554CB4">
        <w:t xml:space="preserve">.  </w:t>
      </w:r>
      <w:r>
        <w:t xml:space="preserve">To this end, a </w:t>
      </w:r>
      <w:bookmarkEnd w:id="441"/>
      <w:r>
        <w:t>pilot survey was conducted to canvass opinion on possible enhancements and to guide decision-making regarding the technical work to be undertaken.</w:t>
      </w:r>
    </w:p>
    <w:p w14:paraId="4E6C34CD" w14:textId="4F3DC349" w:rsidR="00111E4D" w:rsidRDefault="00111E4D" w:rsidP="00111E4D">
      <w:pPr>
        <w:pStyle w:val="Heading2"/>
      </w:pPr>
      <w:bookmarkStart w:id="442" w:name="_Toc530598204"/>
      <w:bookmarkStart w:id="443" w:name="_Toc530660557"/>
      <w:bookmarkStart w:id="444" w:name="_Toc3538159"/>
      <w:bookmarkStart w:id="445" w:name="_Hlk529889112"/>
      <w:r>
        <w:t xml:space="preserve">Pilot </w:t>
      </w:r>
      <w:r w:rsidR="008468AC">
        <w:t>S</w:t>
      </w:r>
      <w:r>
        <w:t>urvey</w:t>
      </w:r>
      <w:bookmarkEnd w:id="442"/>
      <w:bookmarkEnd w:id="443"/>
      <w:bookmarkEnd w:id="444"/>
      <w:r w:rsidRPr="00CD6272">
        <w:t xml:space="preserve"> </w:t>
      </w:r>
    </w:p>
    <w:p w14:paraId="2832884C" w14:textId="77777777" w:rsidR="00111E4D" w:rsidRDefault="00111E4D" w:rsidP="00111E4D">
      <w:r w:rsidRPr="00B43451">
        <w:rPr>
          <w:noProof/>
        </w:rPr>
        <w:t>An online survey was created with the aim of</w:t>
      </w:r>
      <w:r>
        <w:t xml:space="preserve"> establishing how older adults felt about a set of proposed technological enhancements that might improve the acceptability of MYLO.  The technologies that were rated positively were implemented and tested </w:t>
      </w:r>
      <w:r w:rsidRPr="008F70E4">
        <w:rPr>
          <w:noProof/>
        </w:rPr>
        <w:t>with</w:t>
      </w:r>
      <w:r>
        <w:t xml:space="preserve"> older adults in this study.  </w:t>
      </w:r>
    </w:p>
    <w:p w14:paraId="35A38DB2" w14:textId="568475B7" w:rsidR="00111E4D" w:rsidRPr="00156B44" w:rsidRDefault="00111E4D" w:rsidP="00111E4D">
      <w:pPr>
        <w:pStyle w:val="Heading3"/>
      </w:pPr>
      <w:bookmarkStart w:id="446" w:name="_Toc530598205"/>
      <w:bookmarkStart w:id="447" w:name="_Toc530660558"/>
      <w:bookmarkStart w:id="448" w:name="_Toc3538160"/>
      <w:r>
        <w:lastRenderedPageBreak/>
        <w:t xml:space="preserve">Pilot </w:t>
      </w:r>
      <w:r w:rsidR="00372AC9">
        <w:t>S</w:t>
      </w:r>
      <w:r>
        <w:t xml:space="preserve">urvey </w:t>
      </w:r>
      <w:r w:rsidR="00372AC9">
        <w:t>P</w:t>
      </w:r>
      <w:r>
        <w:t>articipants</w:t>
      </w:r>
      <w:bookmarkEnd w:id="446"/>
      <w:bookmarkEnd w:id="447"/>
      <w:bookmarkEnd w:id="448"/>
    </w:p>
    <w:p w14:paraId="5E7FC772" w14:textId="053BEEFF" w:rsidR="00111E4D" w:rsidRDefault="00111E4D" w:rsidP="00111E4D">
      <w:proofErr w:type="gramStart"/>
      <w:r>
        <w:t>A flyer</w:t>
      </w:r>
      <w:proofErr w:type="gramEnd"/>
      <w:r>
        <w:t xml:space="preserve"> advertising for participation in the study was sent via email to </w:t>
      </w:r>
      <w:r w:rsidRPr="008F70E4">
        <w:rPr>
          <w:noProof/>
        </w:rPr>
        <w:t>Universities</w:t>
      </w:r>
      <w:r>
        <w:t xml:space="preserve"> of the Third Age (U3A) </w:t>
      </w:r>
      <w:r w:rsidRPr="00B356A7">
        <w:rPr>
          <w:noProof/>
        </w:rPr>
        <w:t>countrywide</w:t>
      </w:r>
      <w:r>
        <w:t xml:space="preserve">.  Fifty-one participants responded to the flyer and </w:t>
      </w:r>
      <w:r w:rsidRPr="00856C73">
        <w:rPr>
          <w:noProof/>
        </w:rPr>
        <w:t>were recruited</w:t>
      </w:r>
      <w:r>
        <w:t xml:space="preserve"> to the pre-study survey</w:t>
      </w:r>
      <w:r w:rsidR="00554CB4">
        <w:t xml:space="preserve">.  </w:t>
      </w:r>
      <w:r w:rsidRPr="00567E8C">
        <w:rPr>
          <w:noProof/>
        </w:rPr>
        <w:t>The University of the Third Age is a</w:t>
      </w:r>
      <w:r>
        <w:t xml:space="preserve"> movement that aims to educate and stimulate its members </w:t>
      </w:r>
      <w:r>
        <w:fldChar w:fldCharType="begin" w:fldLock="1"/>
      </w:r>
      <w:r>
        <w:instrText>ADDIN CSL_CITATION {"citationItems":[{"id":"ITEM-1","itemData":{"URL":"https://u3a.org.uk/about","accessed":{"date-parts":[["2018","10","26"]]},"author":[{"dropping-particle":"","family":"U3A","given":"","non-dropping-particle":"","parse-names":false,"suffix":""}],"container-title":"U3A","id":"ITEM-1","issued":{"date-parts":[["2018"]]},"title":"U3A - About","type":"webpage"},"uris":["http://www.mendeley.com/documents/?uuid=5b955582-5baa-3854-b68c-a90abe9d696c"]}],"mendeley":{"formattedCitation":"(U3A, 2018)","plainTextFormattedCitation":"(U3A, 2018)","previouslyFormattedCitation":"(U3A, 2018)"},"properties":{"noteIndex":0},"schema":"https://github.com/citation-style-language/schema/raw/master/csl-citation.json"}</w:instrText>
      </w:r>
      <w:r>
        <w:fldChar w:fldCharType="separate"/>
      </w:r>
      <w:r w:rsidRPr="00B43451">
        <w:rPr>
          <w:noProof/>
        </w:rPr>
        <w:t>(U3A, 2018)</w:t>
      </w:r>
      <w:r>
        <w:fldChar w:fldCharType="end"/>
      </w:r>
      <w:r>
        <w:t xml:space="preserve">.  The membership </w:t>
      </w:r>
      <w:r w:rsidRPr="00856C73">
        <w:rPr>
          <w:noProof/>
        </w:rPr>
        <w:t>is mainly comprised</w:t>
      </w:r>
      <w:r>
        <w:t xml:space="preserve"> of retired members of the community in the third 'age' of their </w:t>
      </w:r>
      <w:r w:rsidRPr="00B356A7">
        <w:rPr>
          <w:noProof/>
        </w:rPr>
        <w:t>li</w:t>
      </w:r>
      <w:r>
        <w:rPr>
          <w:noProof/>
        </w:rPr>
        <w:t>v</w:t>
      </w:r>
      <w:r w:rsidRPr="00B356A7">
        <w:rPr>
          <w:noProof/>
        </w:rPr>
        <w:t>es</w:t>
      </w:r>
      <w:r w:rsidR="00554CB4">
        <w:t xml:space="preserve">.  </w:t>
      </w:r>
      <w:r w:rsidRPr="00567E8C">
        <w:rPr>
          <w:noProof/>
        </w:rPr>
        <w:t>The inclusion criteria required participants to be aged</w:t>
      </w:r>
      <w:r>
        <w:t xml:space="preserve"> 50 years or above and to be able to read and hear clearly (with glasses or hearing aids if needed).</w:t>
      </w:r>
    </w:p>
    <w:p w14:paraId="67133BD3" w14:textId="592C6125" w:rsidR="00111E4D" w:rsidRDefault="00111E4D" w:rsidP="00111E4D">
      <w:pPr>
        <w:pStyle w:val="Heading3"/>
      </w:pPr>
      <w:bookmarkStart w:id="449" w:name="_Toc530598206"/>
      <w:bookmarkStart w:id="450" w:name="_Toc530660559"/>
      <w:bookmarkStart w:id="451" w:name="_Toc3538161"/>
      <w:r>
        <w:t xml:space="preserve">Pilot </w:t>
      </w:r>
      <w:r w:rsidR="00372AC9">
        <w:t>Survey P</w:t>
      </w:r>
      <w:r>
        <w:t>rocedure</w:t>
      </w:r>
      <w:bookmarkEnd w:id="449"/>
      <w:bookmarkEnd w:id="450"/>
      <w:bookmarkEnd w:id="451"/>
    </w:p>
    <w:p w14:paraId="67EAFE91" w14:textId="77777777" w:rsidR="00111E4D" w:rsidRDefault="00111E4D" w:rsidP="00111E4D">
      <w:bookmarkStart w:id="452" w:name="_Hlk529889047"/>
      <w:bookmarkStart w:id="453" w:name="_Hlk529889062"/>
      <w:r>
        <w:t xml:space="preserve">The study </w:t>
      </w:r>
      <w:r w:rsidRPr="00856C73">
        <w:rPr>
          <w:noProof/>
        </w:rPr>
        <w:t>was approved</w:t>
      </w:r>
      <w:r>
        <w:t xml:space="preserve"> by The University of Sheffield Psychology Department Ethics Committee. </w:t>
      </w:r>
    </w:p>
    <w:bookmarkEnd w:id="452"/>
    <w:p w14:paraId="3D34F69D" w14:textId="75EDE2C7" w:rsidR="00111E4D" w:rsidRDefault="00111E4D" w:rsidP="00111E4D">
      <w:r>
        <w:t>Participants were asked to explore MYLO for up to 20 minutes and then complete the survey</w:t>
      </w:r>
      <w:r w:rsidR="00554CB4">
        <w:t xml:space="preserve">.  </w:t>
      </w:r>
      <w:r>
        <w:t>The survey</w:t>
      </w:r>
      <w:r w:rsidRPr="00D84D7A">
        <w:t xml:space="preserve"> </w:t>
      </w:r>
      <w:r>
        <w:t>comprised 3 sections each covering a different area of enhancement</w:t>
      </w:r>
      <w:r w:rsidRPr="00D84D7A">
        <w:t xml:space="preserve">: </w:t>
      </w:r>
      <w:r>
        <w:t>Speech Recognition – the identification of spoken language through the analysis of waveforms; Speech Synthesis – t</w:t>
      </w:r>
      <w:r w:rsidRPr="00D22B73">
        <w:t>he generati</w:t>
      </w:r>
      <w:r>
        <w:t>on of</w:t>
      </w:r>
      <w:r w:rsidRPr="00D22B73">
        <w:t xml:space="preserve"> spoken language by </w:t>
      </w:r>
      <w:r>
        <w:t xml:space="preserve">a computer based on the </w:t>
      </w:r>
      <w:r w:rsidRPr="008F70E4">
        <w:rPr>
          <w:noProof/>
        </w:rPr>
        <w:t>textual</w:t>
      </w:r>
      <w:r>
        <w:t xml:space="preserve"> input; Computer Avatars - </w:t>
      </w:r>
      <w:r w:rsidRPr="00D22B73">
        <w:t xml:space="preserve">the graphical representation of </w:t>
      </w:r>
      <w:r>
        <w:t>a user or</w:t>
      </w:r>
      <w:r w:rsidRPr="00D22B73">
        <w:t xml:space="preserve"> </w:t>
      </w:r>
      <w:r>
        <w:t>computer</w:t>
      </w:r>
      <w:r w:rsidRPr="00D22B73">
        <w:t xml:space="preserve"> </w:t>
      </w:r>
      <w:r>
        <w:t>as a</w:t>
      </w:r>
      <w:r w:rsidRPr="00D22B73">
        <w:t xml:space="preserve"> character</w:t>
      </w:r>
      <w:r>
        <w:t xml:space="preserve">.  In the survey, participants were presented with a video detailing the enhancement followed by questions relating to their thoughts on its potential application to MYLO.  </w:t>
      </w:r>
    </w:p>
    <w:p w14:paraId="33E5BB21" w14:textId="0540884D" w:rsidR="00111E4D" w:rsidRDefault="00111E4D" w:rsidP="00111E4D">
      <w:pPr>
        <w:pStyle w:val="Heading3"/>
      </w:pPr>
      <w:bookmarkStart w:id="454" w:name="_Toc530598207"/>
      <w:bookmarkStart w:id="455" w:name="_Toc530660560"/>
      <w:bookmarkStart w:id="456" w:name="_Toc3538162"/>
      <w:bookmarkEnd w:id="453"/>
      <w:r>
        <w:t xml:space="preserve">Pilot </w:t>
      </w:r>
      <w:r w:rsidR="00372AC9">
        <w:t>S</w:t>
      </w:r>
      <w:r>
        <w:t xml:space="preserve">urvey </w:t>
      </w:r>
      <w:r w:rsidR="00372AC9">
        <w:t>R</w:t>
      </w:r>
      <w:r>
        <w:t>esults</w:t>
      </w:r>
      <w:bookmarkEnd w:id="454"/>
      <w:bookmarkEnd w:id="455"/>
      <w:bookmarkEnd w:id="456"/>
    </w:p>
    <w:p w14:paraId="0F48AF84" w14:textId="78BCFD84" w:rsidR="00111E4D" w:rsidRPr="00A203CD" w:rsidRDefault="00111E4D" w:rsidP="00111E4D">
      <w:pPr>
        <w:rPr>
          <w:b/>
        </w:rPr>
      </w:pPr>
      <w:r>
        <w:t>A total of 32 participants completed the pilot survey.</w:t>
      </w:r>
      <w:r>
        <w:rPr>
          <w:b/>
        </w:rPr>
        <w:t xml:space="preserve">  </w:t>
      </w:r>
      <w:r w:rsidRPr="00F33990">
        <w:t>In response to the question “Having watched the video do you think adding speech recognition to MYLO would make it more acceptable to older adults?”</w:t>
      </w:r>
      <w:r>
        <w:t xml:space="preserve">  </w:t>
      </w:r>
      <w:proofErr w:type="gramStart"/>
      <w:r>
        <w:t>t</w:t>
      </w:r>
      <w:r w:rsidRPr="00F33990">
        <w:t>he</w:t>
      </w:r>
      <w:proofErr w:type="gramEnd"/>
      <w:r w:rsidRPr="00F33990">
        <w:t xml:space="preserve"> 32 participants recruited </w:t>
      </w:r>
      <w:r>
        <w:t>answered as follows:</w:t>
      </w:r>
      <w:r w:rsidRPr="00F33990">
        <w:t xml:space="preserve"> 4 strongly </w:t>
      </w:r>
      <w:r w:rsidRPr="00BD4250">
        <w:t xml:space="preserve">agree, 17 Somewhat agree, </w:t>
      </w:r>
      <w:r>
        <w:t xml:space="preserve">6 </w:t>
      </w:r>
      <w:r w:rsidRPr="00BD4250">
        <w:t>Neither agree nor disagree and 5 Somewhat disagree</w:t>
      </w:r>
      <w:r w:rsidR="00554CB4">
        <w:t xml:space="preserve">.  </w:t>
      </w:r>
      <w:r w:rsidRPr="00856C73">
        <w:rPr>
          <w:noProof/>
        </w:rPr>
        <w:t>A chi-square goodness-of-fit test was conducted to determine</w:t>
      </w:r>
      <w:r w:rsidRPr="00BD4250">
        <w:t xml:space="preserve"> whether an equal number of participants from each of the four agreement types </w:t>
      </w:r>
      <w:r w:rsidRPr="00856C73">
        <w:rPr>
          <w:noProof/>
        </w:rPr>
        <w:t>were recruited</w:t>
      </w:r>
      <w:r w:rsidRPr="00BD4250">
        <w:t xml:space="preserve"> to the study</w:t>
      </w:r>
      <w:r w:rsidR="00554CB4">
        <w:t xml:space="preserve">.  </w:t>
      </w:r>
      <w:r w:rsidRPr="00BD4250">
        <w:t>The minimum expected frequency was 8.</w:t>
      </w:r>
      <w:r>
        <w:t>0</w:t>
      </w:r>
      <w:r w:rsidRPr="00BD4250">
        <w:t>.  The chi-square goodness-of-fit test indicated that the number of strongly agree, somewhat agree, neither agree nor disagree and somewhat disagree participants recruited to the study was statistically significantly different (</w:t>
      </w:r>
      <w:proofErr w:type="gramStart"/>
      <w:r w:rsidRPr="00BD4250">
        <w:t>χ2(</w:t>
      </w:r>
      <w:proofErr w:type="gramEnd"/>
      <w:r w:rsidRPr="00BD4250">
        <w:t xml:space="preserve">3) = </w:t>
      </w:r>
      <w:r>
        <w:t>13</w:t>
      </w:r>
      <w:r w:rsidRPr="00BD4250">
        <w:t>.</w:t>
      </w:r>
      <w:r>
        <w:t>750</w:t>
      </w:r>
      <w:r w:rsidRPr="00BD4250">
        <w:t>, p = .00</w:t>
      </w:r>
      <w:r>
        <w:t>3</w:t>
      </w:r>
      <w:r w:rsidRPr="00BD4250">
        <w:t>)</w:t>
      </w:r>
      <w:r>
        <w:t>.</w:t>
      </w:r>
      <w:r w:rsidRPr="00E263B8">
        <w:rPr>
          <w:noProof/>
        </w:rPr>
        <w:t xml:space="preserve">  This</w:t>
      </w:r>
      <w:r>
        <w:rPr>
          <w:noProof/>
        </w:rPr>
        <w:t xml:space="preserve"> result </w:t>
      </w:r>
      <w:r w:rsidRPr="001244C0">
        <w:rPr>
          <w:noProof/>
        </w:rPr>
        <w:t>indicates that just over half of the</w:t>
      </w:r>
      <w:r w:rsidRPr="00BD4250">
        <w:t xml:space="preserve"> participants agree</w:t>
      </w:r>
      <w:r>
        <w:t xml:space="preserve">d to some degree </w:t>
      </w:r>
      <w:r w:rsidRPr="00BD4250">
        <w:t xml:space="preserve">that </w:t>
      </w:r>
      <w:r>
        <w:t>s</w:t>
      </w:r>
      <w:r w:rsidRPr="00BD4250">
        <w:t xml:space="preserve">peech </w:t>
      </w:r>
      <w:r>
        <w:t>r</w:t>
      </w:r>
      <w:r w:rsidRPr="00BD4250">
        <w:t>ecognition would make MYLO more acceptable to older adults.</w:t>
      </w:r>
    </w:p>
    <w:p w14:paraId="72821C37" w14:textId="77777777" w:rsidR="00111E4D" w:rsidRPr="00B1089E" w:rsidRDefault="00111E4D" w:rsidP="00111E4D">
      <w:r w:rsidRPr="00F33990">
        <w:t>In response to the question “Having watched the video do you think adding speech synthesis to MYLO would make it more acceptable to older adults</w:t>
      </w:r>
      <w:r w:rsidRPr="008F70E4">
        <w:rPr>
          <w:noProof/>
        </w:rPr>
        <w:t>”.</w:t>
      </w:r>
      <w:r>
        <w:t xml:space="preserve">  T</w:t>
      </w:r>
      <w:r w:rsidRPr="00F33990">
        <w:t>he 32 participants recruited</w:t>
      </w:r>
      <w:r>
        <w:t xml:space="preserve"> answered as follows:</w:t>
      </w:r>
      <w:r w:rsidRPr="00F33990">
        <w:t xml:space="preserve"> 3 strongly agreed, 17 </w:t>
      </w:r>
      <w:proofErr w:type="gramStart"/>
      <w:r w:rsidRPr="00F33990">
        <w:t>Somewhat</w:t>
      </w:r>
      <w:proofErr w:type="gramEnd"/>
      <w:r w:rsidRPr="00F33990">
        <w:t xml:space="preserve"> agreed, 9 Neither agreed nor disagreed and 3 Somewhat disagreed</w:t>
      </w:r>
      <w:r w:rsidRPr="00BD4250">
        <w:t xml:space="preserve">. </w:t>
      </w:r>
      <w:r>
        <w:t xml:space="preserve"> </w:t>
      </w:r>
      <w:r w:rsidRPr="00856C73">
        <w:rPr>
          <w:noProof/>
        </w:rPr>
        <w:t>A chi-square goodness-of-fit test was conducted to determine</w:t>
      </w:r>
      <w:r w:rsidRPr="00BD4250">
        <w:t xml:space="preserve"> whether an equal number of participants from each of the four agreement types </w:t>
      </w:r>
      <w:r w:rsidRPr="00856C73">
        <w:rPr>
          <w:noProof/>
        </w:rPr>
        <w:t>were recruited</w:t>
      </w:r>
      <w:r w:rsidRPr="00BD4250">
        <w:t xml:space="preserve"> to the study. </w:t>
      </w:r>
      <w:r>
        <w:t xml:space="preserve"> </w:t>
      </w:r>
      <w:r w:rsidRPr="00BD4250">
        <w:t>The minimum expected frequency was 8.</w:t>
      </w:r>
      <w:r>
        <w:t>0</w:t>
      </w:r>
      <w:r w:rsidRPr="00BD4250">
        <w:t>.  The chi-square goodness-of-fit test indicated that the number of strongly agree, somewhat agree, neither agree nor disagree and somewhat disagree participants recruited to the study was statistically significantly different (</w:t>
      </w:r>
      <w:proofErr w:type="gramStart"/>
      <w:r w:rsidRPr="00BD4250">
        <w:t>χ2(</w:t>
      </w:r>
      <w:proofErr w:type="gramEnd"/>
      <w:r w:rsidRPr="00BD4250">
        <w:t xml:space="preserve">3) = </w:t>
      </w:r>
      <w:r>
        <w:t>16</w:t>
      </w:r>
      <w:r w:rsidRPr="00BD4250">
        <w:t>.</w:t>
      </w:r>
      <w:r>
        <w:t>500</w:t>
      </w:r>
      <w:r w:rsidRPr="00BD4250">
        <w:t>, p = .</w:t>
      </w:r>
      <w:r>
        <w:t>001</w:t>
      </w:r>
      <w:r w:rsidRPr="00BD4250">
        <w:t>)</w:t>
      </w:r>
      <w:r>
        <w:t>.  This result suggests that</w:t>
      </w:r>
      <w:r w:rsidRPr="00BD4250">
        <w:t xml:space="preserve"> just over half of the participants agree</w:t>
      </w:r>
      <w:r>
        <w:t>d to some degree</w:t>
      </w:r>
      <w:r w:rsidRPr="00BD4250">
        <w:t xml:space="preserve"> that </w:t>
      </w:r>
      <w:r>
        <w:t>s</w:t>
      </w:r>
      <w:r w:rsidRPr="00BD4250">
        <w:t xml:space="preserve">peech </w:t>
      </w:r>
      <w:r>
        <w:t>synthesis</w:t>
      </w:r>
      <w:r w:rsidRPr="00BD4250">
        <w:t xml:space="preserve"> would make MYLO more acceptable to older adults.</w:t>
      </w:r>
    </w:p>
    <w:p w14:paraId="04814BD7" w14:textId="77777777" w:rsidR="00111E4D" w:rsidRDefault="00111E4D" w:rsidP="00111E4D">
      <w:r>
        <w:lastRenderedPageBreak/>
        <w:t xml:space="preserve">In response to the </w:t>
      </w:r>
      <w:r w:rsidRPr="00AF40F6">
        <w:t xml:space="preserve">question “Having watched the video do you think </w:t>
      </w:r>
      <w:r w:rsidRPr="008F70E4">
        <w:rPr>
          <w:noProof/>
        </w:rPr>
        <w:t>giving</w:t>
      </w:r>
      <w:r w:rsidRPr="00AF40F6">
        <w:t xml:space="preserve"> MYLO an avatar would make it more acceptable to older adults:”</w:t>
      </w:r>
      <w:r>
        <w:rPr>
          <w:rFonts w:ascii="Verdana" w:hAnsi="Verdana"/>
          <w:color w:val="404040"/>
          <w:shd w:val="clear" w:color="auto" w:fill="FFFFFF"/>
        </w:rPr>
        <w:t xml:space="preserve"> </w:t>
      </w:r>
      <w:r w:rsidRPr="00BD4250">
        <w:t>the 3</w:t>
      </w:r>
      <w:r>
        <w:t xml:space="preserve">2 </w:t>
      </w:r>
      <w:r w:rsidRPr="00BD4250">
        <w:t>participants recruited</w:t>
      </w:r>
      <w:r>
        <w:t xml:space="preserve"> answered:</w:t>
      </w:r>
      <w:r w:rsidRPr="00BD4250">
        <w:t xml:space="preserve"> </w:t>
      </w:r>
      <w:r>
        <w:t>2</w:t>
      </w:r>
      <w:r w:rsidRPr="00BD4250">
        <w:t xml:space="preserve"> strongly agreed, </w:t>
      </w:r>
      <w:r>
        <w:t>6</w:t>
      </w:r>
      <w:r w:rsidRPr="00BD4250">
        <w:t xml:space="preserve"> Somewhat agreed, </w:t>
      </w:r>
      <w:r>
        <w:t>7</w:t>
      </w:r>
      <w:r w:rsidRPr="00BD4250">
        <w:t xml:space="preserve"> Neither agreed nor disagreed</w:t>
      </w:r>
      <w:r>
        <w:t>, 11 Somewhat disagree,</w:t>
      </w:r>
      <w:r w:rsidRPr="00BD4250">
        <w:t xml:space="preserve"> </w:t>
      </w:r>
      <w:r>
        <w:t>8</w:t>
      </w:r>
      <w:r w:rsidRPr="00BD4250">
        <w:t xml:space="preserve"> </w:t>
      </w:r>
      <w:r>
        <w:t>Strongly</w:t>
      </w:r>
      <w:r w:rsidRPr="00BD4250">
        <w:t xml:space="preserve"> disagreed. </w:t>
      </w:r>
      <w:r>
        <w:t xml:space="preserve"> </w:t>
      </w:r>
      <w:r w:rsidRPr="00856C73">
        <w:rPr>
          <w:noProof/>
        </w:rPr>
        <w:t>A chi-square goodness-of-fit test was conducted to determine</w:t>
      </w:r>
      <w:r w:rsidRPr="00BD4250">
        <w:t xml:space="preserve"> whether an equal number of participants from each of the four agreement types </w:t>
      </w:r>
      <w:r w:rsidRPr="00E263B8">
        <w:rPr>
          <w:noProof/>
        </w:rPr>
        <w:t>were recruited</w:t>
      </w:r>
      <w:r w:rsidRPr="00BD4250">
        <w:t xml:space="preserve"> to the study. </w:t>
      </w:r>
      <w:r>
        <w:t xml:space="preserve"> </w:t>
      </w:r>
      <w:r w:rsidRPr="00BD4250">
        <w:t xml:space="preserve">The minimum expected frequency was </w:t>
      </w:r>
      <w:r>
        <w:t>6.4</w:t>
      </w:r>
      <w:r w:rsidRPr="00BD4250">
        <w:t>.</w:t>
      </w:r>
      <w:r>
        <w:t xml:space="preserve">  </w:t>
      </w:r>
      <w:r w:rsidRPr="008F18F6">
        <w:t xml:space="preserve">The chi-square goodness-of-fit test indicated that </w:t>
      </w:r>
      <w:r w:rsidRPr="00E263B8">
        <w:rPr>
          <w:noProof/>
        </w:rPr>
        <w:t>all responses were equally represented by the participants</w:t>
      </w:r>
      <w:r w:rsidRPr="008F18F6">
        <w:t xml:space="preserve"> recruited </w:t>
      </w:r>
      <w:r w:rsidRPr="008F70E4">
        <w:rPr>
          <w:noProof/>
        </w:rPr>
        <w:t>to</w:t>
      </w:r>
      <w:r w:rsidRPr="008F18F6">
        <w:t xml:space="preserve"> the study (</w:t>
      </w:r>
      <w:proofErr w:type="gramStart"/>
      <w:r w:rsidRPr="008F18F6">
        <w:t>χ2(</w:t>
      </w:r>
      <w:proofErr w:type="gramEnd"/>
      <w:r w:rsidRPr="008F18F6">
        <w:t>4) = 5.500, p = .240)</w:t>
      </w:r>
      <w:r>
        <w:t>.</w:t>
      </w:r>
    </w:p>
    <w:p w14:paraId="6F473345" w14:textId="152C368E" w:rsidR="00111E4D" w:rsidRDefault="00111E4D" w:rsidP="00111E4D">
      <w:pPr>
        <w:pStyle w:val="Heading3"/>
      </w:pPr>
      <w:bookmarkStart w:id="457" w:name="_Toc530598208"/>
      <w:bookmarkStart w:id="458" w:name="_Toc530660561"/>
      <w:bookmarkStart w:id="459" w:name="_Toc3538163"/>
      <w:r>
        <w:t xml:space="preserve">Pilot </w:t>
      </w:r>
      <w:r w:rsidR="00372AC9">
        <w:t>S</w:t>
      </w:r>
      <w:r>
        <w:t xml:space="preserve">urvey </w:t>
      </w:r>
      <w:r w:rsidR="00372AC9">
        <w:t>C</w:t>
      </w:r>
      <w:r>
        <w:t>onclusion</w:t>
      </w:r>
      <w:bookmarkEnd w:id="457"/>
      <w:bookmarkEnd w:id="458"/>
      <w:bookmarkEnd w:id="459"/>
    </w:p>
    <w:p w14:paraId="1986D8CD" w14:textId="77777777" w:rsidR="00111E4D" w:rsidRDefault="00111E4D" w:rsidP="00111E4D">
      <w:r>
        <w:t xml:space="preserve">The results suggested that older adults may agree to some extent that both speech recognition and synthesis could improve the acceptability of MYLO with older adults.  There was no </w:t>
      </w:r>
      <w:r w:rsidRPr="00856C73">
        <w:rPr>
          <w:noProof/>
        </w:rPr>
        <w:t>clear</w:t>
      </w:r>
      <w:r>
        <w:t xml:space="preserve"> agreement about whether an avatar may or may not improve the acceptability of MYLO with older adults.  Based on these results the decision was made to implement only speech synthesis.  Speech recognition </w:t>
      </w:r>
      <w:r w:rsidRPr="00E263B8">
        <w:rPr>
          <w:noProof/>
        </w:rPr>
        <w:t>was excluded</w:t>
      </w:r>
      <w:r>
        <w:t xml:space="preserve"> due to a lack of control over multiple variables such as room acoustics, sound setup and microphone quality and avatars </w:t>
      </w:r>
      <w:r w:rsidRPr="00E263B8">
        <w:rPr>
          <w:noProof/>
        </w:rPr>
        <w:t>were excluded</w:t>
      </w:r>
      <w:r>
        <w:t xml:space="preserve"> due to there being no clear-cut opinion of their potential benefit. </w:t>
      </w:r>
    </w:p>
    <w:p w14:paraId="6537F854" w14:textId="7917D14A" w:rsidR="00111E4D" w:rsidRDefault="00111E4D" w:rsidP="00111E4D">
      <w:pPr>
        <w:pStyle w:val="Heading2"/>
      </w:pPr>
      <w:bookmarkStart w:id="460" w:name="_Toc530598209"/>
      <w:bookmarkStart w:id="461" w:name="_Toc530660562"/>
      <w:bookmarkStart w:id="462" w:name="_Toc3538164"/>
      <w:bookmarkEnd w:id="445"/>
      <w:r>
        <w:t>Hypotheses</w:t>
      </w:r>
      <w:bookmarkEnd w:id="460"/>
      <w:bookmarkEnd w:id="461"/>
      <w:bookmarkEnd w:id="462"/>
    </w:p>
    <w:p w14:paraId="76313886" w14:textId="10D5E58E" w:rsidR="00BB1EE0" w:rsidRPr="00C501FD" w:rsidRDefault="00F06936" w:rsidP="00771A36">
      <w:pPr>
        <w:pStyle w:val="ListParagraph"/>
        <w:numPr>
          <w:ilvl w:val="0"/>
          <w:numId w:val="32"/>
        </w:numPr>
        <w:rPr>
          <w:color w:val="000000" w:themeColor="text1"/>
        </w:rPr>
      </w:pPr>
      <w:bookmarkStart w:id="463" w:name="_Hlk529889190"/>
      <w:r w:rsidRPr="00C501FD">
        <w:rPr>
          <w:color w:val="000000" w:themeColor="text1"/>
        </w:rPr>
        <w:t>It is expected that the e</w:t>
      </w:r>
      <w:r w:rsidR="00111E4D" w:rsidRPr="00C501FD">
        <w:rPr>
          <w:color w:val="000000" w:themeColor="text1"/>
        </w:rPr>
        <w:t xml:space="preserve">nhanced interface features will make MYLO a more effective conversational agent for </w:t>
      </w:r>
      <w:r w:rsidR="00111E4D" w:rsidRPr="00C501FD">
        <w:rPr>
          <w:noProof/>
          <w:color w:val="000000" w:themeColor="text1"/>
        </w:rPr>
        <w:t>problem-solving</w:t>
      </w:r>
      <w:r w:rsidRPr="00C501FD">
        <w:rPr>
          <w:noProof/>
          <w:color w:val="000000" w:themeColor="text1"/>
        </w:rPr>
        <w:t>. I</w:t>
      </w:r>
      <w:r w:rsidR="00BB1EE0" w:rsidRPr="00C501FD">
        <w:rPr>
          <w:noProof/>
          <w:color w:val="000000" w:themeColor="text1"/>
        </w:rPr>
        <w:t xml:space="preserve">t is </w:t>
      </w:r>
      <w:r w:rsidRPr="00C501FD">
        <w:rPr>
          <w:noProof/>
          <w:color w:val="000000" w:themeColor="text1"/>
        </w:rPr>
        <w:t xml:space="preserve">therefore </w:t>
      </w:r>
      <w:r w:rsidR="00BB1EE0" w:rsidRPr="00C501FD">
        <w:rPr>
          <w:noProof/>
          <w:color w:val="000000" w:themeColor="text1"/>
        </w:rPr>
        <w:t>hypothesised that</w:t>
      </w:r>
      <w:r w:rsidR="00292DD8" w:rsidRPr="00C501FD">
        <w:rPr>
          <w:noProof/>
          <w:color w:val="000000" w:themeColor="text1"/>
        </w:rPr>
        <w:t>:</w:t>
      </w:r>
    </w:p>
    <w:p w14:paraId="0284181C" w14:textId="47B899F2" w:rsidR="00292DD8" w:rsidRPr="00C501FD" w:rsidRDefault="00292DD8" w:rsidP="00BB1EE0">
      <w:pPr>
        <w:pStyle w:val="ListParagraph"/>
        <w:numPr>
          <w:ilvl w:val="1"/>
          <w:numId w:val="32"/>
        </w:numPr>
        <w:rPr>
          <w:color w:val="000000" w:themeColor="text1"/>
        </w:rPr>
      </w:pPr>
      <w:r w:rsidRPr="00C501FD">
        <w:rPr>
          <w:noProof/>
          <w:color w:val="000000" w:themeColor="text1"/>
        </w:rPr>
        <w:t xml:space="preserve">MYLO Guided with Speech will have </w:t>
      </w:r>
      <w:r w:rsidR="005233AD" w:rsidRPr="00C501FD">
        <w:rPr>
          <w:noProof/>
          <w:color w:val="000000" w:themeColor="text1"/>
        </w:rPr>
        <w:t xml:space="preserve">significantly </w:t>
      </w:r>
      <w:r w:rsidR="00BF5F66" w:rsidRPr="00C501FD">
        <w:rPr>
          <w:noProof/>
          <w:color w:val="000000" w:themeColor="text1"/>
        </w:rPr>
        <w:t>greater decrease</w:t>
      </w:r>
      <w:r w:rsidRPr="00C501FD">
        <w:rPr>
          <w:noProof/>
          <w:color w:val="000000" w:themeColor="text1"/>
        </w:rPr>
        <w:t xml:space="preserve"> </w:t>
      </w:r>
      <w:r w:rsidR="00BF5F66" w:rsidRPr="00C501FD">
        <w:rPr>
          <w:noProof/>
          <w:color w:val="000000" w:themeColor="text1"/>
        </w:rPr>
        <w:t xml:space="preserve">in </w:t>
      </w:r>
      <w:r w:rsidR="00C26504" w:rsidRPr="00C501FD">
        <w:rPr>
          <w:noProof/>
          <w:color w:val="000000" w:themeColor="text1"/>
        </w:rPr>
        <w:t xml:space="preserve">problem distress </w:t>
      </w:r>
      <w:r w:rsidRPr="00C501FD">
        <w:rPr>
          <w:noProof/>
          <w:color w:val="000000" w:themeColor="text1"/>
        </w:rPr>
        <w:t>scores than the other two MYLO groups.</w:t>
      </w:r>
    </w:p>
    <w:p w14:paraId="06B8295C" w14:textId="1FE38F36" w:rsidR="00BF5F66" w:rsidRPr="00C501FD" w:rsidRDefault="00BF5F66" w:rsidP="00BF5F66">
      <w:pPr>
        <w:pStyle w:val="ListParagraph"/>
        <w:numPr>
          <w:ilvl w:val="1"/>
          <w:numId w:val="32"/>
        </w:numPr>
        <w:rPr>
          <w:color w:val="000000" w:themeColor="text1"/>
        </w:rPr>
      </w:pPr>
      <w:r w:rsidRPr="00C501FD">
        <w:rPr>
          <w:noProof/>
          <w:color w:val="000000" w:themeColor="text1"/>
        </w:rPr>
        <w:t xml:space="preserve">MYLO Guided with Speech will have </w:t>
      </w:r>
      <w:r w:rsidR="005233AD" w:rsidRPr="00C501FD">
        <w:rPr>
          <w:noProof/>
          <w:color w:val="000000" w:themeColor="text1"/>
        </w:rPr>
        <w:t xml:space="preserve">significantly </w:t>
      </w:r>
      <w:r w:rsidRPr="00C501FD">
        <w:rPr>
          <w:noProof/>
          <w:color w:val="000000" w:themeColor="text1"/>
        </w:rPr>
        <w:t>greater decreased in depression scores than the other two MYLO groups.</w:t>
      </w:r>
    </w:p>
    <w:p w14:paraId="7B0D2285" w14:textId="10751EA5" w:rsidR="00BF5F66" w:rsidRPr="00C501FD" w:rsidRDefault="00BF5F66" w:rsidP="00D05298">
      <w:pPr>
        <w:pStyle w:val="ListParagraph"/>
        <w:numPr>
          <w:ilvl w:val="1"/>
          <w:numId w:val="32"/>
        </w:numPr>
        <w:rPr>
          <w:color w:val="000000" w:themeColor="text1"/>
        </w:rPr>
      </w:pPr>
      <w:r w:rsidRPr="00C501FD">
        <w:rPr>
          <w:noProof/>
          <w:color w:val="000000" w:themeColor="text1"/>
        </w:rPr>
        <w:t xml:space="preserve">MYLO Guided with Speech will have </w:t>
      </w:r>
      <w:r w:rsidR="005233AD" w:rsidRPr="00C501FD">
        <w:rPr>
          <w:noProof/>
          <w:color w:val="000000" w:themeColor="text1"/>
        </w:rPr>
        <w:t xml:space="preserve">significantly </w:t>
      </w:r>
      <w:r w:rsidRPr="00C501FD">
        <w:rPr>
          <w:noProof/>
          <w:color w:val="000000" w:themeColor="text1"/>
        </w:rPr>
        <w:t>greater decreased in anxiety scores than the other two MYLO groups.</w:t>
      </w:r>
    </w:p>
    <w:p w14:paraId="733A8D62" w14:textId="6201F4FC" w:rsidR="00771A36" w:rsidRPr="00C501FD" w:rsidRDefault="00F06936" w:rsidP="00771A36">
      <w:pPr>
        <w:pStyle w:val="ListParagraph"/>
        <w:numPr>
          <w:ilvl w:val="0"/>
          <w:numId w:val="32"/>
        </w:numPr>
        <w:rPr>
          <w:color w:val="000000" w:themeColor="text1"/>
        </w:rPr>
      </w:pPr>
      <w:r w:rsidRPr="00C501FD">
        <w:rPr>
          <w:color w:val="000000" w:themeColor="text1"/>
        </w:rPr>
        <w:t>Given that it is expected that the e</w:t>
      </w:r>
      <w:r w:rsidR="00111E4D" w:rsidRPr="00C501FD">
        <w:rPr>
          <w:color w:val="000000" w:themeColor="text1"/>
        </w:rPr>
        <w:t xml:space="preserve">nhanced interface features will make MYLO a more acceptable conversational agent for </w:t>
      </w:r>
      <w:r w:rsidR="00111E4D" w:rsidRPr="00C501FD">
        <w:rPr>
          <w:noProof/>
          <w:color w:val="000000" w:themeColor="text1"/>
        </w:rPr>
        <w:t>problem-solving</w:t>
      </w:r>
      <w:r w:rsidR="00111E4D" w:rsidRPr="00C501FD">
        <w:rPr>
          <w:color w:val="000000" w:themeColor="text1"/>
        </w:rPr>
        <w:t xml:space="preserve"> with older adults</w:t>
      </w:r>
      <w:r w:rsidR="00292DD8" w:rsidRPr="00C501FD">
        <w:rPr>
          <w:color w:val="000000" w:themeColor="text1"/>
        </w:rPr>
        <w:t xml:space="preserve">, it is </w:t>
      </w:r>
      <w:r w:rsidRPr="00C501FD">
        <w:rPr>
          <w:color w:val="000000" w:themeColor="text1"/>
        </w:rPr>
        <w:t xml:space="preserve">further </w:t>
      </w:r>
      <w:r w:rsidR="00292DD8" w:rsidRPr="00C501FD">
        <w:rPr>
          <w:color w:val="000000" w:themeColor="text1"/>
        </w:rPr>
        <w:t>hypothesised</w:t>
      </w:r>
      <w:r w:rsidRPr="00C501FD">
        <w:rPr>
          <w:color w:val="000000" w:themeColor="text1"/>
        </w:rPr>
        <w:t xml:space="preserve"> that</w:t>
      </w:r>
      <w:r w:rsidR="00292DD8" w:rsidRPr="00C501FD">
        <w:rPr>
          <w:color w:val="000000" w:themeColor="text1"/>
        </w:rPr>
        <w:t>:</w:t>
      </w:r>
    </w:p>
    <w:p w14:paraId="32DC614A" w14:textId="2490BA3C" w:rsidR="0035238D" w:rsidRPr="00C501FD" w:rsidRDefault="0035238D" w:rsidP="0035238D">
      <w:pPr>
        <w:pStyle w:val="ListParagraph"/>
        <w:numPr>
          <w:ilvl w:val="1"/>
          <w:numId w:val="32"/>
        </w:numPr>
        <w:rPr>
          <w:color w:val="000000" w:themeColor="text1"/>
        </w:rPr>
      </w:pPr>
      <w:r w:rsidRPr="00C501FD">
        <w:rPr>
          <w:noProof/>
          <w:color w:val="000000" w:themeColor="text1"/>
        </w:rPr>
        <w:t xml:space="preserve">MYLO Guided with Speech will have </w:t>
      </w:r>
      <w:r w:rsidR="00AF59BC" w:rsidRPr="00C501FD">
        <w:rPr>
          <w:noProof/>
          <w:color w:val="000000" w:themeColor="text1"/>
        </w:rPr>
        <w:t xml:space="preserve">significantly </w:t>
      </w:r>
      <w:r w:rsidRPr="00C501FD">
        <w:rPr>
          <w:noProof/>
          <w:color w:val="000000" w:themeColor="text1"/>
        </w:rPr>
        <w:t xml:space="preserve">higher </w:t>
      </w:r>
      <w:r w:rsidR="00AE0A99" w:rsidRPr="00C501FD">
        <w:rPr>
          <w:noProof/>
          <w:color w:val="000000" w:themeColor="text1"/>
        </w:rPr>
        <w:t>ratings</w:t>
      </w:r>
      <w:r w:rsidRPr="00C501FD">
        <w:rPr>
          <w:noProof/>
          <w:color w:val="000000" w:themeColor="text1"/>
        </w:rPr>
        <w:t xml:space="preserve"> of resolution than the other two MYLO groups</w:t>
      </w:r>
      <w:r w:rsidRPr="00C501FD">
        <w:rPr>
          <w:color w:val="000000" w:themeColor="text1"/>
        </w:rPr>
        <w:t>.</w:t>
      </w:r>
    </w:p>
    <w:p w14:paraId="4D39316C" w14:textId="627D341E" w:rsidR="00292DD8" w:rsidRPr="00C501FD" w:rsidRDefault="00BF5F66" w:rsidP="00D05298">
      <w:pPr>
        <w:pStyle w:val="ListParagraph"/>
        <w:numPr>
          <w:ilvl w:val="1"/>
          <w:numId w:val="32"/>
        </w:numPr>
        <w:rPr>
          <w:color w:val="000000" w:themeColor="text1"/>
        </w:rPr>
      </w:pPr>
      <w:r w:rsidRPr="00C501FD">
        <w:rPr>
          <w:noProof/>
          <w:color w:val="000000" w:themeColor="text1"/>
        </w:rPr>
        <w:t xml:space="preserve">MYLO Guided with Speech will have a </w:t>
      </w:r>
      <w:r w:rsidR="00AF59BC" w:rsidRPr="00C501FD">
        <w:rPr>
          <w:noProof/>
          <w:color w:val="000000" w:themeColor="text1"/>
        </w:rPr>
        <w:t xml:space="preserve">significantly </w:t>
      </w:r>
      <w:r w:rsidRPr="00C501FD">
        <w:rPr>
          <w:noProof/>
          <w:color w:val="000000" w:themeColor="text1"/>
        </w:rPr>
        <w:t>higher Net Promoter Score than the other two MYLO groups</w:t>
      </w:r>
      <w:r w:rsidRPr="00C501FD">
        <w:rPr>
          <w:color w:val="000000" w:themeColor="text1"/>
        </w:rPr>
        <w:t>.</w:t>
      </w:r>
    </w:p>
    <w:p w14:paraId="7392EF5A" w14:textId="1A58F12D" w:rsidR="00292DD8" w:rsidRPr="00C501FD" w:rsidRDefault="00F06936" w:rsidP="00771A36">
      <w:pPr>
        <w:pStyle w:val="ListParagraph"/>
        <w:numPr>
          <w:ilvl w:val="0"/>
          <w:numId w:val="32"/>
        </w:numPr>
        <w:rPr>
          <w:color w:val="000000" w:themeColor="text1"/>
        </w:rPr>
      </w:pPr>
      <w:r w:rsidRPr="00C501FD">
        <w:rPr>
          <w:color w:val="000000" w:themeColor="text1"/>
        </w:rPr>
        <w:t>It is expected that the e</w:t>
      </w:r>
      <w:r w:rsidR="00111E4D" w:rsidRPr="00C501FD">
        <w:rPr>
          <w:color w:val="000000" w:themeColor="text1"/>
        </w:rPr>
        <w:t>nhanced interface features will result in MYLO having higher system usability</w:t>
      </w:r>
      <w:r w:rsidRPr="00C501FD">
        <w:rPr>
          <w:color w:val="000000" w:themeColor="text1"/>
        </w:rPr>
        <w:t>. It is therefore hypothesised that:</w:t>
      </w:r>
    </w:p>
    <w:p w14:paraId="6994587E" w14:textId="18E2EBF2" w:rsidR="00292DD8" w:rsidRPr="00C501FD" w:rsidRDefault="00292DD8" w:rsidP="00292DD8">
      <w:pPr>
        <w:pStyle w:val="ListParagraph"/>
        <w:numPr>
          <w:ilvl w:val="1"/>
          <w:numId w:val="32"/>
        </w:numPr>
        <w:rPr>
          <w:color w:val="000000" w:themeColor="text1"/>
        </w:rPr>
      </w:pPr>
      <w:r w:rsidRPr="00C501FD">
        <w:rPr>
          <w:noProof/>
          <w:color w:val="000000" w:themeColor="text1"/>
        </w:rPr>
        <w:t xml:space="preserve">MYLO Guided with Speech will have </w:t>
      </w:r>
      <w:r w:rsidR="00AF59BC" w:rsidRPr="00C501FD">
        <w:rPr>
          <w:noProof/>
          <w:color w:val="000000" w:themeColor="text1"/>
        </w:rPr>
        <w:t xml:space="preserve">significantly </w:t>
      </w:r>
      <w:r w:rsidRPr="00C501FD">
        <w:rPr>
          <w:color w:val="000000" w:themeColor="text1"/>
        </w:rPr>
        <w:t>higher system usability score</w:t>
      </w:r>
      <w:r w:rsidR="00F06936" w:rsidRPr="00C501FD">
        <w:rPr>
          <w:color w:val="000000" w:themeColor="text1"/>
        </w:rPr>
        <w:t>s</w:t>
      </w:r>
      <w:r w:rsidRPr="00C501FD">
        <w:rPr>
          <w:noProof/>
          <w:color w:val="000000" w:themeColor="text1"/>
        </w:rPr>
        <w:t xml:space="preserve"> than the other two MYLO groups.</w:t>
      </w:r>
    </w:p>
    <w:p w14:paraId="728A32F5" w14:textId="7B65DA26" w:rsidR="000127A6" w:rsidRPr="00C501FD" w:rsidRDefault="000127A6" w:rsidP="00771A36">
      <w:pPr>
        <w:pStyle w:val="ListParagraph"/>
        <w:numPr>
          <w:ilvl w:val="0"/>
          <w:numId w:val="32"/>
        </w:numPr>
        <w:rPr>
          <w:color w:val="000000" w:themeColor="text1"/>
        </w:rPr>
      </w:pPr>
      <w:r w:rsidRPr="00C501FD">
        <w:rPr>
          <w:color w:val="000000" w:themeColor="text1"/>
        </w:rPr>
        <w:lastRenderedPageBreak/>
        <w:t>A</w:t>
      </w:r>
      <w:r w:rsidR="00111E4D" w:rsidRPr="00C501FD">
        <w:rPr>
          <w:color w:val="000000" w:themeColor="text1"/>
        </w:rPr>
        <w:t xml:space="preserve">dding </w:t>
      </w:r>
      <w:r w:rsidR="00111E4D" w:rsidRPr="00C501FD">
        <w:rPr>
          <w:noProof/>
          <w:color w:val="000000" w:themeColor="text1"/>
        </w:rPr>
        <w:t>introductory</w:t>
      </w:r>
      <w:r w:rsidR="00111E4D" w:rsidRPr="00C501FD">
        <w:rPr>
          <w:color w:val="000000" w:themeColor="text1"/>
        </w:rPr>
        <w:t xml:space="preserve"> guidance </w:t>
      </w:r>
      <w:r w:rsidRPr="00C501FD">
        <w:rPr>
          <w:color w:val="000000" w:themeColor="text1"/>
        </w:rPr>
        <w:t>to</w:t>
      </w:r>
      <w:r w:rsidR="00111E4D" w:rsidRPr="00C501FD">
        <w:rPr>
          <w:color w:val="000000" w:themeColor="text1"/>
        </w:rPr>
        <w:t xml:space="preserve"> MYLO</w:t>
      </w:r>
      <w:r w:rsidRPr="00C501FD">
        <w:rPr>
          <w:color w:val="000000" w:themeColor="text1"/>
        </w:rPr>
        <w:t xml:space="preserve"> regarding</w:t>
      </w:r>
      <w:r w:rsidR="00111E4D" w:rsidRPr="00C501FD">
        <w:rPr>
          <w:color w:val="000000" w:themeColor="text1"/>
        </w:rPr>
        <w:t xml:space="preserve"> what it can and cannot do</w:t>
      </w:r>
      <w:r w:rsidRPr="00C501FD">
        <w:rPr>
          <w:color w:val="000000" w:themeColor="text1"/>
        </w:rPr>
        <w:t>, along with details regarding</w:t>
      </w:r>
      <w:r w:rsidR="00111E4D" w:rsidRPr="00C501FD">
        <w:rPr>
          <w:color w:val="000000" w:themeColor="text1"/>
        </w:rPr>
        <w:t xml:space="preserve"> and the underlying MOL therapy</w:t>
      </w:r>
      <w:r w:rsidRPr="00C501FD">
        <w:rPr>
          <w:color w:val="000000" w:themeColor="text1"/>
        </w:rPr>
        <w:t xml:space="preserve"> </w:t>
      </w:r>
      <w:r w:rsidR="00F06936" w:rsidRPr="00C501FD">
        <w:rPr>
          <w:color w:val="000000" w:themeColor="text1"/>
        </w:rPr>
        <w:t xml:space="preserve">is expected to </w:t>
      </w:r>
      <w:r w:rsidRPr="00C501FD">
        <w:rPr>
          <w:color w:val="000000" w:themeColor="text1"/>
        </w:rPr>
        <w:t>result in participants having higher treatment expectancy and credibility</w:t>
      </w:r>
      <w:r w:rsidR="00F06936" w:rsidRPr="00C501FD">
        <w:rPr>
          <w:color w:val="000000" w:themeColor="text1"/>
        </w:rPr>
        <w:t>. It</w:t>
      </w:r>
      <w:r w:rsidRPr="00C501FD">
        <w:rPr>
          <w:color w:val="000000" w:themeColor="text1"/>
        </w:rPr>
        <w:t xml:space="preserve"> is</w:t>
      </w:r>
      <w:r w:rsidR="00F06936" w:rsidRPr="00C501FD">
        <w:rPr>
          <w:color w:val="000000" w:themeColor="text1"/>
        </w:rPr>
        <w:t xml:space="preserve"> therefore</w:t>
      </w:r>
      <w:r w:rsidRPr="00C501FD">
        <w:rPr>
          <w:color w:val="000000" w:themeColor="text1"/>
        </w:rPr>
        <w:t xml:space="preserve"> hypothesised</w:t>
      </w:r>
      <w:r w:rsidR="00F06936" w:rsidRPr="00C501FD">
        <w:rPr>
          <w:color w:val="000000" w:themeColor="text1"/>
        </w:rPr>
        <w:t xml:space="preserve"> that</w:t>
      </w:r>
      <w:r w:rsidRPr="00C501FD">
        <w:rPr>
          <w:color w:val="000000" w:themeColor="text1"/>
        </w:rPr>
        <w:t>:</w:t>
      </w:r>
    </w:p>
    <w:p w14:paraId="27391698" w14:textId="2EBA67FA" w:rsidR="00AE0A99" w:rsidRPr="00C501FD" w:rsidRDefault="00AE0A99" w:rsidP="00AE0A99">
      <w:pPr>
        <w:pStyle w:val="ListParagraph"/>
        <w:numPr>
          <w:ilvl w:val="1"/>
          <w:numId w:val="32"/>
        </w:numPr>
        <w:rPr>
          <w:color w:val="000000" w:themeColor="text1"/>
        </w:rPr>
      </w:pPr>
      <w:r w:rsidRPr="00C501FD">
        <w:rPr>
          <w:noProof/>
          <w:color w:val="000000" w:themeColor="text1"/>
        </w:rPr>
        <w:t xml:space="preserve">MYLO Guided with Speech will have </w:t>
      </w:r>
      <w:r w:rsidR="00CE25B5" w:rsidRPr="00C501FD">
        <w:rPr>
          <w:noProof/>
          <w:color w:val="000000" w:themeColor="text1"/>
        </w:rPr>
        <w:t xml:space="preserve">significantly </w:t>
      </w:r>
      <w:r w:rsidRPr="00C501FD">
        <w:rPr>
          <w:noProof/>
          <w:color w:val="000000" w:themeColor="text1"/>
        </w:rPr>
        <w:t xml:space="preserve">greater </w:t>
      </w:r>
      <w:r w:rsidRPr="00C501FD">
        <w:rPr>
          <w:color w:val="000000" w:themeColor="text1"/>
        </w:rPr>
        <w:t>pre-intervention expectancy</w:t>
      </w:r>
      <w:r w:rsidRPr="00C501FD">
        <w:rPr>
          <w:noProof/>
          <w:color w:val="000000" w:themeColor="text1"/>
        </w:rPr>
        <w:t xml:space="preserve"> scores than the other two MYLO groups.</w:t>
      </w:r>
    </w:p>
    <w:p w14:paraId="34CA409D" w14:textId="20E46A3D" w:rsidR="00AE0A99" w:rsidRPr="00C501FD" w:rsidRDefault="00AE0A99" w:rsidP="00AE0A99">
      <w:pPr>
        <w:pStyle w:val="ListParagraph"/>
        <w:numPr>
          <w:ilvl w:val="1"/>
          <w:numId w:val="32"/>
        </w:numPr>
        <w:rPr>
          <w:color w:val="000000" w:themeColor="text1"/>
        </w:rPr>
      </w:pPr>
      <w:r w:rsidRPr="00C501FD">
        <w:rPr>
          <w:noProof/>
          <w:color w:val="000000" w:themeColor="text1"/>
        </w:rPr>
        <w:t xml:space="preserve">MYLO Guided with Speech will have </w:t>
      </w:r>
      <w:r w:rsidR="00566058" w:rsidRPr="00C501FD">
        <w:rPr>
          <w:noProof/>
          <w:color w:val="000000" w:themeColor="text1"/>
        </w:rPr>
        <w:t xml:space="preserve">significantly </w:t>
      </w:r>
      <w:r w:rsidRPr="00C501FD">
        <w:rPr>
          <w:noProof/>
          <w:color w:val="000000" w:themeColor="text1"/>
        </w:rPr>
        <w:t xml:space="preserve">greater </w:t>
      </w:r>
      <w:r w:rsidRPr="00C501FD">
        <w:rPr>
          <w:color w:val="000000" w:themeColor="text1"/>
        </w:rPr>
        <w:t xml:space="preserve">pre-intervention credibility </w:t>
      </w:r>
      <w:r w:rsidRPr="00C501FD">
        <w:rPr>
          <w:noProof/>
          <w:color w:val="000000" w:themeColor="text1"/>
        </w:rPr>
        <w:t>scores than the other two MYLO groups.</w:t>
      </w:r>
    </w:p>
    <w:p w14:paraId="6726BC61" w14:textId="2C87D536" w:rsidR="00C92D47" w:rsidRPr="00C501FD" w:rsidRDefault="00223455" w:rsidP="000127A6">
      <w:pPr>
        <w:pStyle w:val="ListParagraph"/>
        <w:numPr>
          <w:ilvl w:val="0"/>
          <w:numId w:val="32"/>
        </w:numPr>
        <w:rPr>
          <w:color w:val="000000" w:themeColor="text1"/>
        </w:rPr>
      </w:pPr>
      <w:r w:rsidRPr="00C501FD">
        <w:rPr>
          <w:color w:val="000000" w:themeColor="text1"/>
        </w:rPr>
        <w:t>It is expected that u</w:t>
      </w:r>
      <w:r w:rsidR="00111E4D" w:rsidRPr="00C501FD">
        <w:rPr>
          <w:color w:val="000000" w:themeColor="text1"/>
        </w:rPr>
        <w:t xml:space="preserve">sability will </w:t>
      </w:r>
      <w:r w:rsidR="0044675E" w:rsidRPr="00C501FD">
        <w:rPr>
          <w:color w:val="000000" w:themeColor="text1"/>
        </w:rPr>
        <w:t xml:space="preserve">only be largely </w:t>
      </w:r>
      <w:r w:rsidR="00111E4D" w:rsidRPr="00C501FD">
        <w:rPr>
          <w:color w:val="000000" w:themeColor="text1"/>
        </w:rPr>
        <w:t xml:space="preserve">positively related </w:t>
      </w:r>
      <w:r w:rsidR="00C92D47" w:rsidRPr="00C501FD">
        <w:rPr>
          <w:color w:val="000000" w:themeColor="text1"/>
        </w:rPr>
        <w:t xml:space="preserve">only </w:t>
      </w:r>
      <w:r w:rsidR="00111E4D" w:rsidRPr="00C501FD">
        <w:rPr>
          <w:color w:val="000000" w:themeColor="text1"/>
        </w:rPr>
        <w:t xml:space="preserve">to </w:t>
      </w:r>
      <w:r w:rsidR="00111E4D" w:rsidRPr="00C501FD">
        <w:rPr>
          <w:color w:val="000000" w:themeColor="text1"/>
          <w:shd w:val="clear" w:color="auto" w:fill="FFFFFF"/>
        </w:rPr>
        <w:t>agreement on the tasks of therapy</w:t>
      </w:r>
      <w:r w:rsidR="00AE0A99" w:rsidRPr="00C501FD">
        <w:rPr>
          <w:color w:val="000000" w:themeColor="text1"/>
          <w:shd w:val="clear" w:color="auto" w:fill="FFFFFF"/>
        </w:rPr>
        <w:t xml:space="preserve"> on the Working Alliance Inventory</w:t>
      </w:r>
      <w:r w:rsidRPr="00C501FD">
        <w:rPr>
          <w:color w:val="000000" w:themeColor="text1"/>
          <w:shd w:val="clear" w:color="auto" w:fill="FFFFFF"/>
        </w:rPr>
        <w:t xml:space="preserve">. </w:t>
      </w:r>
      <w:r w:rsidR="002E5C09" w:rsidRPr="00C501FD">
        <w:rPr>
          <w:color w:val="000000" w:themeColor="text1"/>
          <w:shd w:val="clear" w:color="auto" w:fill="FFFFFF"/>
        </w:rPr>
        <w:t xml:space="preserve"> </w:t>
      </w:r>
      <w:r w:rsidRPr="00C501FD">
        <w:rPr>
          <w:color w:val="000000" w:themeColor="text1"/>
          <w:shd w:val="clear" w:color="auto" w:fill="FFFFFF"/>
        </w:rPr>
        <w:t>B</w:t>
      </w:r>
      <w:r w:rsidR="00C92D47" w:rsidRPr="00C501FD">
        <w:rPr>
          <w:color w:val="000000" w:themeColor="text1"/>
          <w:shd w:val="clear" w:color="auto" w:fill="FFFFFF"/>
        </w:rPr>
        <w:t xml:space="preserve">ased on the data </w:t>
      </w:r>
      <w:r w:rsidR="002E5C09" w:rsidRPr="00C501FD">
        <w:rPr>
          <w:color w:val="000000" w:themeColor="text1"/>
          <w:shd w:val="clear" w:color="auto" w:fill="FFFFFF"/>
        </w:rPr>
        <w:t>of</w:t>
      </w:r>
      <w:r w:rsidR="00C92D47" w:rsidRPr="00C501FD">
        <w:rPr>
          <w:color w:val="000000" w:themeColor="text1"/>
          <w:shd w:val="clear" w:color="auto" w:fill="FFFFFF"/>
        </w:rPr>
        <w:t xml:space="preserve"> all 3 groups it </w:t>
      </w:r>
      <w:r w:rsidR="002E5C09" w:rsidRPr="00C501FD">
        <w:rPr>
          <w:color w:val="000000" w:themeColor="text1"/>
          <w:shd w:val="clear" w:color="auto" w:fill="FFFFFF"/>
        </w:rPr>
        <w:t xml:space="preserve">is </w:t>
      </w:r>
      <w:r w:rsidR="00C92D47" w:rsidRPr="00C501FD">
        <w:rPr>
          <w:color w:val="000000" w:themeColor="text1"/>
          <w:shd w:val="clear" w:color="auto" w:fill="FFFFFF"/>
        </w:rPr>
        <w:t>hypothesised that:</w:t>
      </w:r>
    </w:p>
    <w:p w14:paraId="711B6D46" w14:textId="38CE3DB7" w:rsidR="002E5C09" w:rsidRPr="00C501FD" w:rsidRDefault="00C92D47" w:rsidP="002E5C09">
      <w:pPr>
        <w:pStyle w:val="ListParagraph"/>
        <w:numPr>
          <w:ilvl w:val="1"/>
          <w:numId w:val="32"/>
        </w:numPr>
        <w:rPr>
          <w:color w:val="000000" w:themeColor="text1"/>
        </w:rPr>
      </w:pPr>
      <w:r w:rsidRPr="00C501FD">
        <w:rPr>
          <w:color w:val="000000" w:themeColor="text1"/>
          <w:shd w:val="clear" w:color="auto" w:fill="FFFFFF"/>
        </w:rPr>
        <w:t>The</w:t>
      </w:r>
      <w:r w:rsidR="00C26504" w:rsidRPr="00C501FD">
        <w:rPr>
          <w:color w:val="000000" w:themeColor="text1"/>
          <w:shd w:val="clear" w:color="auto" w:fill="FFFFFF"/>
        </w:rPr>
        <w:t xml:space="preserve"> </w:t>
      </w:r>
      <w:r w:rsidRPr="00C501FD">
        <w:rPr>
          <w:color w:val="000000" w:themeColor="text1"/>
          <w:shd w:val="clear" w:color="auto" w:fill="FFFFFF"/>
        </w:rPr>
        <w:t>overall</w:t>
      </w:r>
      <w:r w:rsidR="00C26504" w:rsidRPr="00C501FD">
        <w:rPr>
          <w:color w:val="000000" w:themeColor="text1"/>
          <w:shd w:val="clear" w:color="auto" w:fill="FFFFFF"/>
        </w:rPr>
        <w:t xml:space="preserve"> </w:t>
      </w:r>
      <w:r w:rsidR="00D63E4B" w:rsidRPr="00C501FD">
        <w:rPr>
          <w:color w:val="000000" w:themeColor="text1"/>
          <w:shd w:val="clear" w:color="auto" w:fill="FFFFFF"/>
        </w:rPr>
        <w:t>Work Alliance Inventory</w:t>
      </w:r>
      <w:r w:rsidRPr="00C501FD">
        <w:rPr>
          <w:color w:val="000000" w:themeColor="text1"/>
          <w:shd w:val="clear" w:color="auto" w:fill="FFFFFF"/>
        </w:rPr>
        <w:t xml:space="preserve"> will have a positive correlation with </w:t>
      </w:r>
      <w:r w:rsidR="002E5C09" w:rsidRPr="00C501FD">
        <w:rPr>
          <w:color w:val="000000" w:themeColor="text1"/>
          <w:shd w:val="clear" w:color="auto" w:fill="FFFFFF"/>
        </w:rPr>
        <w:t>SUS scores</w:t>
      </w:r>
      <w:r w:rsidR="002E5C09" w:rsidRPr="00C501FD">
        <w:rPr>
          <w:color w:val="000000" w:themeColor="text1"/>
        </w:rPr>
        <w:t>.</w:t>
      </w:r>
    </w:p>
    <w:p w14:paraId="288CA7E0" w14:textId="1198A88A" w:rsidR="002E5C09" w:rsidRPr="00C501FD" w:rsidRDefault="00C92D47" w:rsidP="00D05298">
      <w:pPr>
        <w:pStyle w:val="ListParagraph"/>
        <w:numPr>
          <w:ilvl w:val="1"/>
          <w:numId w:val="32"/>
        </w:numPr>
        <w:rPr>
          <w:color w:val="000000" w:themeColor="text1"/>
        </w:rPr>
      </w:pPr>
      <w:r w:rsidRPr="00C501FD">
        <w:rPr>
          <w:color w:val="000000" w:themeColor="text1"/>
          <w:shd w:val="clear" w:color="auto" w:fill="FFFFFF"/>
        </w:rPr>
        <w:t xml:space="preserve">The task element of the Work Alliance Inventory will have a positive correlation </w:t>
      </w:r>
      <w:r w:rsidR="002E5C09" w:rsidRPr="00C501FD">
        <w:rPr>
          <w:color w:val="000000" w:themeColor="text1"/>
          <w:shd w:val="clear" w:color="auto" w:fill="FFFFFF"/>
        </w:rPr>
        <w:t>with SUS scores</w:t>
      </w:r>
      <w:r w:rsidR="002E5C09" w:rsidRPr="00C501FD">
        <w:rPr>
          <w:color w:val="000000" w:themeColor="text1"/>
        </w:rPr>
        <w:t>.</w:t>
      </w:r>
    </w:p>
    <w:p w14:paraId="16E53BC2" w14:textId="3C79FA4A" w:rsidR="002E5C09" w:rsidRPr="00C501FD" w:rsidRDefault="00C92D47" w:rsidP="00D05298">
      <w:pPr>
        <w:pStyle w:val="ListParagraph"/>
        <w:numPr>
          <w:ilvl w:val="1"/>
          <w:numId w:val="32"/>
        </w:numPr>
        <w:rPr>
          <w:color w:val="000000" w:themeColor="text1"/>
        </w:rPr>
      </w:pPr>
      <w:r w:rsidRPr="00C501FD">
        <w:rPr>
          <w:color w:val="000000" w:themeColor="text1"/>
          <w:shd w:val="clear" w:color="auto" w:fill="FFFFFF"/>
        </w:rPr>
        <w:t xml:space="preserve">The goal element of the Work Alliance Inventory will have a positive correlation </w:t>
      </w:r>
      <w:r w:rsidR="002E5C09" w:rsidRPr="00C501FD">
        <w:rPr>
          <w:color w:val="000000" w:themeColor="text1"/>
          <w:shd w:val="clear" w:color="auto" w:fill="FFFFFF"/>
        </w:rPr>
        <w:t>with SUS scores</w:t>
      </w:r>
      <w:r w:rsidR="002E5C09" w:rsidRPr="00C501FD">
        <w:rPr>
          <w:color w:val="000000" w:themeColor="text1"/>
        </w:rPr>
        <w:t>.</w:t>
      </w:r>
    </w:p>
    <w:p w14:paraId="6F8CD867" w14:textId="2F0EC2C7" w:rsidR="00C92D47" w:rsidRPr="00C501FD" w:rsidRDefault="00C92D47" w:rsidP="00D05298">
      <w:pPr>
        <w:pStyle w:val="ListParagraph"/>
        <w:numPr>
          <w:ilvl w:val="1"/>
          <w:numId w:val="32"/>
        </w:numPr>
        <w:rPr>
          <w:color w:val="000000" w:themeColor="text1"/>
        </w:rPr>
      </w:pPr>
      <w:r w:rsidRPr="00C501FD">
        <w:rPr>
          <w:color w:val="000000" w:themeColor="text1"/>
          <w:shd w:val="clear" w:color="auto" w:fill="FFFFFF"/>
        </w:rPr>
        <w:t xml:space="preserve">The bond element of the Work Alliance Inventory will have a positive correlation with </w:t>
      </w:r>
      <w:r w:rsidR="002E5C09" w:rsidRPr="00C501FD">
        <w:rPr>
          <w:color w:val="000000" w:themeColor="text1"/>
          <w:shd w:val="clear" w:color="auto" w:fill="FFFFFF"/>
        </w:rPr>
        <w:t>SUS scores</w:t>
      </w:r>
      <w:r w:rsidRPr="00C501FD">
        <w:rPr>
          <w:color w:val="000000" w:themeColor="text1"/>
        </w:rPr>
        <w:t>.</w:t>
      </w:r>
    </w:p>
    <w:p w14:paraId="2F3E8FC6" w14:textId="6483BAAD" w:rsidR="00111E4D" w:rsidRPr="00C501FD" w:rsidRDefault="00223455" w:rsidP="002E5C09">
      <w:pPr>
        <w:pStyle w:val="ListParagraph"/>
        <w:numPr>
          <w:ilvl w:val="0"/>
          <w:numId w:val="32"/>
        </w:numPr>
        <w:rPr>
          <w:color w:val="000000" w:themeColor="text1"/>
        </w:rPr>
      </w:pPr>
      <w:r w:rsidRPr="00C501FD">
        <w:rPr>
          <w:color w:val="000000" w:themeColor="text1"/>
        </w:rPr>
        <w:t>It is further expected that u</w:t>
      </w:r>
      <w:r w:rsidR="00C92D47" w:rsidRPr="00C501FD">
        <w:rPr>
          <w:color w:val="000000" w:themeColor="text1"/>
        </w:rPr>
        <w:t xml:space="preserve">sability </w:t>
      </w:r>
      <w:r w:rsidR="00111E4D" w:rsidRPr="00C501FD">
        <w:rPr>
          <w:color w:val="000000" w:themeColor="text1"/>
        </w:rPr>
        <w:t xml:space="preserve">will </w:t>
      </w:r>
      <w:r w:rsidR="00111E4D" w:rsidRPr="00C501FD">
        <w:rPr>
          <w:noProof/>
          <w:color w:val="000000" w:themeColor="text1"/>
        </w:rPr>
        <w:t>be positively associated</w:t>
      </w:r>
      <w:r w:rsidR="00111E4D" w:rsidRPr="00C501FD">
        <w:rPr>
          <w:color w:val="000000" w:themeColor="text1"/>
        </w:rPr>
        <w:t xml:space="preserve"> with higher ratings of treatment credibility</w:t>
      </w:r>
      <w:r w:rsidRPr="00C501FD">
        <w:rPr>
          <w:color w:val="000000" w:themeColor="text1"/>
        </w:rPr>
        <w:t>.</w:t>
      </w:r>
      <w:r w:rsidR="002E5C09" w:rsidRPr="00C501FD">
        <w:rPr>
          <w:color w:val="000000" w:themeColor="text1"/>
        </w:rPr>
        <w:t xml:space="preserve"> </w:t>
      </w:r>
      <w:r w:rsidRPr="00C501FD">
        <w:rPr>
          <w:color w:val="000000" w:themeColor="text1"/>
          <w:shd w:val="clear" w:color="auto" w:fill="FFFFFF"/>
        </w:rPr>
        <w:t>B</w:t>
      </w:r>
      <w:r w:rsidR="002E5C09" w:rsidRPr="00C501FD">
        <w:rPr>
          <w:color w:val="000000" w:themeColor="text1"/>
          <w:shd w:val="clear" w:color="auto" w:fill="FFFFFF"/>
        </w:rPr>
        <w:t>ased on the data of all 3 groups it is hypothesised that:</w:t>
      </w:r>
    </w:p>
    <w:p w14:paraId="251FB81D" w14:textId="40EBA01F" w:rsidR="002E5C09" w:rsidRPr="00C501FD" w:rsidRDefault="002E5C09" w:rsidP="00223455">
      <w:pPr>
        <w:pStyle w:val="ListParagraph"/>
        <w:numPr>
          <w:ilvl w:val="1"/>
          <w:numId w:val="32"/>
        </w:numPr>
        <w:rPr>
          <w:color w:val="000000" w:themeColor="text1"/>
        </w:rPr>
      </w:pPr>
      <w:r w:rsidRPr="00C501FD">
        <w:rPr>
          <w:color w:val="000000" w:themeColor="text1"/>
          <w:shd w:val="clear" w:color="auto" w:fill="FFFFFF"/>
        </w:rPr>
        <w:t>The System Usability Scale (SUS) will have a positive correlation with perceived treatment credibility.</w:t>
      </w:r>
    </w:p>
    <w:p w14:paraId="0E1E6FEE" w14:textId="77777777" w:rsidR="00111E4D" w:rsidRDefault="00111E4D" w:rsidP="00111E4D">
      <w:pPr>
        <w:pStyle w:val="Heading3"/>
      </w:pPr>
      <w:bookmarkStart w:id="464" w:name="_Toc530598210"/>
      <w:bookmarkStart w:id="465" w:name="_Toc530660563"/>
      <w:bookmarkStart w:id="466" w:name="_Toc3538165"/>
      <w:bookmarkEnd w:id="463"/>
      <w:r>
        <w:t>Main Study</w:t>
      </w:r>
      <w:bookmarkEnd w:id="464"/>
      <w:bookmarkEnd w:id="465"/>
      <w:bookmarkEnd w:id="466"/>
      <w:r>
        <w:t xml:space="preserve"> </w:t>
      </w:r>
    </w:p>
    <w:p w14:paraId="40B8BE80" w14:textId="7815E3D9" w:rsidR="00111E4D" w:rsidRPr="00A97243" w:rsidRDefault="00111E4D" w:rsidP="00111E4D">
      <w:bookmarkStart w:id="467" w:name="_Hlk529889211"/>
      <w:r>
        <w:t xml:space="preserve">In this study, the following interventions are compared: </w:t>
      </w:r>
      <w:proofErr w:type="spellStart"/>
      <w:r>
        <w:t>i</w:t>
      </w:r>
      <w:proofErr w:type="spellEnd"/>
      <w:r>
        <w:t xml:space="preserve">) the MYLO software previously used in </w:t>
      </w:r>
      <w:r w:rsidR="004C4A0A">
        <w:t>C</w:t>
      </w:r>
      <w:r>
        <w:t xml:space="preserve">hapter </w:t>
      </w:r>
      <w:r w:rsidR="004C4A0A">
        <w:t>five</w:t>
      </w:r>
      <w:r>
        <w:t xml:space="preserve">, from herein referred to as ‘M’; ii) MYLO Guided, an enhanced version of the MYLO software from </w:t>
      </w:r>
      <w:r w:rsidR="004C4A0A">
        <w:t>C</w:t>
      </w:r>
      <w:r>
        <w:t xml:space="preserve">hapter </w:t>
      </w:r>
      <w:r w:rsidR="00B00D07">
        <w:t>five, with</w:t>
      </w:r>
      <w:r>
        <w:t xml:space="preserve"> the addition of introductory guidance and instructions about MYLO and the underlying MOL therapy, herein referred to as M+G; and iii) MYLO Guided with Speech, an enhanced version of M+G, with the addition of synthesised speech that reads the onscreen text aloud to the participant during the introduction, instructions and conversation, herein referred to as M+G+S.</w:t>
      </w:r>
    </w:p>
    <w:p w14:paraId="0A710174" w14:textId="77777777" w:rsidR="00111E4D" w:rsidRPr="00F9606D" w:rsidRDefault="00111E4D" w:rsidP="00111E4D">
      <w:pPr>
        <w:pStyle w:val="Heading2"/>
      </w:pPr>
      <w:bookmarkStart w:id="468" w:name="_Toc530598211"/>
      <w:bookmarkStart w:id="469" w:name="_Toc530660564"/>
      <w:bookmarkStart w:id="470" w:name="_Toc3538166"/>
      <w:bookmarkEnd w:id="467"/>
      <w:r>
        <w:t>Method</w:t>
      </w:r>
      <w:bookmarkEnd w:id="468"/>
      <w:bookmarkEnd w:id="469"/>
      <w:bookmarkEnd w:id="470"/>
    </w:p>
    <w:p w14:paraId="2C518786" w14:textId="77777777" w:rsidR="00111E4D" w:rsidRDefault="00111E4D" w:rsidP="00111E4D">
      <w:pPr>
        <w:pStyle w:val="Heading3"/>
      </w:pPr>
      <w:bookmarkStart w:id="471" w:name="_Toc530598212"/>
      <w:bookmarkStart w:id="472" w:name="_Toc530660565"/>
      <w:bookmarkStart w:id="473" w:name="_Toc3538167"/>
      <w:r>
        <w:t>Participants</w:t>
      </w:r>
      <w:bookmarkEnd w:id="471"/>
      <w:bookmarkEnd w:id="472"/>
      <w:bookmarkEnd w:id="473"/>
    </w:p>
    <w:p w14:paraId="4EC8E4FD" w14:textId="5EC06542" w:rsidR="00111E4D" w:rsidRDefault="00111E4D" w:rsidP="00111E4D">
      <w:r>
        <w:t xml:space="preserve">Ninety-four participants responded to the flyer and </w:t>
      </w:r>
      <w:r w:rsidRPr="00E263B8">
        <w:rPr>
          <w:noProof/>
        </w:rPr>
        <w:t>were recruited</w:t>
      </w:r>
      <w:r>
        <w:t xml:space="preserve"> into the study.  Participants were requested to have a problem that was currently causing them distress and that they were willing to disclose to a computer program</w:t>
      </w:r>
      <w:r w:rsidRPr="00E263B8">
        <w:rPr>
          <w:noProof/>
        </w:rPr>
        <w:t>.</w:t>
      </w:r>
      <w:r>
        <w:rPr>
          <w:noProof/>
        </w:rPr>
        <w:t xml:space="preserve">  </w:t>
      </w:r>
      <w:r w:rsidRPr="00E263B8">
        <w:rPr>
          <w:noProof/>
        </w:rPr>
        <w:t>Further</w:t>
      </w:r>
      <w:r>
        <w:t xml:space="preserve"> inclusion criteria required participants to be aged 50 years or above and to be able to read and hear clearly (with glasses or hearing aids if needed) and have access to a suitable computer, with headphones or speakers.  At the </w:t>
      </w:r>
      <w:r w:rsidRPr="00B356A7">
        <w:rPr>
          <w:noProof/>
        </w:rPr>
        <w:t>randomisation</w:t>
      </w:r>
      <w:r>
        <w:t xml:space="preserve"> stage of the </w:t>
      </w:r>
      <w:r w:rsidRPr="008F70E4">
        <w:rPr>
          <w:noProof/>
        </w:rPr>
        <w:t>study</w:t>
      </w:r>
      <w:r>
        <w:rPr>
          <w:noProof/>
        </w:rPr>
        <w:t>,</w:t>
      </w:r>
      <w:r>
        <w:t xml:space="preserve"> 94 participants </w:t>
      </w:r>
      <w:r w:rsidRPr="00E263B8">
        <w:rPr>
          <w:noProof/>
        </w:rPr>
        <w:t>were randomised</w:t>
      </w:r>
      <w:r>
        <w:t xml:space="preserve">.  The </w:t>
      </w:r>
      <w:r w:rsidRPr="00B356A7">
        <w:rPr>
          <w:noProof/>
        </w:rPr>
        <w:t>randomisation</w:t>
      </w:r>
      <w:r>
        <w:t xml:space="preserve"> groups were relatively even at baseline with 33 allocated to the M group, 30 to the M+G group </w:t>
      </w:r>
      <w:r>
        <w:lastRenderedPageBreak/>
        <w:t xml:space="preserve">and 31 to the M+G+S group.  At </w:t>
      </w:r>
      <w:r w:rsidRPr="00B356A7">
        <w:rPr>
          <w:noProof/>
        </w:rPr>
        <w:t>post</w:t>
      </w:r>
      <w:r>
        <w:rPr>
          <w:noProof/>
        </w:rPr>
        <w:t>-</w:t>
      </w:r>
      <w:r w:rsidRPr="00B356A7">
        <w:rPr>
          <w:noProof/>
        </w:rPr>
        <w:t>intervention</w:t>
      </w:r>
      <w:r>
        <w:t xml:space="preserve"> </w:t>
      </w:r>
      <w:r>
        <w:rPr>
          <w:noProof/>
        </w:rPr>
        <w:t>4</w:t>
      </w:r>
      <w:r>
        <w:t xml:space="preserve"> had dropped out from the M group, 4 in the M+G group and 1 in the M+G+S group.  At 2-week follow-up </w:t>
      </w:r>
      <w:r>
        <w:rPr>
          <w:noProof/>
        </w:rPr>
        <w:t>two</w:t>
      </w:r>
      <w:r>
        <w:t xml:space="preserve"> were lost to follow-up in the M+G group and 3 in the M+G+S group.  A study flow diagram is provided below in </w:t>
      </w:r>
      <w:r>
        <w:fldChar w:fldCharType="begin"/>
      </w:r>
      <w:r>
        <w:instrText xml:space="preserve"> REF _Ref528329570 \h </w:instrText>
      </w:r>
      <w:r>
        <w:fldChar w:fldCharType="separate"/>
      </w:r>
      <w:r w:rsidR="00574650">
        <w:t xml:space="preserve">Figure </w:t>
      </w:r>
      <w:r w:rsidR="00574650">
        <w:rPr>
          <w:noProof/>
        </w:rPr>
        <w:t>6</w:t>
      </w:r>
      <w:r w:rsidR="00574650">
        <w:t>.</w:t>
      </w:r>
      <w:r w:rsidR="00574650">
        <w:rPr>
          <w:noProof/>
        </w:rPr>
        <w:t>3</w:t>
      </w:r>
      <w:r>
        <w:fldChar w:fldCharType="end"/>
      </w:r>
      <w:r>
        <w:t xml:space="preserve">.  </w:t>
      </w:r>
    </w:p>
    <w:p w14:paraId="0C05986D" w14:textId="426EF0F8" w:rsidR="00111E4D" w:rsidRDefault="00111E4D" w:rsidP="00111E4D">
      <w:pPr>
        <w:pStyle w:val="Caption"/>
        <w:keepNext/>
      </w:pPr>
      <w:bookmarkStart w:id="474" w:name="_Ref528329570"/>
      <w:bookmarkStart w:id="475" w:name="_Toc530684671"/>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proofErr w:type="gramStart"/>
      <w:r w:rsidR="00574650">
        <w:rPr>
          <w:noProof/>
        </w:rPr>
        <w:t>3</w:t>
      </w:r>
      <w:r w:rsidR="00371DCC">
        <w:fldChar w:fldCharType="end"/>
      </w:r>
      <w:bookmarkEnd w:id="474"/>
      <w:r>
        <w:t xml:space="preserve"> Study flow diagram</w:t>
      </w:r>
      <w:bookmarkEnd w:id="475"/>
      <w:proofErr w:type="gramEnd"/>
    </w:p>
    <w:p w14:paraId="4DB55142" w14:textId="77777777" w:rsidR="00111E4D" w:rsidRDefault="00111E4D" w:rsidP="00111E4D">
      <w:pPr>
        <w:rPr>
          <w:noProof/>
        </w:rPr>
      </w:pPr>
      <w:r>
        <w:rPr>
          <w:noProof/>
          <w:lang w:eastAsia="en-GB"/>
        </w:rPr>
        <w:drawing>
          <wp:inline distT="0" distB="0" distL="0" distR="0" wp14:anchorId="74F995FE" wp14:editId="25FC3620">
            <wp:extent cx="5731510" cy="4278630"/>
            <wp:effectExtent l="0" t="0" r="2540" b="762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low.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4278630"/>
                    </a:xfrm>
                    <a:prstGeom prst="rect">
                      <a:avLst/>
                    </a:prstGeom>
                  </pic:spPr>
                </pic:pic>
              </a:graphicData>
            </a:graphic>
          </wp:inline>
        </w:drawing>
      </w:r>
    </w:p>
    <w:p w14:paraId="3FFB2BA4" w14:textId="77777777" w:rsidR="00111E4D" w:rsidRDefault="00111E4D" w:rsidP="00111E4D">
      <w:pPr>
        <w:pStyle w:val="Heading3"/>
      </w:pPr>
      <w:bookmarkStart w:id="476" w:name="_Toc530598213"/>
      <w:bookmarkStart w:id="477" w:name="_Toc530660566"/>
      <w:bookmarkStart w:id="478" w:name="_Toc3538168"/>
      <w:r>
        <w:t>Computer Programs</w:t>
      </w:r>
      <w:bookmarkEnd w:id="476"/>
      <w:bookmarkEnd w:id="477"/>
      <w:bookmarkEnd w:id="478"/>
    </w:p>
    <w:p w14:paraId="21C6042D" w14:textId="77777777" w:rsidR="00111E4D" w:rsidRPr="00306863" w:rsidRDefault="00111E4D" w:rsidP="00111E4D">
      <w:r>
        <w:t>The three programs used are described below.</w:t>
      </w:r>
    </w:p>
    <w:p w14:paraId="449B04C5" w14:textId="77777777" w:rsidR="00111E4D" w:rsidRDefault="00111E4D" w:rsidP="00111E4D">
      <w:pPr>
        <w:pStyle w:val="Heading4"/>
      </w:pPr>
      <w:r>
        <w:t xml:space="preserve">Manage </w:t>
      </w:r>
      <w:r w:rsidRPr="00E263B8">
        <w:rPr>
          <w:noProof/>
        </w:rPr>
        <w:t>Your</w:t>
      </w:r>
      <w:r>
        <w:t xml:space="preserve"> Life Online (MYLO) </w:t>
      </w:r>
    </w:p>
    <w:p w14:paraId="0A12CBEB" w14:textId="6D94D158" w:rsidR="00111E4D" w:rsidRDefault="00111E4D" w:rsidP="00111E4D">
      <w:r>
        <w:t xml:space="preserve">M is an automated self-help-based computer program that emulates the type of conversation that could </w:t>
      </w:r>
      <w:r w:rsidRPr="00856C73">
        <w:rPr>
          <w:noProof/>
        </w:rPr>
        <w:t>be expected</w:t>
      </w:r>
      <w:r>
        <w:t xml:space="preserve"> between a client and a therapist.  </w:t>
      </w:r>
      <w:r w:rsidRPr="00E263B8">
        <w:rPr>
          <w:noProof/>
        </w:rPr>
        <w:t>MYLO</w:t>
      </w:r>
      <w:r>
        <w:rPr>
          <w:noProof/>
        </w:rPr>
        <w:t xml:space="preserve"> aim</w:t>
      </w:r>
      <w:r w:rsidRPr="00E263B8">
        <w:rPr>
          <w:noProof/>
        </w:rPr>
        <w:t>s</w:t>
      </w:r>
      <w:r>
        <w:t xml:space="preserve"> to aid the participant in solving their problem by applying the principles of Method of Levels (MOL) therapy </w:t>
      </w:r>
      <w:r>
        <w:fldChar w:fldCharType="begin" w:fldLock="1"/>
      </w:r>
      <w:r>
        <w:instrText>ADDIN CSL_CITATION {"citationItems":[{"id":"ITEM-1","itemData":{"ISBN":"9780974015545","abstract":"CD-ROM has title: Perceptual control theory : introductions, tutorials, simulations, articles, links.","author":[{"dropping-particle":"","family":"Carey","given":"Timothy A.","non-dropping-particle":"","parse-names":false,"suffix":""}],"id":"ITEM-1","issued":{"date-parts":[["2006"]]},"page":"178","publisher":"Hayward, CA: Living Control Systems Publishing.","title":"The method of levels: how to do psychotherapy without getting in the way","type":"article-journal"},"uris":["http://www.mendeley.com/documents/?uuid=e0a7d341-deb7-4e95-9b2e-c1304446f080"]}],"mendeley":{"formattedCitation":"(Carey, 2006)","plainTextFormattedCitation":"(Carey, 2006)","previouslyFormattedCitation":"(Carey, 2006)"},"properties":{"noteIndex":0},"schema":"https://github.com/citation-style-language/schema/raw/master/csl-citation.json"}</w:instrText>
      </w:r>
      <w:r>
        <w:fldChar w:fldCharType="separate"/>
      </w:r>
      <w:r w:rsidRPr="00624000">
        <w:rPr>
          <w:noProof/>
        </w:rPr>
        <w:t>(Carey, 2006)</w:t>
      </w:r>
      <w:r>
        <w:fldChar w:fldCharType="end"/>
      </w:r>
      <w:r>
        <w:t>.  MYLO analyses textual responses from client input for key terms and themes</w:t>
      </w:r>
      <w:r w:rsidRPr="009029B3">
        <w:rPr>
          <w:noProof/>
        </w:rPr>
        <w:t xml:space="preserve">, </w:t>
      </w:r>
      <w:r>
        <w:rPr>
          <w:noProof/>
        </w:rPr>
        <w:t xml:space="preserve">and </w:t>
      </w:r>
      <w:r w:rsidRPr="000C7BBE">
        <w:rPr>
          <w:noProof/>
        </w:rPr>
        <w:t>responds</w:t>
      </w:r>
      <w:r>
        <w:t xml:space="preserve"> with questions about the participant’s problem aimed at </w:t>
      </w:r>
      <w:r w:rsidRPr="00A10E92">
        <w:t>encouraging conflict awareness and facilitating higher level awareness</w:t>
      </w:r>
      <w:r>
        <w:t xml:space="preserve"> </w:t>
      </w:r>
      <w:r w:rsidRPr="00EF3C19">
        <w:fldChar w:fldCharType="begin" w:fldLock="1"/>
      </w:r>
      <w:r>
        <w:instrText>ADDIN CSL_CITATION {"citationItems":[{"id":"ITEM-1","itemData":{"DOI":"10.1017/S135246581300060X","ISBN":"1352-4658","ISSN":"14691833","PMID":"23899405","abstract":"Background: Computerized self-help that has an interactive, conversational format holds several advantages, such as flexibility across presenting problems and ease of use. We designed a new program called MYLO that utilizes the principles of Method of Levels (MOL) therapy - based upon Perceptual Control Theory (PCT). Aims: We tested the efficacy of MYLO, tested whether the psychological change mechanisms described by PCT mediated its efficacy, and evaluated effects of client expectancy. Method: Forty-eight student participants were randomly assigned to MYLO or a comparison program ELIZA. Participants discussed a problem they were currently experiencing with their assigned program and completed measures of distress, resolution and expectancy preintervention, postintervention and at 2-week follow-up. Results: MYLO and ELIZA were associated with reductions in distress, depression, anxiety and stress. MYLO was considered more helpful and led to greater problem resolution. The psychological change processes predicted higher ratings of MYLO's helpfulness and reductions in distress. Positive expectancies towards computer-based problem solving correlated with MYLO's perceived helpfulness and greater problem resolution, and this was partly mediated by the psychological change processes identified. Conclusions: The findings provide provisional support for the acceptability of the MYLO program in a non-clinical sample although its efficacy as an innovative computer-based aid to problem solving remains unclear. Nevertheless, the findings provide tentative early support for the mechanisms of psychological change identified within PCT and highlight the importance of client expectations on predicting engagement in computer-based self-help.","author":[{"dropping-particle":"","family":"Gaffney","given":"Hannah","non-dropping-particle":"","parse-names":false,"suffix":""},{"dropping-particle":"","family":"Mansell","given":"Warren","non-dropping-particle":"","parse-names":false,"suffix":""},{"dropping-particle":"","family":"Edwards","given":"Rachel","non-dropping-particle":"","parse-names":false,"suffix":""},{"dropping-particle":"","family":"Wright","given":"Jason","non-dropping-particle":"","parse-names":false,"suffix":""}],"container-title":"Behavioural and Cognitive Psychotherapy","id":"ITEM-1","issue":"6","issued":{"date-parts":[["2014"]]},"page":"731-746","title":"Manage Your Life Online (MYLO): A pilot trial of a conversational computer-based intervention for problem solving in a student sample","type":"article-journal","volume":"42"},"uris":["http://www.mendeley.com/documents/?uuid=a57316c1-59bb-4a79-a904-d9074a57d136"]}],"mendeley":{"formattedCitation":"(Gaffney &lt;i&gt;et al.&lt;/i&gt;, 2014)","manualFormatting":"(Gaffney et al. 2013)","plainTextFormattedCitation":"(Gaffney et al., 2014)","previouslyFormattedCitation":"(Gaffney &lt;i&gt;et al.&lt;/i&gt;, 2014)"},"properties":{"noteIndex":0},"schema":"https://github.com/citation-style-language/schema/raw/master/csl-citation.json"}</w:instrText>
      </w:r>
      <w:r w:rsidRPr="00EF3C19">
        <w:fldChar w:fldCharType="separate"/>
      </w:r>
      <w:r w:rsidRPr="00EF3C19">
        <w:rPr>
          <w:noProof/>
        </w:rPr>
        <w:t>(Gaffney et al. 2013)</w:t>
      </w:r>
      <w:r w:rsidRPr="00EF3C19">
        <w:fldChar w:fldCharType="end"/>
      </w:r>
      <w:r>
        <w:t>.  The version of MYLO used was the same as that developed and used in Chapter 5.</w:t>
      </w:r>
    </w:p>
    <w:p w14:paraId="0E259B64" w14:textId="77777777" w:rsidR="00111E4D" w:rsidRPr="009C0087" w:rsidRDefault="00111E4D" w:rsidP="00111E4D">
      <w:pPr>
        <w:pStyle w:val="Heading4"/>
      </w:pPr>
      <w:r w:rsidRPr="00372651">
        <w:t xml:space="preserve">Manage </w:t>
      </w:r>
      <w:r w:rsidRPr="00372651">
        <w:rPr>
          <w:noProof/>
        </w:rPr>
        <w:t>Your</w:t>
      </w:r>
      <w:r w:rsidRPr="00372651">
        <w:t xml:space="preserve"> Life Online (MYLO) Guided</w:t>
      </w:r>
      <w:r>
        <w:t xml:space="preserve"> </w:t>
      </w:r>
    </w:p>
    <w:p w14:paraId="53C6F476" w14:textId="326B40D9" w:rsidR="00111E4D" w:rsidRDefault="00111E4D" w:rsidP="00111E4D">
      <w:pPr>
        <w:rPr>
          <w:noProof/>
        </w:rPr>
      </w:pPr>
      <w:r>
        <w:t xml:space="preserve">M+G is an enhanced version of the system with an introduction and instructions.  The introduction </w:t>
      </w:r>
      <w:r w:rsidRPr="00856C73">
        <w:rPr>
          <w:noProof/>
        </w:rPr>
        <w:t>is comprised</w:t>
      </w:r>
      <w:r>
        <w:t xml:space="preserve"> of a series of presentational web pages that the user must navigate through before being redirected to the baseline measures</w:t>
      </w:r>
      <w:r w:rsidR="008B455C">
        <w:t xml:space="preserve"> (see Appendix D1)</w:t>
      </w:r>
      <w:r>
        <w:t xml:space="preserve">.  </w:t>
      </w:r>
      <w:r w:rsidRPr="00856C73">
        <w:rPr>
          <w:noProof/>
        </w:rPr>
        <w:t>The</w:t>
      </w:r>
      <w:r>
        <w:rPr>
          <w:noProof/>
        </w:rPr>
        <w:t xml:space="preserve"> </w:t>
      </w:r>
      <w:r w:rsidRPr="00856C73">
        <w:rPr>
          <w:noProof/>
        </w:rPr>
        <w:t xml:space="preserve">pages </w:t>
      </w:r>
      <w:r>
        <w:rPr>
          <w:noProof/>
        </w:rPr>
        <w:t>were adapted from the “Method of Levels: common questions about therapy” information sheet found within</w:t>
      </w:r>
      <w:r w:rsidRPr="00DB6833">
        <w:rPr>
          <w:noProof/>
        </w:rPr>
        <w:t xml:space="preserve"> </w:t>
      </w:r>
      <w:r w:rsidRPr="008F083B">
        <w:rPr>
          <w:noProof/>
        </w:rPr>
        <w:t xml:space="preserve">Mansell </w:t>
      </w:r>
      <w:r w:rsidRPr="008F083B">
        <w:rPr>
          <w:i/>
          <w:noProof/>
        </w:rPr>
        <w:t>et al.</w:t>
      </w:r>
      <w:r>
        <w:rPr>
          <w:noProof/>
        </w:rPr>
        <w:t xml:space="preserve"> </w:t>
      </w:r>
      <w:r>
        <w:rPr>
          <w:noProof/>
        </w:rPr>
        <w:fldChar w:fldCharType="begin" w:fldLock="1"/>
      </w:r>
      <w:r w:rsidR="000B6CC8">
        <w:rPr>
          <w:noProof/>
        </w:rPr>
        <w:instrText>ADDIN CSL_CITATION {"citationItems":[{"id":"ITEM-1","itemData":{"DOI":"10.4324/9780203081334","ISBN":"9780203081334","author":[{"dropping-particle":"","family":"Mansell","given":"Warren","non-dropping-particle":"","parse-names":false,"suffix":""},{"dropping-particle":"","family":"Carey","given":"Timothy A.","non-dropping-particle":"","parse-names":false,"suffix":""},{"dropping-particle":"","family":"Tai","given":"Sara J.","non-dropping-particle":"","parse-names":false,"suffix":""},{"dropping-particle":"","family":"Carey","given":"Timothy A.","non-dropping-particle":"","parse-names":false,"suffix":""},{"dropping-particle":"","family":"Tai","given":"Sara J.","non-dropping-particle":"","parse-names":false,"suffix":""}],"id":"ITEM-1","issued":{"date-parts":[["2012"]]},"title":"A Transdiagnostic Approach to CBT using Method of Levels Therapy","type":"book"},"uris":["http://www.mendeley.com/documents/?uuid=c60be30d-b5f9-46df-b09d-852de575f30e"]}],"mendeley":{"formattedCitation":"(Mansell &lt;i&gt;et al.&lt;/i&gt;, 2012)","manualFormatting":"(2012)","plainTextFormattedCitation":"(Mansell et al., 2012)","previouslyFormattedCitation":"(Mansell &lt;i&gt;et al.&lt;/i&gt;, 2012)"},"properties":{"noteIndex":0},"schema":"https://github.com/citation-style-language/schema/raw/master/csl-citation.json"}</w:instrText>
      </w:r>
      <w:r>
        <w:rPr>
          <w:noProof/>
        </w:rPr>
        <w:fldChar w:fldCharType="separate"/>
      </w:r>
      <w:r w:rsidRPr="008F083B">
        <w:rPr>
          <w:noProof/>
        </w:rPr>
        <w:t>(2012)</w:t>
      </w:r>
      <w:r>
        <w:rPr>
          <w:noProof/>
        </w:rPr>
        <w:fldChar w:fldCharType="end"/>
      </w:r>
      <w:r>
        <w:rPr>
          <w:noProof/>
        </w:rPr>
        <w:t xml:space="preserve">.  The information </w:t>
      </w:r>
      <w:r>
        <w:rPr>
          <w:noProof/>
        </w:rPr>
        <w:lastRenderedPageBreak/>
        <w:t>sheet gives questions and  answers to the most commonly asked patient questions regarding MOL therapy.  Q</w:t>
      </w:r>
      <w:r w:rsidRPr="00F3088D">
        <w:rPr>
          <w:noProof/>
        </w:rPr>
        <w:t xml:space="preserve">uestions and answers </w:t>
      </w:r>
      <w:r>
        <w:rPr>
          <w:noProof/>
        </w:rPr>
        <w:t xml:space="preserve">considered </w:t>
      </w:r>
      <w:r w:rsidRPr="00F3088D">
        <w:rPr>
          <w:noProof/>
        </w:rPr>
        <w:t>irrelevant to MYLO and more applicable to face-to-face therapy were removed</w:t>
      </w:r>
      <w:r>
        <w:rPr>
          <w:noProof/>
        </w:rPr>
        <w:t>.  While q</w:t>
      </w:r>
      <w:r w:rsidRPr="00F3088D">
        <w:rPr>
          <w:noProof/>
        </w:rPr>
        <w:t xml:space="preserve">uestions and answers </w:t>
      </w:r>
      <w:r>
        <w:rPr>
          <w:noProof/>
        </w:rPr>
        <w:t xml:space="preserve">that </w:t>
      </w:r>
      <w:r w:rsidRPr="00F3088D">
        <w:rPr>
          <w:noProof/>
        </w:rPr>
        <w:t xml:space="preserve">referred to Method of Levels (MOL) or </w:t>
      </w:r>
      <w:r>
        <w:rPr>
          <w:noProof/>
        </w:rPr>
        <w:t>a</w:t>
      </w:r>
      <w:r w:rsidRPr="00F3088D">
        <w:rPr>
          <w:noProof/>
        </w:rPr>
        <w:t xml:space="preserve"> therapist </w:t>
      </w:r>
      <w:r>
        <w:rPr>
          <w:noProof/>
        </w:rPr>
        <w:t xml:space="preserve">were </w:t>
      </w:r>
      <w:r w:rsidRPr="00F3088D">
        <w:rPr>
          <w:noProof/>
        </w:rPr>
        <w:t>modified to read from the perspective of MYLO</w:t>
      </w:r>
      <w:r>
        <w:rPr>
          <w:noProof/>
        </w:rPr>
        <w:t>.  These changes were made increase particpants pre credibiiltiy and expectancy of MYLO and help the particpant to form theraptic alliance with MYLO</w:t>
      </w:r>
      <w:r w:rsidRPr="00F3088D">
        <w:rPr>
          <w:noProof/>
        </w:rPr>
        <w:t>.</w:t>
      </w:r>
    </w:p>
    <w:tbl>
      <w:tblPr>
        <w:tblStyle w:val="TableGrid"/>
        <w:tblW w:w="5000" w:type="pct"/>
        <w:tblCellMar>
          <w:top w:w="57" w:type="dxa"/>
          <w:bottom w:w="57" w:type="dxa"/>
        </w:tblCellMar>
        <w:tblLook w:val="04A0" w:firstRow="1" w:lastRow="0" w:firstColumn="1" w:lastColumn="0" w:noHBand="0" w:noVBand="1"/>
      </w:tblPr>
      <w:tblGrid>
        <w:gridCol w:w="5068"/>
        <w:gridCol w:w="5069"/>
      </w:tblGrid>
      <w:tr w:rsidR="00111E4D" w:rsidRPr="006305CA" w14:paraId="54C7E9A4" w14:textId="77777777" w:rsidTr="00111E4D">
        <w:tc>
          <w:tcPr>
            <w:tcW w:w="2500" w:type="pct"/>
          </w:tcPr>
          <w:p w14:paraId="129D485C" w14:textId="77777777" w:rsidR="00111E4D" w:rsidRPr="006305CA" w:rsidRDefault="00111E4D" w:rsidP="00111E4D">
            <w:pPr>
              <w:pStyle w:val="NoSpacing"/>
              <w:rPr>
                <w:b/>
              </w:rPr>
            </w:pPr>
            <w:r w:rsidRPr="006305CA">
              <w:rPr>
                <w:b/>
              </w:rPr>
              <w:t>Original Question</w:t>
            </w:r>
          </w:p>
        </w:tc>
        <w:tc>
          <w:tcPr>
            <w:tcW w:w="2500" w:type="pct"/>
          </w:tcPr>
          <w:p w14:paraId="36ED9DB5" w14:textId="77777777" w:rsidR="00111E4D" w:rsidRPr="006305CA" w:rsidRDefault="00111E4D" w:rsidP="00111E4D">
            <w:pPr>
              <w:pStyle w:val="NoSpacing"/>
              <w:rPr>
                <w:b/>
              </w:rPr>
            </w:pPr>
            <w:r w:rsidRPr="006305CA">
              <w:rPr>
                <w:b/>
              </w:rPr>
              <w:t>Author Adaption</w:t>
            </w:r>
          </w:p>
        </w:tc>
      </w:tr>
      <w:tr w:rsidR="00111E4D" w:rsidRPr="006305CA" w14:paraId="10716EEB" w14:textId="77777777" w:rsidTr="00111E4D">
        <w:tc>
          <w:tcPr>
            <w:tcW w:w="2500" w:type="pct"/>
          </w:tcPr>
          <w:p w14:paraId="145B1DF6" w14:textId="77777777" w:rsidR="00111E4D" w:rsidRPr="00DD5A18" w:rsidRDefault="00111E4D" w:rsidP="00111E4D">
            <w:pPr>
              <w:pStyle w:val="NoSpacing"/>
            </w:pPr>
            <w:r w:rsidRPr="00EC04D7">
              <w:t xml:space="preserve">Deciding to seek help with your problem can be a big step to take. Once you have started Method of Levels (MOL), you might find that you have some questions about the therapy. Below are a few common questions that MOL clients have had, and some answers to these questions.  Where relevant, we have also included </w:t>
            </w:r>
            <w:r>
              <w:t>anonymised</w:t>
            </w:r>
            <w:r w:rsidRPr="00EC04D7">
              <w:t xml:space="preserve"> quotes from people who have had MOL. If you have a question that is not covered below, please ask your therapist who will be happy to talk through any queries with you.</w:t>
            </w:r>
          </w:p>
        </w:tc>
        <w:tc>
          <w:tcPr>
            <w:tcW w:w="2500" w:type="pct"/>
          </w:tcPr>
          <w:p w14:paraId="069910A1" w14:textId="77777777" w:rsidR="00111E4D" w:rsidRDefault="00111E4D" w:rsidP="00111E4D">
            <w:pPr>
              <w:pStyle w:val="NoSpacing"/>
            </w:pPr>
            <w:r>
              <w:t xml:space="preserve">Hello, my name is </w:t>
            </w:r>
            <w:proofErr w:type="spellStart"/>
            <w:r>
              <w:t>Mylo</w:t>
            </w:r>
            <w:proofErr w:type="spellEnd"/>
            <w:r>
              <w:t xml:space="preserve">, </w:t>
            </w:r>
          </w:p>
          <w:p w14:paraId="391FB50C" w14:textId="77777777" w:rsidR="00111E4D" w:rsidRPr="006305CA" w:rsidRDefault="00111E4D" w:rsidP="00111E4D">
            <w:pPr>
              <w:pStyle w:val="NoSpacing"/>
            </w:pPr>
            <w:r>
              <w:t>Deciding to seek help with your problem can be a big step to take.  Before we start the session, I shall go through a few common questions that my users have had in the past.  If you have a question that I do not cover, please contact Matthew or one of his supervisors who will be happy to help you.</w:t>
            </w:r>
          </w:p>
        </w:tc>
      </w:tr>
      <w:tr w:rsidR="00111E4D" w:rsidRPr="006305CA" w14:paraId="07C15C7C" w14:textId="77777777" w:rsidTr="00111E4D">
        <w:tc>
          <w:tcPr>
            <w:tcW w:w="2500" w:type="pct"/>
          </w:tcPr>
          <w:p w14:paraId="6AB8F3E0" w14:textId="77777777" w:rsidR="00111E4D" w:rsidRPr="006305CA" w:rsidRDefault="00111E4D" w:rsidP="00111E4D">
            <w:pPr>
              <w:pStyle w:val="NoSpacing"/>
            </w:pPr>
            <w:r w:rsidRPr="00EC04D7">
              <w:rPr>
                <w:b/>
                <w:bCs/>
              </w:rPr>
              <w:t xml:space="preserve">“What can I expect from MOL therapy?”  </w:t>
            </w:r>
            <w:r w:rsidRPr="00EC04D7">
              <w:t xml:space="preserve">You can expect a therapy which will allow you the time and space to talk through your difficulties.  At each session you can choose whatever aspect of your difficulties you want to talk about, and your therapist will ask you questions about the thoughts and feelings you are experiencing. </w:t>
            </w:r>
          </w:p>
        </w:tc>
        <w:tc>
          <w:tcPr>
            <w:tcW w:w="2500" w:type="pct"/>
          </w:tcPr>
          <w:p w14:paraId="5470D5A7" w14:textId="77777777" w:rsidR="00111E4D" w:rsidRDefault="00111E4D" w:rsidP="00111E4D">
            <w:pPr>
              <w:pStyle w:val="NoSpacing"/>
            </w:pPr>
            <w:r w:rsidRPr="00DD5A18">
              <w:rPr>
                <w:b/>
              </w:rPr>
              <w:t>What can you expect from me?</w:t>
            </w:r>
            <w:r>
              <w:t xml:space="preserve"> </w:t>
            </w:r>
            <w:r w:rsidRPr="00DD5A18">
              <w:t>You can expect to use an interactive computer system, which will</w:t>
            </w:r>
            <w:r>
              <w:t xml:space="preserve"> </w:t>
            </w:r>
            <w:r w:rsidRPr="00DD5A18">
              <w:t>allow you the time and space to talk through and reflect on your</w:t>
            </w:r>
            <w:r>
              <w:t xml:space="preserve"> </w:t>
            </w:r>
            <w:r w:rsidRPr="00DD5A18">
              <w:t>current difficulties.</w:t>
            </w:r>
            <w:r>
              <w:t xml:space="preserve">  </w:t>
            </w:r>
            <w:r w:rsidRPr="00DD5A18">
              <w:t>During the session, you can choose whatever aspect of your</w:t>
            </w:r>
            <w:r>
              <w:t xml:space="preserve"> </w:t>
            </w:r>
            <w:r w:rsidRPr="00DD5A18">
              <w:t>difficulties you want to talk about, and I will ask you questions about</w:t>
            </w:r>
            <w:r>
              <w:t xml:space="preserve"> </w:t>
            </w:r>
            <w:r w:rsidRPr="00DD5A18">
              <w:t>your thoughts and feelings.</w:t>
            </w:r>
            <w:r>
              <w:t xml:space="preserve">  </w:t>
            </w:r>
            <w:r w:rsidRPr="00DD5A18">
              <w:t>I will not suggest solutions to you, but will provide you with questions</w:t>
            </w:r>
            <w:r>
              <w:t xml:space="preserve"> </w:t>
            </w:r>
            <w:r w:rsidRPr="00DD5A18">
              <w:t>and prompts to help you make up your own mind about the best way</w:t>
            </w:r>
            <w:r>
              <w:t xml:space="preserve"> </w:t>
            </w:r>
            <w:r w:rsidRPr="00DD5A18">
              <w:t>forward for you.</w:t>
            </w:r>
          </w:p>
        </w:tc>
      </w:tr>
      <w:tr w:rsidR="00111E4D" w:rsidRPr="006305CA" w14:paraId="29E4F4AC" w14:textId="77777777" w:rsidTr="00111E4D">
        <w:tc>
          <w:tcPr>
            <w:tcW w:w="2500" w:type="pct"/>
          </w:tcPr>
          <w:p w14:paraId="2005BB58" w14:textId="77777777" w:rsidR="00111E4D" w:rsidRPr="006305CA" w:rsidRDefault="00111E4D" w:rsidP="00111E4D">
            <w:pPr>
              <w:pStyle w:val="NoSpacing"/>
            </w:pPr>
            <w:r w:rsidRPr="00EC04D7">
              <w:rPr>
                <w:b/>
                <w:bCs/>
              </w:rPr>
              <w:t xml:space="preserve">“Can I bring a friend/partner/relative into the sessions with me?” </w:t>
            </w:r>
            <w:r w:rsidRPr="00EC04D7">
              <w:t>MOL is all about helping people explore their own thoughts and feelings. This is most helpful for people when they can talk about their thoughts and feelings without being concerned that what they say might upset or worry somebody that they are close to.  Therefore we would recommend that if you bring someone along, they stay in the waiting room while you actually have your therapy.</w:t>
            </w:r>
          </w:p>
        </w:tc>
        <w:tc>
          <w:tcPr>
            <w:tcW w:w="2500" w:type="pct"/>
          </w:tcPr>
          <w:p w14:paraId="16F0DE96" w14:textId="77777777" w:rsidR="00111E4D" w:rsidRPr="00DD5A18" w:rsidRDefault="00111E4D" w:rsidP="00111E4D">
            <w:pPr>
              <w:pStyle w:val="NoSpacing"/>
            </w:pPr>
            <w:r w:rsidRPr="00DD5A18">
              <w:rPr>
                <w:b/>
              </w:rPr>
              <w:t>Can I have a friend, partner or relative present during our session?</w:t>
            </w:r>
            <w:r>
              <w:t xml:space="preserve">  </w:t>
            </w:r>
            <w:r w:rsidRPr="00DD5A18">
              <w:t>This is up to you, but I am here to help you explore your own thoughts</w:t>
            </w:r>
          </w:p>
          <w:p w14:paraId="3197DC23" w14:textId="77777777" w:rsidR="00111E4D" w:rsidRPr="006305CA" w:rsidRDefault="00111E4D" w:rsidP="00111E4D">
            <w:pPr>
              <w:pStyle w:val="NoSpacing"/>
            </w:pPr>
            <w:proofErr w:type="gramStart"/>
            <w:r w:rsidRPr="00DD5A18">
              <w:t>and</w:t>
            </w:r>
            <w:proofErr w:type="gramEnd"/>
            <w:r w:rsidRPr="00DD5A18">
              <w:t xml:space="preserve"> feelings.</w:t>
            </w:r>
            <w:r>
              <w:t xml:space="preserve">  </w:t>
            </w:r>
            <w:r w:rsidRPr="00DD5A18">
              <w:t>It is most helpful for people when they don’t have to worry about</w:t>
            </w:r>
            <w:r>
              <w:t xml:space="preserve"> </w:t>
            </w:r>
            <w:r w:rsidRPr="00DD5A18">
              <w:t>saying something that could upset someone.</w:t>
            </w:r>
            <w:r>
              <w:t xml:space="preserve">  </w:t>
            </w:r>
            <w:r w:rsidRPr="00DD5A18">
              <w:t>Therefore, I would recommend that if you do have someone with you,</w:t>
            </w:r>
            <w:r>
              <w:t xml:space="preserve"> </w:t>
            </w:r>
            <w:r w:rsidRPr="00DD5A18">
              <w:t>they stay in another room while you are in the session with me.</w:t>
            </w:r>
          </w:p>
        </w:tc>
      </w:tr>
      <w:tr w:rsidR="00111E4D" w:rsidRPr="006305CA" w14:paraId="410CD763" w14:textId="77777777" w:rsidTr="00111E4D">
        <w:tc>
          <w:tcPr>
            <w:tcW w:w="2500" w:type="pct"/>
          </w:tcPr>
          <w:p w14:paraId="4F8B28AD" w14:textId="77777777" w:rsidR="00111E4D" w:rsidRPr="006305CA" w:rsidRDefault="00111E4D" w:rsidP="00111E4D">
            <w:pPr>
              <w:pStyle w:val="NoSpacing"/>
            </w:pPr>
            <w:r w:rsidRPr="00EC04D7">
              <w:rPr>
                <w:b/>
                <w:bCs/>
              </w:rPr>
              <w:t xml:space="preserve">“How long might I need therapy for?” </w:t>
            </w:r>
            <w:r w:rsidRPr="00EC04D7">
              <w:t xml:space="preserve">The amount of therapy somebody needs varies widely from person to person. For some clients, one or two sessions </w:t>
            </w:r>
            <w:proofErr w:type="gramStart"/>
            <w:r w:rsidRPr="00EC04D7">
              <w:t>is</w:t>
            </w:r>
            <w:proofErr w:type="gramEnd"/>
            <w:r w:rsidRPr="00EC04D7">
              <w:t xml:space="preserve"> enough, for other people, more sessions are required. With MOL, it is you, the client who decides when to start and stop therapy, your therapist will not tell you how many sessions you have to attend</w:t>
            </w:r>
            <w:r w:rsidRPr="007A0D42">
              <w:t>, although different services may have certain limits on the numbers of sessions available.</w:t>
            </w:r>
            <w:r>
              <w:t xml:space="preserve"> </w:t>
            </w:r>
          </w:p>
        </w:tc>
        <w:tc>
          <w:tcPr>
            <w:tcW w:w="2500" w:type="pct"/>
          </w:tcPr>
          <w:p w14:paraId="28A4458C" w14:textId="77777777" w:rsidR="00111E4D" w:rsidRPr="006305CA" w:rsidRDefault="00111E4D" w:rsidP="00111E4D">
            <w:pPr>
              <w:pStyle w:val="NoSpacing"/>
            </w:pPr>
            <w:r w:rsidRPr="00DD5A18">
              <w:rPr>
                <w:b/>
              </w:rPr>
              <w:t>How long might our session last for?</w:t>
            </w:r>
            <w:r>
              <w:t xml:space="preserve">  The amount of time somebody needs varies widely from person to person.  For some people, 10 to 15 minutes is enough, for others, more time is required. Take as much time as you feel you need.  It is you who decides when to start and stop the session.</w:t>
            </w:r>
          </w:p>
        </w:tc>
      </w:tr>
      <w:tr w:rsidR="00111E4D" w:rsidRPr="006305CA" w14:paraId="1D5A2497" w14:textId="77777777" w:rsidTr="00111E4D">
        <w:tc>
          <w:tcPr>
            <w:tcW w:w="2500" w:type="pct"/>
          </w:tcPr>
          <w:p w14:paraId="24AFCE67" w14:textId="77777777" w:rsidR="00111E4D" w:rsidRDefault="00111E4D" w:rsidP="00111E4D">
            <w:pPr>
              <w:pStyle w:val="NoSpacing"/>
            </w:pPr>
            <w:r w:rsidRPr="00EC04D7">
              <w:rPr>
                <w:b/>
                <w:bCs/>
              </w:rPr>
              <w:t xml:space="preserve">“Will my therapist </w:t>
            </w:r>
            <w:proofErr w:type="gramStart"/>
            <w:r w:rsidRPr="00EC04D7">
              <w:rPr>
                <w:b/>
                <w:bCs/>
              </w:rPr>
              <w:t>give</w:t>
            </w:r>
            <w:proofErr w:type="gramEnd"/>
            <w:r w:rsidRPr="00EC04D7">
              <w:rPr>
                <w:b/>
                <w:bCs/>
              </w:rPr>
              <w:t xml:space="preserve"> me advice on how to solve my problem?”</w:t>
            </w:r>
            <w:r w:rsidRPr="00EC04D7">
              <w:t xml:space="preserve"> While solutions to problems are very much the focus of MOL, your therapist will not offer you advice or otherwise try to suggest what the solution might be. MOL is based on the assumption </w:t>
            </w:r>
            <w:r w:rsidRPr="00EC04D7">
              <w:lastRenderedPageBreak/>
              <w:t xml:space="preserve">that you are the best person to bring about positive change in your own life and you are the only person who will be able to tell when the right solution to your problem is found.  During the session, you will be given the opportunity to talk things through and the therapist will ask questions to help you consider your problem in a different way. Through this questioning you will be able to develop new perspectives and understandings which will contain solutions to your problems. </w:t>
            </w:r>
          </w:p>
          <w:p w14:paraId="078E0C4E" w14:textId="77777777" w:rsidR="00111E4D" w:rsidRPr="00EC04D7" w:rsidRDefault="00111E4D" w:rsidP="00111E4D">
            <w:pPr>
              <w:pStyle w:val="NoSpacing"/>
            </w:pPr>
          </w:p>
          <w:p w14:paraId="6F7AB95E" w14:textId="77777777" w:rsidR="00111E4D" w:rsidRPr="006305CA" w:rsidRDefault="00111E4D" w:rsidP="00111E4D">
            <w:pPr>
              <w:pStyle w:val="NoSpacing"/>
            </w:pPr>
            <w:r w:rsidRPr="00EC04D7">
              <w:t xml:space="preserve">One client said:  </w:t>
            </w:r>
            <w:r w:rsidRPr="00DD5A18">
              <w:rPr>
                <w:i/>
              </w:rPr>
              <w:t xml:space="preserve">“I think what I find useful is that you aren’t telling me what to do, so I feel as though </w:t>
            </w:r>
            <w:r w:rsidRPr="00DD5A18">
              <w:rPr>
                <w:i/>
                <w:u w:val="single"/>
              </w:rPr>
              <w:t>I’m</w:t>
            </w:r>
            <w:r w:rsidRPr="00DD5A18">
              <w:rPr>
                <w:i/>
              </w:rPr>
              <w:t xml:space="preserve"> actually making myself better. I’m changing the way I think about things but I’m able to do this myself. I’m not doing it because you’ve told me how to. It makes me feel stronger because I know that I’m straightening my head out myself.”</w:t>
            </w:r>
          </w:p>
        </w:tc>
        <w:tc>
          <w:tcPr>
            <w:tcW w:w="2500" w:type="pct"/>
          </w:tcPr>
          <w:p w14:paraId="52262B5B" w14:textId="77777777" w:rsidR="00111E4D" w:rsidRPr="006305CA" w:rsidRDefault="00111E4D" w:rsidP="00111E4D">
            <w:pPr>
              <w:pStyle w:val="NoSpacing"/>
            </w:pPr>
            <w:r w:rsidRPr="00DD5A18">
              <w:rPr>
                <w:b/>
              </w:rPr>
              <w:lastRenderedPageBreak/>
              <w:t>Will you give me advice on how to solve my problem?</w:t>
            </w:r>
            <w:r>
              <w:t xml:space="preserve">  I cannot tell you what the solution to your problem is, or offer you advice.  I’m designed based on the assumption that you are the best person to bring about positive change in your life. You are the </w:t>
            </w:r>
            <w:r>
              <w:lastRenderedPageBreak/>
              <w:t>expert on your problem, and you are the only person who will be able to tell when you have found the right solution.  During the session, you will be given the opportunity to talk things through. I will ask questions to help you consider your problem in a different way. Sometimes the same question needs to be asked a number of times to help people really reflect and think about how to answer.  Through answering my questions, I hope to help you describe your problem more clearly, while enabling you to think about it from different points of view.</w:t>
            </w:r>
          </w:p>
        </w:tc>
      </w:tr>
      <w:tr w:rsidR="00111E4D" w:rsidRPr="006305CA" w14:paraId="60EF0214" w14:textId="77777777" w:rsidTr="00111E4D">
        <w:tc>
          <w:tcPr>
            <w:tcW w:w="2500" w:type="pct"/>
          </w:tcPr>
          <w:p w14:paraId="263A893A" w14:textId="77777777" w:rsidR="00111E4D" w:rsidRDefault="00111E4D" w:rsidP="00111E4D">
            <w:pPr>
              <w:pStyle w:val="NoSpacing"/>
            </w:pPr>
            <w:r w:rsidRPr="00EC04D7">
              <w:rPr>
                <w:b/>
                <w:bCs/>
              </w:rPr>
              <w:lastRenderedPageBreak/>
              <w:t xml:space="preserve">“How might I feel at different stages of the therapy?” </w:t>
            </w:r>
            <w:r w:rsidRPr="00EC04D7">
              <w:t>Some clients report having different feelings about the therapy at different stages. During the first few sessions, some people felt that they struggled with the fact that they weren’t given any advice on their problem, and found it difficult to talk about upsetting things.  However, as therapy continued, they came to feel as though they were making progress despite not being given advice, and began to feel more positive.</w:t>
            </w:r>
          </w:p>
          <w:p w14:paraId="2EAF3DC7" w14:textId="77777777" w:rsidR="00111E4D" w:rsidRPr="00EC04D7" w:rsidRDefault="00111E4D" w:rsidP="00111E4D">
            <w:pPr>
              <w:pStyle w:val="NoSpacing"/>
            </w:pPr>
            <w:r w:rsidRPr="00EC04D7">
              <w:t xml:space="preserve"> </w:t>
            </w:r>
          </w:p>
          <w:p w14:paraId="13E1CE9E" w14:textId="77777777" w:rsidR="00111E4D" w:rsidRPr="006305CA" w:rsidRDefault="00111E4D" w:rsidP="00111E4D">
            <w:pPr>
              <w:pStyle w:val="NoSpacing"/>
            </w:pPr>
            <w:r w:rsidRPr="00EC04D7">
              <w:t xml:space="preserve">One client said:  </w:t>
            </w:r>
            <w:r w:rsidRPr="007A0D42">
              <w:rPr>
                <w:bCs/>
                <w:i/>
                <w:iCs/>
              </w:rPr>
              <w:t>“It took me a while to understand the MOL, after I’d had a few sessions I started to question what the therapy was all about because I felt that I wasn’t getting any answers, but now I’ve come to understand that it’s about me being able to talk in whatever way I want to, and although you don’t give me any answers, you’ve sat there and said the right things to me and I’ve been able to learn the answers for myself”.</w:t>
            </w:r>
            <w:r>
              <w:rPr>
                <w:b/>
                <w:bCs/>
                <w:i/>
                <w:iCs/>
              </w:rPr>
              <w:t xml:space="preserve"> </w:t>
            </w:r>
          </w:p>
        </w:tc>
        <w:tc>
          <w:tcPr>
            <w:tcW w:w="2500" w:type="pct"/>
          </w:tcPr>
          <w:p w14:paraId="58C03646" w14:textId="77777777" w:rsidR="00111E4D" w:rsidRPr="006305CA" w:rsidRDefault="00111E4D" w:rsidP="00111E4D">
            <w:pPr>
              <w:pStyle w:val="NoSpacing"/>
            </w:pPr>
            <w:r w:rsidRPr="00DD5A18">
              <w:rPr>
                <w:b/>
              </w:rPr>
              <w:t>How might I feel at different stages of the session?</w:t>
            </w:r>
            <w:r>
              <w:t xml:space="preserve">  Some people report having different feelings at different stages.  Some people have struggled with the fact they were not given any advice. Others have found it difficult to talk about upsetting things.  However, as the session continued, they came to feel as though they were making progress, and began to feel more positive.  So give it a chance to work.</w:t>
            </w:r>
          </w:p>
        </w:tc>
      </w:tr>
      <w:tr w:rsidR="00111E4D" w:rsidRPr="006305CA" w14:paraId="2CE862E4" w14:textId="77777777" w:rsidTr="00111E4D">
        <w:tc>
          <w:tcPr>
            <w:tcW w:w="2500" w:type="pct"/>
          </w:tcPr>
          <w:p w14:paraId="4C2FB3A0" w14:textId="77777777" w:rsidR="00111E4D" w:rsidRDefault="00111E4D" w:rsidP="00111E4D">
            <w:pPr>
              <w:pStyle w:val="NoSpacing"/>
            </w:pPr>
            <w:r w:rsidRPr="00EC04D7">
              <w:rPr>
                <w:b/>
                <w:bCs/>
              </w:rPr>
              <w:t xml:space="preserve">“What kinds of questions will I be asked and why?”  </w:t>
            </w:r>
            <w:r w:rsidRPr="00EC04D7">
              <w:t>You will be asked questions about your thoughts and feelings as you experience them in the session. The purpose of these questions is to provide you with an opportunity to talk and think about your problem in ways that you may not have considered before.</w:t>
            </w:r>
          </w:p>
          <w:p w14:paraId="5D0ACC5A" w14:textId="77777777" w:rsidR="00111E4D" w:rsidRPr="00EC04D7" w:rsidRDefault="00111E4D" w:rsidP="00111E4D">
            <w:pPr>
              <w:pStyle w:val="NoSpacing"/>
            </w:pPr>
          </w:p>
          <w:p w14:paraId="024E80A0" w14:textId="77777777" w:rsidR="00111E4D" w:rsidRPr="006305CA" w:rsidRDefault="00111E4D" w:rsidP="00111E4D">
            <w:pPr>
              <w:pStyle w:val="NoSpacing"/>
            </w:pPr>
            <w:r w:rsidRPr="00EC04D7">
              <w:t xml:space="preserve">One client </w:t>
            </w:r>
            <w:proofErr w:type="spellStart"/>
            <w:r w:rsidRPr="00EC04D7">
              <w:t>said</w:t>
            </w:r>
            <w:proofErr w:type="gramStart"/>
            <w:r w:rsidRPr="00EC04D7">
              <w:t>:</w:t>
            </w:r>
            <w:r w:rsidRPr="007A0D42">
              <w:rPr>
                <w:bCs/>
                <w:i/>
                <w:iCs/>
              </w:rPr>
              <w:t>“</w:t>
            </w:r>
            <w:proofErr w:type="gramEnd"/>
            <w:r w:rsidRPr="007A0D42">
              <w:rPr>
                <w:bCs/>
                <w:i/>
                <w:iCs/>
              </w:rPr>
              <w:t>The</w:t>
            </w:r>
            <w:proofErr w:type="spellEnd"/>
            <w:r w:rsidRPr="007A0D42">
              <w:rPr>
                <w:bCs/>
                <w:i/>
                <w:iCs/>
              </w:rPr>
              <w:t xml:space="preserve"> therapy has been brilliant. It’s helped me a lot and it’s really made me think differently about things which is something I’ve never done before. It’s great to be able to actually think through my thoughts.”</w:t>
            </w:r>
          </w:p>
        </w:tc>
        <w:tc>
          <w:tcPr>
            <w:tcW w:w="2500" w:type="pct"/>
          </w:tcPr>
          <w:p w14:paraId="18A92B21" w14:textId="77777777" w:rsidR="00111E4D" w:rsidRPr="006305CA" w:rsidRDefault="00111E4D" w:rsidP="00111E4D">
            <w:pPr>
              <w:pStyle w:val="NoSpacing"/>
            </w:pPr>
            <w:r w:rsidRPr="00EF4616">
              <w:rPr>
                <w:b/>
              </w:rPr>
              <w:t>What kinds of question will I be asked and why?</w:t>
            </w:r>
            <w:r>
              <w:t xml:space="preserve"> You will be asked questions about your thoughts and feelings as you experience them in the session.  The purpose of these questions is to provide you with an opportunity to talk and think about your problems in ways that you may not have considered before.</w:t>
            </w:r>
          </w:p>
        </w:tc>
      </w:tr>
      <w:tr w:rsidR="00111E4D" w:rsidRPr="006305CA" w14:paraId="27C0B8AF" w14:textId="77777777" w:rsidTr="00111E4D">
        <w:tc>
          <w:tcPr>
            <w:tcW w:w="2500" w:type="pct"/>
          </w:tcPr>
          <w:p w14:paraId="6A267D66" w14:textId="77777777" w:rsidR="00111E4D" w:rsidRPr="006305CA" w:rsidRDefault="00111E4D" w:rsidP="00111E4D">
            <w:pPr>
              <w:pStyle w:val="NoSpacing"/>
            </w:pPr>
            <w:r w:rsidRPr="00EF4616">
              <w:rPr>
                <w:b/>
              </w:rPr>
              <w:t>“I am embarrassed/ashamed/guilty/worried about telling the therapist about my problem. Do I have to tell them everything to benefit from the therapy?”</w:t>
            </w:r>
            <w:r w:rsidRPr="00EC04D7">
              <w:t xml:space="preserve"> You do not have to talk about anything that you don’t </w:t>
            </w:r>
            <w:r w:rsidRPr="00EC04D7">
              <w:lastRenderedPageBreak/>
              <w:t xml:space="preserve">want to.  However, you may wish to talk about something without giving the therapist any details. This is absolutely fine. You don’t even have to name the problem, you could give it a code name, like ‘green apples’ and just talk about your thoughts and feelings regarding the ‘green apples’. The therapy focuses much more on the thoughts and feelings that you are currently experiencing rather than the story behind them. </w:t>
            </w:r>
          </w:p>
        </w:tc>
        <w:tc>
          <w:tcPr>
            <w:tcW w:w="2500" w:type="pct"/>
          </w:tcPr>
          <w:p w14:paraId="61A59136" w14:textId="77777777" w:rsidR="00111E4D" w:rsidRPr="006305CA" w:rsidRDefault="00111E4D" w:rsidP="00111E4D">
            <w:pPr>
              <w:pStyle w:val="NoSpacing"/>
            </w:pPr>
            <w:r w:rsidRPr="00EF4616">
              <w:rPr>
                <w:b/>
              </w:rPr>
              <w:lastRenderedPageBreak/>
              <w:t>I am ashamed, guilty or worried about my problem. Do I have to tell you everything to benefit from the session?</w:t>
            </w:r>
            <w:r>
              <w:t xml:space="preserve">  You do not have to talk about anything you do not want to. Or you could talk about it without </w:t>
            </w:r>
            <w:r>
              <w:lastRenderedPageBreak/>
              <w:t>giving me all the details.  This is absolutely fine. You do not even have to name the problem, you could give it a code name, like ”green apples” and then just talk about your thoughts and feelings regarding ”green apples”.  The session will focus much more on the thoughts and feelings that you are currently experiencing rather than the story behind them.</w:t>
            </w:r>
          </w:p>
        </w:tc>
      </w:tr>
      <w:tr w:rsidR="00111E4D" w:rsidRPr="006305CA" w14:paraId="318062DB" w14:textId="77777777" w:rsidTr="00111E4D">
        <w:tc>
          <w:tcPr>
            <w:tcW w:w="2500" w:type="pct"/>
          </w:tcPr>
          <w:p w14:paraId="2779D2EA" w14:textId="77777777" w:rsidR="00111E4D" w:rsidRPr="006305CA" w:rsidRDefault="00111E4D" w:rsidP="00111E4D">
            <w:pPr>
              <w:pStyle w:val="NoSpacing"/>
            </w:pPr>
            <w:r w:rsidRPr="00EC04D7">
              <w:rPr>
                <w:b/>
                <w:bCs/>
              </w:rPr>
              <w:lastRenderedPageBreak/>
              <w:t xml:space="preserve">“Do I have to answer the therapist’s questions?”  </w:t>
            </w:r>
            <w:r w:rsidRPr="00EC04D7">
              <w:t xml:space="preserve">You don’t have to answer the therapist’s questions if you don’t want to or if you feel as though you don’t have an answer to give. If this is the case, the therapist might explore with you how it feels to not know the answer or to not want to answer the question, but you will never be forced to answer anything that you can’t or don’t want to. </w:t>
            </w:r>
          </w:p>
        </w:tc>
        <w:tc>
          <w:tcPr>
            <w:tcW w:w="2500" w:type="pct"/>
          </w:tcPr>
          <w:p w14:paraId="079D1D79" w14:textId="77777777" w:rsidR="00111E4D" w:rsidRPr="006305CA" w:rsidRDefault="00111E4D" w:rsidP="00111E4D">
            <w:pPr>
              <w:pStyle w:val="NoSpacing"/>
            </w:pPr>
            <w:r>
              <w:t xml:space="preserve">This question was removed as MYLO needs the user to answer as many of the questions asked as possible in order to better understand the </w:t>
            </w:r>
            <w:proofErr w:type="gramStart"/>
            <w:r>
              <w:t>participants</w:t>
            </w:r>
            <w:proofErr w:type="gramEnd"/>
            <w:r>
              <w:t xml:space="preserve"> problem.</w:t>
            </w:r>
          </w:p>
        </w:tc>
      </w:tr>
      <w:tr w:rsidR="00111E4D" w:rsidRPr="006305CA" w14:paraId="638947BB" w14:textId="77777777" w:rsidTr="00111E4D">
        <w:tc>
          <w:tcPr>
            <w:tcW w:w="2500" w:type="pct"/>
          </w:tcPr>
          <w:p w14:paraId="255D325E" w14:textId="77777777" w:rsidR="00111E4D" w:rsidRPr="006305CA" w:rsidRDefault="00111E4D" w:rsidP="00111E4D">
            <w:pPr>
              <w:pStyle w:val="NoSpacing"/>
            </w:pPr>
            <w:r w:rsidRPr="00EC04D7">
              <w:rPr>
                <w:b/>
                <w:bCs/>
              </w:rPr>
              <w:t xml:space="preserve">“Why is the therapist asking me questions about things like my tone of voice, my facial expressions, or my body language?” </w:t>
            </w:r>
            <w:r w:rsidRPr="00EC04D7">
              <w:t>MOL is interested not just in what you are saying, but also in the little background thoughts that you might be having as you are talking. Sometimes these thoughts might be really important in terms of how you view your problem. Usually when we have these little background thoughts our faces or bodies give us away. We might pause, look away, smile, change our tone of voice etc. So if your therapist asks you about any of these things they are just trying to check out if you are having any thoughts at that moment, and if so, what they might be.</w:t>
            </w:r>
          </w:p>
        </w:tc>
        <w:tc>
          <w:tcPr>
            <w:tcW w:w="2500" w:type="pct"/>
            <w:shd w:val="clear" w:color="auto" w:fill="FFFFFF" w:themeFill="background1"/>
          </w:tcPr>
          <w:p w14:paraId="03620C94" w14:textId="77777777" w:rsidR="00111E4D" w:rsidRPr="006305CA" w:rsidRDefault="00111E4D" w:rsidP="00111E4D">
            <w:pPr>
              <w:pStyle w:val="NoSpacing"/>
            </w:pPr>
            <w:r>
              <w:t>This question was removed as MYLO presently has no ability to analyses tone of voice, facial expressions or body language.</w:t>
            </w:r>
          </w:p>
        </w:tc>
      </w:tr>
      <w:tr w:rsidR="00111E4D" w:rsidRPr="006305CA" w14:paraId="4273C64E" w14:textId="77777777" w:rsidTr="00111E4D">
        <w:tc>
          <w:tcPr>
            <w:tcW w:w="2500" w:type="pct"/>
          </w:tcPr>
          <w:p w14:paraId="2491B317" w14:textId="77777777" w:rsidR="00111E4D" w:rsidRDefault="00111E4D" w:rsidP="00111E4D">
            <w:pPr>
              <w:pStyle w:val="NoSpacing"/>
            </w:pPr>
            <w:r w:rsidRPr="00EC04D7">
              <w:rPr>
                <w:b/>
                <w:bCs/>
              </w:rPr>
              <w:t xml:space="preserve">“How will I feel when I leave a therapy session?”  </w:t>
            </w:r>
            <w:r w:rsidRPr="00EC04D7">
              <w:t xml:space="preserve">You may have a mixture of emotions following a session. Some clients report feeling good because they have been able to talk through important things, and have perhaps come to see them in a more helpful manner.  However, for other clients, talking through their difficulties can be upsetting. It is normal to feel a bit emotional after a therapy session, as dealing with your problem can be a challenging thing to do. Some clients feel a bit confused about things and some clients report being in a thoughtful, reflective frame of mind. </w:t>
            </w:r>
          </w:p>
          <w:p w14:paraId="04905140" w14:textId="77777777" w:rsidR="00111E4D" w:rsidRPr="00EC04D7" w:rsidRDefault="00111E4D" w:rsidP="00111E4D">
            <w:pPr>
              <w:pStyle w:val="NoSpacing"/>
            </w:pPr>
          </w:p>
          <w:p w14:paraId="2F89BA33" w14:textId="77777777" w:rsidR="00111E4D" w:rsidRPr="006305CA" w:rsidRDefault="00111E4D" w:rsidP="00111E4D">
            <w:pPr>
              <w:pStyle w:val="NoSpacing"/>
            </w:pPr>
            <w:r w:rsidRPr="00EC04D7">
              <w:t xml:space="preserve">One client said: </w:t>
            </w:r>
            <w:r w:rsidRPr="007A0D42">
              <w:rPr>
                <w:bCs/>
                <w:i/>
                <w:iCs/>
              </w:rPr>
              <w:t>“I get a lot out of the therapy; I usually leave the sessions feeling so much better than I did when I arrived. However, a few times it’s had the opposite effect on me when I’ve left feeling worse than I did when I got here!”</w:t>
            </w:r>
          </w:p>
        </w:tc>
        <w:tc>
          <w:tcPr>
            <w:tcW w:w="2500" w:type="pct"/>
          </w:tcPr>
          <w:p w14:paraId="51B907F9" w14:textId="77777777" w:rsidR="00111E4D" w:rsidRPr="006305CA" w:rsidRDefault="00111E4D" w:rsidP="00111E4D">
            <w:pPr>
              <w:pStyle w:val="NoSpacing"/>
            </w:pPr>
            <w:r w:rsidRPr="00EE1360">
              <w:rPr>
                <w:b/>
              </w:rPr>
              <w:t>How will I feel when I finish the session?</w:t>
            </w:r>
            <w:r>
              <w:t xml:space="preserve">  You may have a mixture of emotions following the session.  Some people report feeling good because they have been able to talk through important things, and have perhaps come to see them in a different light.  However, for others, talking through their problems can be mildly upsetting. It is normal to feel a bit emotional after a session, as dealing with your problems can be a challenging thing to do.  As I mentioned at the start these are just a few of the questions that have been asked previously. I hope this information has given you an idea of what to expect from me.  If you do have any further queries that have not been covered here or would like any of the points mentioned explaining in more detail, please contact Matthew or one of his supervisors who will be happy to talk things through with you.  Thank you for listening and I really hope our session will be useful.</w:t>
            </w:r>
          </w:p>
        </w:tc>
      </w:tr>
      <w:tr w:rsidR="00111E4D" w:rsidRPr="006305CA" w14:paraId="7262441C" w14:textId="77777777" w:rsidTr="00111E4D">
        <w:tc>
          <w:tcPr>
            <w:tcW w:w="2500" w:type="pct"/>
          </w:tcPr>
          <w:p w14:paraId="6E8B78EC" w14:textId="77777777" w:rsidR="00111E4D" w:rsidRPr="006305CA" w:rsidRDefault="00111E4D" w:rsidP="00111E4D">
            <w:pPr>
              <w:pStyle w:val="NoSpacing"/>
            </w:pPr>
            <w:r w:rsidRPr="00EC04D7">
              <w:rPr>
                <w:b/>
                <w:bCs/>
              </w:rPr>
              <w:t xml:space="preserve">“How long will the sessions last and how often will I have to come?” </w:t>
            </w:r>
            <w:r w:rsidRPr="00EC04D7">
              <w:t xml:space="preserve">Your first session will usually last about an hour although some of this time will be spent filling out questionnaires. Your subsequent sessions will last about 45 minutes, although they can </w:t>
            </w:r>
            <w:r w:rsidRPr="00EC04D7">
              <w:lastRenderedPageBreak/>
              <w:t>be shorter than this if you wish. You can come to therapy as frequently as you want</w:t>
            </w:r>
            <w:r>
              <w:t>, as long as there is a free appointment slot</w:t>
            </w:r>
            <w:r w:rsidRPr="00EC04D7">
              <w:t xml:space="preserve">. </w:t>
            </w:r>
            <w:r>
              <w:t>Y</w:t>
            </w:r>
            <w:r w:rsidRPr="00EC04D7">
              <w:t xml:space="preserve">ou can choose to come weekly, fortnightly, monthly, or </w:t>
            </w:r>
            <w:r>
              <w:t xml:space="preserve">more than once a week - </w:t>
            </w:r>
            <w:r w:rsidRPr="00EC04D7">
              <w:t>whatever suits you best.</w:t>
            </w:r>
          </w:p>
        </w:tc>
        <w:tc>
          <w:tcPr>
            <w:tcW w:w="2500" w:type="pct"/>
          </w:tcPr>
          <w:p w14:paraId="77AAE6B9" w14:textId="77777777" w:rsidR="00111E4D" w:rsidRPr="006305CA" w:rsidRDefault="00111E4D" w:rsidP="00111E4D">
            <w:pPr>
              <w:pStyle w:val="NoSpacing"/>
            </w:pPr>
            <w:r>
              <w:lastRenderedPageBreak/>
              <w:t>This question was removed as the experiment is only comprised of a single session.</w:t>
            </w:r>
          </w:p>
        </w:tc>
      </w:tr>
      <w:tr w:rsidR="00111E4D" w:rsidRPr="006305CA" w14:paraId="7E99297D" w14:textId="77777777" w:rsidTr="00111E4D">
        <w:tc>
          <w:tcPr>
            <w:tcW w:w="2500" w:type="pct"/>
          </w:tcPr>
          <w:p w14:paraId="3EDBDE95" w14:textId="77777777" w:rsidR="00111E4D" w:rsidRPr="006305CA" w:rsidRDefault="00111E4D" w:rsidP="00111E4D">
            <w:pPr>
              <w:pStyle w:val="NoSpacing"/>
            </w:pPr>
            <w:r w:rsidRPr="00EC04D7">
              <w:rPr>
                <w:b/>
                <w:bCs/>
              </w:rPr>
              <w:lastRenderedPageBreak/>
              <w:t xml:space="preserve">“Why do I have to fill out questionnaires when I come for therapy?” </w:t>
            </w:r>
            <w:r w:rsidRPr="00EC04D7">
              <w:t>Some of the questionnaires allow your therapist to monitor how you are feeling. For example, they might ask about your feelings of anxiety or depression over the past couple of weeks. The other questionnaires are needed as the MOL therapy is being offered as part of some research, and the questionnaires form an important part of this research.</w:t>
            </w:r>
          </w:p>
        </w:tc>
        <w:tc>
          <w:tcPr>
            <w:tcW w:w="2500" w:type="pct"/>
          </w:tcPr>
          <w:p w14:paraId="13F6D013" w14:textId="77777777" w:rsidR="00111E4D" w:rsidRPr="006305CA" w:rsidRDefault="00111E4D" w:rsidP="00111E4D">
            <w:pPr>
              <w:pStyle w:val="NoSpacing"/>
            </w:pPr>
            <w:r>
              <w:t>This question was removed as it did not seem relevant to MYLO.</w:t>
            </w:r>
          </w:p>
        </w:tc>
      </w:tr>
      <w:tr w:rsidR="00111E4D" w:rsidRPr="006305CA" w14:paraId="1E7744DA" w14:textId="77777777" w:rsidTr="00111E4D">
        <w:tc>
          <w:tcPr>
            <w:tcW w:w="2500" w:type="pct"/>
          </w:tcPr>
          <w:p w14:paraId="54D99047" w14:textId="77777777" w:rsidR="00111E4D" w:rsidRPr="006305CA" w:rsidRDefault="00111E4D" w:rsidP="00111E4D">
            <w:pPr>
              <w:pStyle w:val="NoSpacing"/>
            </w:pPr>
            <w:r w:rsidRPr="00EC04D7">
              <w:rPr>
                <w:b/>
                <w:bCs/>
              </w:rPr>
              <w:t xml:space="preserve">“Why does my therapist interrupt me when I am talking?” </w:t>
            </w:r>
            <w:r w:rsidRPr="00EC04D7">
              <w:t xml:space="preserve">Your therapist may interrupt you when you are talking because they are interested in something that you have just said, and want to know more about it. Your therapist might also want to know about the background thoughts that were mentioned above and, often, the best time to find out about the background thoughts is while they’re actually there in your mind. If your therapist waits until you have finished what you are saying, you might not be able to remember the background thoughts that you were having a few minutes before. </w:t>
            </w:r>
          </w:p>
        </w:tc>
        <w:tc>
          <w:tcPr>
            <w:tcW w:w="2500" w:type="pct"/>
          </w:tcPr>
          <w:p w14:paraId="3980D4FA" w14:textId="77777777" w:rsidR="00111E4D" w:rsidRPr="006305CA" w:rsidRDefault="00111E4D" w:rsidP="00111E4D">
            <w:pPr>
              <w:pStyle w:val="NoSpacing"/>
            </w:pPr>
            <w:r>
              <w:t>This question was removed as MYLO does not interrupt participants.</w:t>
            </w:r>
          </w:p>
        </w:tc>
      </w:tr>
    </w:tbl>
    <w:p w14:paraId="6099245A" w14:textId="77777777" w:rsidR="00111E4D" w:rsidRDefault="00111E4D" w:rsidP="00111E4D">
      <w:pPr>
        <w:pStyle w:val="NoSpacing"/>
        <w:rPr>
          <w:noProof/>
        </w:rPr>
      </w:pPr>
    </w:p>
    <w:p w14:paraId="21B84096" w14:textId="61A5E7A7" w:rsidR="006D2064" w:rsidRDefault="00111E4D" w:rsidP="00111E4D">
      <w:bookmarkStart w:id="479" w:name="_Hlk529889364"/>
      <w:r>
        <w:rPr>
          <w:noProof/>
        </w:rPr>
        <w:t>For incorpation into MYLO the sheet has been</w:t>
      </w:r>
      <w:r w:rsidRPr="00856C73">
        <w:rPr>
          <w:noProof/>
        </w:rPr>
        <w:t xml:space="preserve"> written as though MYLO is directly speaking to the participant</w:t>
      </w:r>
      <w:r>
        <w:rPr>
          <w:noProof/>
        </w:rPr>
        <w:t>, some items have been removed for not being relevant to the automated context, and others adapted for the context</w:t>
      </w:r>
      <w:r w:rsidR="00554CB4">
        <w:rPr>
          <w:noProof/>
        </w:rPr>
        <w:t xml:space="preserve">.  </w:t>
      </w:r>
      <w:r>
        <w:t xml:space="preserve">The instructions </w:t>
      </w:r>
      <w:r>
        <w:rPr>
          <w:noProof/>
        </w:rPr>
        <w:t xml:space="preserve">form </w:t>
      </w:r>
      <w:r>
        <w:t xml:space="preserve">a series of presentational web pages that the user must navigate through before being redirected to MYLO.  The </w:t>
      </w:r>
      <w:proofErr w:type="gramStart"/>
      <w:r>
        <w:t xml:space="preserve">instructions </w:t>
      </w:r>
      <w:r w:rsidR="00716D78">
        <w:rPr>
          <w:noProof/>
        </w:rPr>
        <w:t>was</w:t>
      </w:r>
      <w:proofErr w:type="gramEnd"/>
      <w:r w:rsidRPr="00856C73">
        <w:rPr>
          <w:noProof/>
        </w:rPr>
        <w:t xml:space="preserve"> written</w:t>
      </w:r>
      <w:r>
        <w:t xml:space="preserve"> as though MYLO is directly speaking to the participant and detail how to operate and use the program</w:t>
      </w:r>
      <w:r w:rsidR="008B455C">
        <w:t xml:space="preserve"> (see </w:t>
      </w:r>
      <w:r w:rsidR="008B455C" w:rsidRPr="00362DAF">
        <w:t>Appendix D</w:t>
      </w:r>
      <w:r w:rsidR="00E236B9">
        <w:t>2</w:t>
      </w:r>
      <w:r w:rsidR="008B455C">
        <w:t>)</w:t>
      </w:r>
      <w:r>
        <w:t>.</w:t>
      </w:r>
      <w:bookmarkStart w:id="480" w:name="_Hlk529889380"/>
      <w:bookmarkEnd w:id="479"/>
    </w:p>
    <w:p w14:paraId="6E1483A2" w14:textId="4A365719" w:rsidR="00111E4D" w:rsidRDefault="00111E4D" w:rsidP="006D2064">
      <w:pPr>
        <w:pStyle w:val="Heading4"/>
      </w:pPr>
      <w:r>
        <w:t xml:space="preserve">Manage </w:t>
      </w:r>
      <w:r w:rsidRPr="00E263B8">
        <w:rPr>
          <w:noProof/>
        </w:rPr>
        <w:t>Your</w:t>
      </w:r>
      <w:r>
        <w:t xml:space="preserve"> Life Online (MYLO) Guided with Speech</w:t>
      </w:r>
    </w:p>
    <w:p w14:paraId="240AD01F" w14:textId="016C78AB" w:rsidR="00111E4D" w:rsidRDefault="00111E4D" w:rsidP="00111E4D">
      <w:r>
        <w:t xml:space="preserve">M+G+S is a further enhanced version of MYLO Guided but with the addition of </w:t>
      </w:r>
      <w:r w:rsidRPr="00B356A7">
        <w:rPr>
          <w:noProof/>
        </w:rPr>
        <w:t>synthesised</w:t>
      </w:r>
      <w:r>
        <w:t xml:space="preserve"> speech</w:t>
      </w:r>
      <w:r w:rsidR="00362DAF">
        <w:t xml:space="preserve"> (see </w:t>
      </w:r>
      <w:r w:rsidR="00362DAF" w:rsidRPr="00362DAF">
        <w:t>Appendix D</w:t>
      </w:r>
      <w:r w:rsidR="00E236B9">
        <w:t>3</w:t>
      </w:r>
      <w:r w:rsidR="00362DAF">
        <w:t>)</w:t>
      </w:r>
      <w:r>
        <w:t xml:space="preserve">.  The program reads aloud to the participant during the introduction, instructions and responds aloud during the session to try to provide a naturalistic and </w:t>
      </w:r>
      <w:r w:rsidRPr="00B356A7">
        <w:rPr>
          <w:noProof/>
        </w:rPr>
        <w:t>person</w:t>
      </w:r>
      <w:r>
        <w:rPr>
          <w:noProof/>
        </w:rPr>
        <w:t>-</w:t>
      </w:r>
      <w:r w:rsidRPr="00B356A7">
        <w:rPr>
          <w:noProof/>
        </w:rPr>
        <w:t>centric</w:t>
      </w:r>
      <w:r>
        <w:t xml:space="preserve"> interface.  To implement the speech generation, this version of MYLO passes its next utterance as a text string to a secure web server.  The secure server then generates an MP3 file containing the spoken text.  The location of the file </w:t>
      </w:r>
      <w:r w:rsidRPr="00856C73">
        <w:rPr>
          <w:noProof/>
        </w:rPr>
        <w:t>is then sent</w:t>
      </w:r>
      <w:r>
        <w:t xml:space="preserve"> to the participant’s web browser where MYLO picks up the web address and downloads the file before playing it to the participant</w:t>
      </w:r>
      <w:r w:rsidR="00554CB4">
        <w:t xml:space="preserve">.  </w:t>
      </w:r>
      <w:r w:rsidRPr="00362DAF">
        <w:t xml:space="preserve">Further details on how this </w:t>
      </w:r>
      <w:r w:rsidRPr="00362DAF">
        <w:rPr>
          <w:noProof/>
        </w:rPr>
        <w:t>is implemented</w:t>
      </w:r>
      <w:r w:rsidRPr="00362DAF">
        <w:t xml:space="preserve"> can </w:t>
      </w:r>
      <w:r w:rsidRPr="00362DAF">
        <w:rPr>
          <w:noProof/>
        </w:rPr>
        <w:t>be found</w:t>
      </w:r>
      <w:r w:rsidRPr="00362DAF">
        <w:t xml:space="preserve"> in Appendix </w:t>
      </w:r>
      <w:r w:rsidR="00362DAF" w:rsidRPr="00362DAF">
        <w:t>D</w:t>
      </w:r>
      <w:r w:rsidR="00E236B9">
        <w:t>4</w:t>
      </w:r>
      <w:r w:rsidRPr="00362DAF">
        <w:t>.</w:t>
      </w:r>
      <w:bookmarkEnd w:id="480"/>
    </w:p>
    <w:p w14:paraId="4DDEE8E3" w14:textId="77777777" w:rsidR="00111E4D" w:rsidRDefault="00111E4D" w:rsidP="00111E4D">
      <w:pPr>
        <w:pStyle w:val="Heading3"/>
      </w:pPr>
      <w:bookmarkStart w:id="481" w:name="_Toc530598214"/>
      <w:bookmarkStart w:id="482" w:name="_Toc530660567"/>
      <w:bookmarkStart w:id="483" w:name="_Toc3538169"/>
      <w:r>
        <w:t>Materials</w:t>
      </w:r>
      <w:bookmarkEnd w:id="481"/>
      <w:bookmarkEnd w:id="482"/>
      <w:bookmarkEnd w:id="483"/>
    </w:p>
    <w:p w14:paraId="7B992C12" w14:textId="77777777" w:rsidR="00111E4D" w:rsidRDefault="00111E4D" w:rsidP="00111E4D">
      <w:pPr>
        <w:pStyle w:val="Heading4"/>
      </w:pPr>
      <w:bookmarkStart w:id="484" w:name="_Hlk520123936"/>
      <w:r>
        <w:t>Demographics</w:t>
      </w:r>
    </w:p>
    <w:bookmarkEnd w:id="484"/>
    <w:p w14:paraId="3E3CA60D" w14:textId="77777777" w:rsidR="00111E4D" w:rsidRPr="00F54BC3" w:rsidRDefault="00111E4D" w:rsidP="00111E4D">
      <w:r>
        <w:t>Age and gender data were collected.</w:t>
      </w:r>
    </w:p>
    <w:p w14:paraId="37BB0FC6" w14:textId="77777777" w:rsidR="00111E4D" w:rsidRPr="00DA2360" w:rsidRDefault="00111E4D" w:rsidP="00111E4D">
      <w:pPr>
        <w:pStyle w:val="Heading4"/>
      </w:pPr>
      <w:r>
        <w:lastRenderedPageBreak/>
        <w:t>Measures of Effectiveness</w:t>
      </w:r>
    </w:p>
    <w:p w14:paraId="1E58EA9C" w14:textId="77777777" w:rsidR="00111E4D" w:rsidRPr="00B75CC2" w:rsidRDefault="00111E4D" w:rsidP="00111E4D">
      <w:pPr>
        <w:pStyle w:val="Heading5"/>
      </w:pPr>
      <w:r>
        <w:t xml:space="preserve">Problem Description </w:t>
      </w:r>
      <w:r w:rsidRPr="000C7BBE">
        <w:rPr>
          <w:noProof/>
        </w:rPr>
        <w:t>Ratings</w:t>
      </w:r>
      <w:r>
        <w:t xml:space="preserve"> Scale (PDRS)</w:t>
      </w:r>
    </w:p>
    <w:p w14:paraId="542D27AE" w14:textId="51220531" w:rsidR="00111E4D" w:rsidRDefault="00111E4D" w:rsidP="00111E4D">
      <w:r>
        <w:t xml:space="preserve">Similar to </w:t>
      </w:r>
      <w:r w:rsidRPr="00BA4459">
        <w:rPr>
          <w:noProof/>
        </w:rPr>
        <w:t xml:space="preserve">Gaffney et al. </w:t>
      </w:r>
      <w:r>
        <w:fldChar w:fldCharType="begin" w:fldLock="1"/>
      </w:r>
      <w:r>
        <w:instrText>ADDIN CSL_CITATION {"citationItems":[{"id":"ITEM-1","itemData":{"DOI":"10.1017/S135246581300060X","ISBN":"1352-4658","ISSN":"14691833","PMID":"23899405","abstract":"Background: Computerized self-help that has an interactive, conversational format holds several advantages, such as flexibility across presenting problems and ease of use. We designed a new program called MYLO that utilizes the principles of Method of Levels (MOL) therapy - based upon Perceptual Control Theory (PCT). Aims: We tested the efficacy of MYLO, tested whether the psychological change mechanisms described by PCT mediated its efficacy, and evaluated effects of client expectancy. Method: Forty-eight student participants were randomly assigned to MYLO or a comparison program ELIZA. Participants discussed a problem they were currently experiencing with their assigned program and completed measures of distress, resolution and expectancy preintervention, postintervention and at 2-week follow-up. Results: MYLO and ELIZA were associated with reductions in distress, depression, anxiety and stress. MYLO was considered more helpful and led to greater problem resolution. The psychological change processes predicted higher ratings of MYLO's helpfulness and reductions in distress. Positive expectancies towards computer-based problem solving correlated with MYLO's perceived helpfulness and greater problem resolution, and this was partly mediated by the psychological change processes identified. Conclusions: The findings provide provisional support for the acceptability of the MYLO program in a non-clinical sample although its efficacy as an innovative computer-based aid to problem solving remains unclear. Nevertheless, the findings provide tentative early support for the mechanisms of psychological change identified within PCT and highlight the importance of client expectations on predicting engagement in computer-based self-help.","author":[{"dropping-particle":"","family":"Gaffney","given":"Hannah","non-dropping-particle":"","parse-names":false,"suffix":""},{"dropping-particle":"","family":"Mansell","given":"Warren","non-dropping-particle":"","parse-names":false,"suffix":""},{"dropping-particle":"","family":"Edwards","given":"Rachel","non-dropping-particle":"","parse-names":false,"suffix":""},{"dropping-particle":"","family":"Wright","given":"Jason","non-dropping-particle":"","parse-names":false,"suffix":""}],"container-title":"Behavioural and Cognitive Psychotherapy","id":"ITEM-1","issue":"6","issued":{"date-parts":[["2014"]]},"page":"731-746","title":"Manage Your Life Online (MYLO): A pilot trial of a conversational computer-based intervention for problem solving in a student sample","type":"article-journal","volume":"42"},"uris":["http://www.mendeley.com/documents/?uuid=a57316c1-59bb-4a79-a904-d9074a57d136"]}],"mendeley":{"formattedCitation":"(Gaffney &lt;i&gt;et al.&lt;/i&gt;, 2014)","manualFormatting":"(2013)","plainTextFormattedCitation":"(Gaffney et al., 2014)","previouslyFormattedCitation":"(Gaffney &lt;i&gt;et al.&lt;/i&gt;, 2014)"},"properties":{"noteIndex":0},"schema":"https://github.com/citation-style-language/schema/raw/master/csl-citation.json"}</w:instrText>
      </w:r>
      <w:r>
        <w:fldChar w:fldCharType="separate"/>
      </w:r>
      <w:r w:rsidRPr="00BA4459">
        <w:rPr>
          <w:noProof/>
        </w:rPr>
        <w:t>(2013)</w:t>
      </w:r>
      <w:r>
        <w:fldChar w:fldCharType="end"/>
      </w:r>
      <w:r>
        <w:t xml:space="preserve"> and the study carried out in Chapter 5, participants were asked to provide a qualitative description of a problem (e.g. with finances, relationships, family), a new 6-point scale to measure the time the person has had their problem for ranging from 0 (less than a month) and 5 (3 years or more).  Two 11-point scales measuring the degree of distress caused by the problem ranging from 0 (not distressing at all) and 10 (highly distressing) and the problem’s solvability ranging from 0 (cannot be resolved) to 10 (easily resolved) </w:t>
      </w:r>
      <w:r w:rsidR="000E1C6C">
        <w:t>(</w:t>
      </w:r>
      <w:r w:rsidR="000E1C6C">
        <w:rPr>
          <w:rFonts w:cs="Arial"/>
          <w:color w:val="222222"/>
          <w:shd w:val="clear" w:color="auto" w:fill="FFFFFF"/>
        </w:rPr>
        <w:t>s</w:t>
      </w:r>
      <w:r w:rsidRPr="000E1C6C">
        <w:rPr>
          <w:rFonts w:cs="Arial"/>
          <w:color w:val="222222"/>
          <w:shd w:val="clear" w:color="auto" w:fill="FFFFFF"/>
        </w:rPr>
        <w:t>ee</w:t>
      </w:r>
      <w:r w:rsidR="005D4B28">
        <w:rPr>
          <w:rFonts w:cs="Arial"/>
          <w:color w:val="222222"/>
          <w:shd w:val="clear" w:color="auto" w:fill="FFFFFF"/>
        </w:rPr>
        <w:t xml:space="preserve"> </w:t>
      </w:r>
      <w:r w:rsidRPr="000E1C6C">
        <w:rPr>
          <w:rFonts w:cs="Arial"/>
          <w:bCs/>
          <w:color w:val="222222"/>
          <w:shd w:val="clear" w:color="auto" w:fill="FFFFFF"/>
        </w:rPr>
        <w:t>Appendix</w:t>
      </w:r>
      <w:r w:rsidR="005D4B28">
        <w:rPr>
          <w:rFonts w:cs="Arial"/>
          <w:bCs/>
          <w:color w:val="222222"/>
          <w:shd w:val="clear" w:color="auto" w:fill="FFFFFF"/>
        </w:rPr>
        <w:t xml:space="preserve"> </w:t>
      </w:r>
      <w:r w:rsidR="000E1C6C" w:rsidRPr="000E1C6C">
        <w:rPr>
          <w:rFonts w:cs="Arial"/>
          <w:color w:val="222222"/>
          <w:shd w:val="clear" w:color="auto" w:fill="FFFFFF"/>
        </w:rPr>
        <w:t>C1</w:t>
      </w:r>
      <w:r w:rsidR="000E1C6C">
        <w:rPr>
          <w:rFonts w:cs="Arial"/>
          <w:color w:val="222222"/>
          <w:shd w:val="clear" w:color="auto" w:fill="FFFFFF"/>
        </w:rPr>
        <w:t>)</w:t>
      </w:r>
      <w:r w:rsidR="000E1C6C">
        <w:t>.</w:t>
      </w:r>
    </w:p>
    <w:p w14:paraId="63582336" w14:textId="77777777" w:rsidR="00111E4D" w:rsidRDefault="00111E4D" w:rsidP="00111E4D">
      <w:pPr>
        <w:pStyle w:val="Heading5"/>
      </w:pPr>
      <w:r w:rsidRPr="00793013">
        <w:t>Patient Health Questionnaire (P</w:t>
      </w:r>
      <w:r>
        <w:t>H</w:t>
      </w:r>
      <w:r w:rsidRPr="00793013">
        <w:t>Q-9)</w:t>
      </w:r>
    </w:p>
    <w:p w14:paraId="474BC920" w14:textId="7FDCE014" w:rsidR="00111E4D" w:rsidRDefault="00111E4D" w:rsidP="00111E4D">
      <w:r>
        <w:t xml:space="preserve">The Patient Health Questionnaire (PHQ) is a 9-item self-administered version of the PRIME-MD diagnostic instrument for common mental disorders </w:t>
      </w:r>
      <w:r>
        <w:fldChar w:fldCharType="begin" w:fldLock="1"/>
      </w:r>
      <w:r>
        <w:instrText>ADDIN CSL_CITATION {"citationItems":[{"id":"ITEM-1","itemData":{"DOI":"10.1046/J.1525-1497.2001.016009606.X","ISSN":"0884-8734","PMID":"11556941","abstract":"OBJECTIVE While considerable attention has focused on improving the detection of depression, assessment of severity is also important in guiding treatment decisions. Therefore, we examined the validity of a brief, new measure of depression severity. MEASUREMENTS The Patient Health Questionnaire (PHQ) is a self-administered version of the PRIME-MD diagnostic instrument for common mental disorders. The PHQ-9 is the depression module, which scores each of the 9 DSM-IV criteria as \"0\" (not at all) to \"3\" (nearly every day). The PHQ-9 was completed by 6,000 patients in 8 primary care clinics and 7 obstetrics-gynecology clinics. Construct validity was assessed using the 20-item Short-Form General Health Survey, self-reported sick days and clinic visits, and symptom-related difficulty. Criterion validity was assessed against an independent structured mental health professional (MHP) interview in a sample of 580 patients. RESULTS As PHQ-9 depression severity increased, there was a substantial decrease in functional status on all 6 SF-20 subscales. Also, symptom-related difficulty, sick days, and health care utilization increased. Using the MHP reinterview as the criterion standard, a PHQ-9 score &gt; or =10 had a sensitivity of 88% and a specificity of 88% for major depression. PHQ-9 scores of 5, 10, 15, and 20 represented mild, moderate, moderately severe, and severe depression, respectively. Results were similar in the primary care and obstetrics-gynecology samples. CONCLUSION In addition to making criteria-based diagnoses of depressive disorders, the PHQ-9 is also a reliable and valid measure of depression severity. These characteristics plus its brevity make the PHQ-9 a useful clinical and research tool.","author":[{"dropping-particle":"","family":"Kroenke","given":"K","non-dropping-particle":"","parse-names":false,"suffix":""},{"dropping-particle":"","family":"Spitzer","given":"R L","non-dropping-particle":"","parse-names":false,"suffix":""},{"dropping-particle":"","family":"Williams","given":"J B","non-dropping-particle":"","parse-names":false,"suffix":""}],"container-title":"Journal of general internal medicine","id":"ITEM-1","issue":"9","issued":{"date-parts":[["2001","9"]]},"page":"606-13","publisher":"Springer","title":"The PHQ-9: validity of a brief depression severity measure.","type":"article-journal","volume":"16"},"uris":["http://www.mendeley.com/documents/?uuid=91033871-ffc4-3e35-9d7c-98b59af57fae"]}],"mendeley":{"formattedCitation":"(Kroenke, Spitzer and Williams, 2001)","manualFormatting":"(Kroenke, Spitzer &amp; Williams, 2001)","plainTextFormattedCitation":"(Kroenke, Spitzer and Williams, 2001)","previouslyFormattedCitation":"(Kroenke, Spitzer and Williams, 2001)"},"properties":{"noteIndex":0},"schema":"https://github.com/citation-style-language/schema/raw/master/csl-citation.json"}</w:instrText>
      </w:r>
      <w:r>
        <w:fldChar w:fldCharType="separate"/>
      </w:r>
      <w:r w:rsidRPr="001D28FD">
        <w:rPr>
          <w:noProof/>
        </w:rPr>
        <w:t xml:space="preserve">(Kroenke, Spitzer </w:t>
      </w:r>
      <w:r>
        <w:rPr>
          <w:noProof/>
        </w:rPr>
        <w:t>&amp;</w:t>
      </w:r>
      <w:r w:rsidRPr="001D28FD">
        <w:rPr>
          <w:noProof/>
        </w:rPr>
        <w:t xml:space="preserve"> Williams, 2001)</w:t>
      </w:r>
      <w:r>
        <w:fldChar w:fldCharType="end"/>
      </w:r>
      <w:r>
        <w:t xml:space="preserve">.  The PHQ-9 scale </w:t>
      </w:r>
      <w:r w:rsidRPr="00E263B8">
        <w:rPr>
          <w:noProof/>
        </w:rPr>
        <w:t>is designed</w:t>
      </w:r>
      <w:r>
        <w:t xml:space="preserve"> for use with adults in assessing and monitoring depression severity based on the 9 DSM-IV criteria, each rated</w:t>
      </w:r>
      <w:r w:rsidRPr="001D28FD">
        <w:t xml:space="preserve"> as “0” (not at all) to “3” (nearly every day)</w:t>
      </w:r>
      <w:r w:rsidR="000E1C6C">
        <w:t xml:space="preserve"> (</w:t>
      </w:r>
      <w:r w:rsidR="000E1C6C">
        <w:rPr>
          <w:rFonts w:cs="Arial"/>
          <w:color w:val="222222"/>
          <w:shd w:val="clear" w:color="auto" w:fill="FFFFFF"/>
        </w:rPr>
        <w:t>s</w:t>
      </w:r>
      <w:r w:rsidR="000E1C6C" w:rsidRPr="000E1C6C">
        <w:rPr>
          <w:rFonts w:cs="Arial"/>
          <w:color w:val="222222"/>
          <w:shd w:val="clear" w:color="auto" w:fill="FFFFFF"/>
        </w:rPr>
        <w:t>ee</w:t>
      </w:r>
      <w:r w:rsidR="005D4B28">
        <w:rPr>
          <w:rFonts w:cs="Arial"/>
          <w:color w:val="222222"/>
          <w:shd w:val="clear" w:color="auto" w:fill="FFFFFF"/>
        </w:rPr>
        <w:t xml:space="preserve"> </w:t>
      </w:r>
      <w:r w:rsidR="000E1C6C" w:rsidRPr="000E1C6C">
        <w:rPr>
          <w:rFonts w:cs="Arial"/>
          <w:bCs/>
          <w:color w:val="222222"/>
          <w:shd w:val="clear" w:color="auto" w:fill="FFFFFF"/>
        </w:rPr>
        <w:t>Appendix</w:t>
      </w:r>
      <w:r w:rsidR="005D4B28">
        <w:rPr>
          <w:rFonts w:cs="Arial"/>
          <w:bCs/>
          <w:color w:val="222222"/>
          <w:shd w:val="clear" w:color="auto" w:fill="FFFFFF"/>
        </w:rPr>
        <w:t xml:space="preserve"> </w:t>
      </w:r>
      <w:r w:rsidR="000E1C6C">
        <w:rPr>
          <w:rFonts w:cs="Arial"/>
          <w:color w:val="222222"/>
          <w:shd w:val="clear" w:color="auto" w:fill="FFFFFF"/>
        </w:rPr>
        <w:t>D</w:t>
      </w:r>
      <w:r w:rsidR="002C7330">
        <w:rPr>
          <w:rFonts w:cs="Arial"/>
          <w:color w:val="222222"/>
          <w:shd w:val="clear" w:color="auto" w:fill="FFFFFF"/>
        </w:rPr>
        <w:t>5</w:t>
      </w:r>
      <w:r w:rsidR="000E1C6C">
        <w:rPr>
          <w:rFonts w:cs="Arial"/>
          <w:color w:val="222222"/>
          <w:shd w:val="clear" w:color="auto" w:fill="FFFFFF"/>
        </w:rPr>
        <w:t>)</w:t>
      </w:r>
      <w:r w:rsidR="000E1C6C">
        <w:t>.</w:t>
      </w:r>
    </w:p>
    <w:p w14:paraId="416FA9CA" w14:textId="77777777" w:rsidR="00111E4D" w:rsidRPr="00793013" w:rsidRDefault="00111E4D" w:rsidP="00111E4D">
      <w:pPr>
        <w:pStyle w:val="Heading5"/>
      </w:pPr>
      <w:r>
        <w:t>Generalized Anxiety Disorder 7 (GAD-7)</w:t>
      </w:r>
    </w:p>
    <w:p w14:paraId="73D18A10" w14:textId="6626E9D1" w:rsidR="00111E4D" w:rsidRDefault="00111E4D" w:rsidP="00111E4D">
      <w:r>
        <w:t xml:space="preserve">General Anxiety Disorder (GAD-7; </w:t>
      </w:r>
      <w:r>
        <w:fldChar w:fldCharType="begin" w:fldLock="1"/>
      </w:r>
      <w:r>
        <w:instrText>ADDIN CSL_CITATION {"citationItems":[{"id":"ITEM-1","itemData":{"DOI":"10.1001/archinte.166.10.1092","ISBN":"0003-9926","ISSN":"00039926","PMID":"16717171","abstract":"BACKGROUND: Generalized anxiety disorder (GAD) is one of the most common mental disorders; however, there is no brief clinical measure for assessing GAD. The objective of this study was to develop a brief self-report scale to identify probable cases of GAD and evaluate its reliability and validity. METHODS: A criterion-standard study was performed in 15 primary care clinics in the United States from November 2004 through June 2005. Of a total of 2740 adult patients completing a study questionnaire, 965 patients had a telephone interview with a mental health professional within 1 week. For criterion and construct validity, GAD self-report scale diagnoses were compared with independent diagnoses made by mental health professionals; functional status measures; disability days; and health care use. RESULTS: A 7-item anxiety scale (GAD-7) had good reliability, as well as criterion, construct, factorial, and procedural validity. A cut point was identified that optimized sensitivity (89%) and specificity (82%). Increasing scores on the scale were strongly associated with multiple domains of functional impairment (all 6 Medical Outcomes Study Short-Form General Health Survey scales and disability days). Although GAD and depression symptoms frequently co-occurred, factor analysis confirmed them as distinct dimensions. Moreover, GAD and depression symptoms had differing but independent effects on functional impairment and disability. There was good agreement between self-report and interviewer-administered versions of the scale. CONCLUSION: The GAD-7 is a valid and efficient tool for screening for GAD and assessing its severity in clinical practice and research.","author":[{"dropping-particle":"","family":"Spitzer","given":"Robert L.","non-dropping-particle":"","parse-names":false,"suffix":""},{"dropping-particle":"","family":"Kroenke","given":"Kurt","non-dropping-particle":"","parse-names":false,"suffix":""},{"dropping-particle":"","family":"Williams","given":"Janet B W","non-dropping-particle":"","parse-names":false,"suffix":""},{"dropping-particle":"","family":"Löwe","given":"Bernd","non-dropping-particle":"","parse-names":false,"suffix":""}],"container-title":"Archives of Internal Medicine","id":"ITEM-1","issue":"10","issued":{"date-parts":[["2006","5","22"]]},"page":"1092-1097","publisher":"American Medical Association","title":"A brief measure for assessing generalized anxiety disorder: The GAD-7","type":"article-journal","volume":"166"},"uris":["http://www.mendeley.com/documents/?uuid=a2702713-c1a9-3bb6-81aa-6352e9176160"]}],"mendeley":{"formattedCitation":"(Spitzer &lt;i&gt;et al.&lt;/i&gt;, 2006)","manualFormatting":"Spitzer et al., 2006)","plainTextFormattedCitation":"(Spitzer et al., 2006)","previouslyFormattedCitation":"(Spitzer &lt;i&gt;et al.&lt;/i&gt;, 2006)"},"properties":{"noteIndex":0},"schema":"https://github.com/citation-style-language/schema/raw/master/csl-citation.json"}</w:instrText>
      </w:r>
      <w:r>
        <w:fldChar w:fldCharType="separate"/>
      </w:r>
      <w:r w:rsidRPr="00FD1715">
        <w:rPr>
          <w:noProof/>
        </w:rPr>
        <w:t xml:space="preserve">Spitzer </w:t>
      </w:r>
      <w:r w:rsidRPr="00FD1715">
        <w:rPr>
          <w:i/>
          <w:noProof/>
        </w:rPr>
        <w:t>et al.</w:t>
      </w:r>
      <w:r w:rsidRPr="00FD1715">
        <w:rPr>
          <w:noProof/>
        </w:rPr>
        <w:t>, 2006)</w:t>
      </w:r>
      <w:r>
        <w:fldChar w:fldCharType="end"/>
      </w:r>
      <w:r>
        <w:t xml:space="preserve"> comprises </w:t>
      </w:r>
      <w:r>
        <w:rPr>
          <w:noProof/>
        </w:rPr>
        <w:t>seven</w:t>
      </w:r>
      <w:r>
        <w:t xml:space="preserve"> items measuring symptoms and severity of anxiety based on the DSM-IV diagnostic criteria</w:t>
      </w:r>
      <w:r w:rsidR="00554CB4">
        <w:t xml:space="preserve">.  </w:t>
      </w:r>
      <w:r>
        <w:t xml:space="preserve">The GAD-7 has </w:t>
      </w:r>
      <w:r w:rsidRPr="00AC3A07">
        <w:rPr>
          <w:noProof/>
        </w:rPr>
        <w:t>good</w:t>
      </w:r>
      <w:r>
        <w:t xml:space="preserve"> internal consistency (0.89) and good convergent validity with other anxiety scales </w:t>
      </w:r>
      <w:r>
        <w:fldChar w:fldCharType="begin" w:fldLock="1"/>
      </w:r>
      <w:r>
        <w:instrText>ADDIN CSL_CITATION {"citationItems":[{"id":"ITEM-1","itemData":{"DOI":"10.1016/J.GENHOSPPSYCH.2010.03.006","ISSN":"0163-8343","abstract":"BACKGROUND\nDepression, anxiety and somatization are the most common mental disorders in primary care as well as medical specialty populations; each is present in at least 5–10% of patients and frequently comorbid with one another. An efficient means for measuring and monitoring all three conditions would be desirable. \n\nMETHODS\nEvidence regarding the psychometric and pragmatic characteristics of the Patient Health Questionnaire (PHQ)-9 depression, generalized anxiety disorder (GAD)-7 anxiety and PHQ-15 somatic symptom scales are synthesized from two sources: (1) four multisite cross-sectional studies (three conducted in primary care and one in obstetric-gynecology practices) comprising 9740 patients, and (2) key studies from the literature that have studied these scales. \n\nRESULTS\nThe PHQ-9 and its abbreviated eight-item (PHQ-8) and two-item (PHQ-2) versions have good sensitivity and specificity for detecting depressive disorders. Likewise, the GAD-7 and its abbreviated two-item (GAD-2) version have good operating characteristics for detecting generalized anxiety, panic, social anxiety and post-traumatic stress disorder. The optimal cutpoint is ≥10 on the parent scales (PHQ-9 and GAD-7) and ≥3 on the ultra-brief versions (PHQ-2 and GAD-2). The PHQ-15 is equal or superior to other brief measures for assessing somatic symptoms and screening for somatoform disorders. Cutpoints of 5, 10 and 15 represent mild, moderate and severe symptom levels on all three scales. Sensitivity to change is well-established for the PHQ-9 and emerging albeit not yet definitive for the GAD-7 and PHQ-15. \n\nCONCLUSIONS\nThe PHQ-9, GAD-7 and PHQ-15 are brief well-validated measures for detecting and monitoring depression, anxiety and somatization.","author":[{"dropping-particle":"","family":"Kroenke","given":"Kurt","non-dropping-particle":"","parse-names":false,"suffix":""},{"dropping-particle":"","family":"Spitzer","given":"Robert L.","non-dropping-particle":"","parse-names":false,"suffix":""},{"dropping-particle":"","family":"Williams","given":"Janet B.W.","non-dropping-particle":"","parse-names":false,"suffix":""},{"dropping-particle":"","family":"Löwe","given":"Bernd","non-dropping-particle":"","parse-names":false,"suffix":""}],"container-title":"General Hospital Psychiatry","id":"ITEM-1","issue":"4","issued":{"date-parts":[["2010","7","1"]]},"page":"345-359","publisher":"Elsevier","title":"The Patient Health Questionnaire Somatic, Anxiety, and Depressive Symptom Scales: a systematic review","type":"article-journal","volume":"32"},"uris":["http://www.mendeley.com/documents/?uuid=c27c464b-fc9f-3b37-b979-d17ae3df60a5"]}],"mendeley":{"formattedCitation":"(Kroenke &lt;i&gt;et al.&lt;/i&gt;, 2010)","plainTextFormattedCitation":"(Kroenke et al., 2010)","previouslyFormattedCitation":"(Kroenke &lt;i&gt;et al.&lt;/i&gt;, 2010)"},"properties":{"noteIndex":0},"schema":"https://github.com/citation-style-language/schema/raw/master/csl-citation.json"}</w:instrText>
      </w:r>
      <w:r>
        <w:fldChar w:fldCharType="separate"/>
      </w:r>
      <w:r w:rsidRPr="00C855AC">
        <w:rPr>
          <w:noProof/>
        </w:rPr>
        <w:t xml:space="preserve">(Kroenke </w:t>
      </w:r>
      <w:r w:rsidRPr="00C855AC">
        <w:rPr>
          <w:i/>
          <w:noProof/>
        </w:rPr>
        <w:t>et al.</w:t>
      </w:r>
      <w:r w:rsidRPr="00C855AC">
        <w:rPr>
          <w:noProof/>
        </w:rPr>
        <w:t>, 2010)</w:t>
      </w:r>
      <w:r>
        <w:fldChar w:fldCharType="end"/>
      </w:r>
      <w:r w:rsidR="000E1C6C">
        <w:t xml:space="preserve"> (</w:t>
      </w:r>
      <w:r w:rsidR="000E1C6C">
        <w:rPr>
          <w:rFonts w:cs="Arial"/>
          <w:color w:val="222222"/>
          <w:shd w:val="clear" w:color="auto" w:fill="FFFFFF"/>
        </w:rPr>
        <w:t>s</w:t>
      </w:r>
      <w:r w:rsidR="000E1C6C" w:rsidRPr="000E1C6C">
        <w:rPr>
          <w:rFonts w:cs="Arial"/>
          <w:color w:val="222222"/>
          <w:shd w:val="clear" w:color="auto" w:fill="FFFFFF"/>
        </w:rPr>
        <w:t>ee</w:t>
      </w:r>
      <w:r w:rsidR="005D4B28">
        <w:rPr>
          <w:rFonts w:cs="Arial"/>
          <w:color w:val="222222"/>
          <w:shd w:val="clear" w:color="auto" w:fill="FFFFFF"/>
        </w:rPr>
        <w:t xml:space="preserve"> </w:t>
      </w:r>
      <w:r w:rsidR="000E1C6C" w:rsidRPr="000E1C6C">
        <w:rPr>
          <w:rFonts w:cs="Arial"/>
          <w:bCs/>
          <w:color w:val="222222"/>
          <w:shd w:val="clear" w:color="auto" w:fill="FFFFFF"/>
        </w:rPr>
        <w:t>Appendix</w:t>
      </w:r>
      <w:r w:rsidR="005D4B28">
        <w:rPr>
          <w:rFonts w:cs="Arial"/>
          <w:color w:val="222222"/>
          <w:shd w:val="clear" w:color="auto" w:fill="FFFFFF"/>
        </w:rPr>
        <w:t xml:space="preserve"> </w:t>
      </w:r>
      <w:r w:rsidR="000E1C6C">
        <w:rPr>
          <w:rFonts w:cs="Arial"/>
          <w:color w:val="222222"/>
          <w:shd w:val="clear" w:color="auto" w:fill="FFFFFF"/>
        </w:rPr>
        <w:t>D</w:t>
      </w:r>
      <w:r w:rsidR="002C7330">
        <w:rPr>
          <w:rFonts w:cs="Arial"/>
          <w:color w:val="222222"/>
          <w:shd w:val="clear" w:color="auto" w:fill="FFFFFF"/>
        </w:rPr>
        <w:t>6</w:t>
      </w:r>
      <w:r w:rsidR="000E1C6C">
        <w:rPr>
          <w:rFonts w:cs="Arial"/>
          <w:color w:val="222222"/>
          <w:shd w:val="clear" w:color="auto" w:fill="FFFFFF"/>
        </w:rPr>
        <w:t>)</w:t>
      </w:r>
      <w:r w:rsidR="000E1C6C">
        <w:t>.</w:t>
      </w:r>
    </w:p>
    <w:p w14:paraId="48AA864B" w14:textId="77777777" w:rsidR="00111E4D" w:rsidRDefault="00111E4D" w:rsidP="00111E4D">
      <w:pPr>
        <w:pStyle w:val="Heading4"/>
      </w:pPr>
      <w:r>
        <w:t>Measures of Pre-Treatment Credibility and Expectancy</w:t>
      </w:r>
    </w:p>
    <w:p w14:paraId="50EEB619" w14:textId="77777777" w:rsidR="00111E4D" w:rsidRDefault="00111E4D" w:rsidP="00111E4D">
      <w:pPr>
        <w:pStyle w:val="Heading5"/>
      </w:pPr>
      <w:r>
        <w:t>Credibility and Expectancy Questionnaire (</w:t>
      </w:r>
      <w:r w:rsidRPr="00E6185A">
        <w:t>CEQ</w:t>
      </w:r>
      <w:r>
        <w:t>)</w:t>
      </w:r>
    </w:p>
    <w:p w14:paraId="70CCC887" w14:textId="532EA711" w:rsidR="00111E4D" w:rsidRDefault="00111E4D" w:rsidP="00111E4D">
      <w:r w:rsidRPr="007B16EF">
        <w:t>The credibility/expectancy questionnaire (CEQ</w:t>
      </w:r>
      <w:r>
        <w:t xml:space="preserve">; </w:t>
      </w:r>
      <w:r>
        <w:fldChar w:fldCharType="begin" w:fldLock="1"/>
      </w:r>
      <w:r>
        <w:instrText>ADDIN CSL_CITATION {"citationItems":[{"id":"ITEM-1","itemData":{"DOI":"10.1016/S0005-7916(00)00012-4","ISBN":"6138344944","ISSN":"00057916","PMID":"11132119","abstract":"The present research evaluated the psychometric properties of the credibility/expectancy questionnaire, a quick and easy-to-administer scale for measuring treatment expectancy and rationale credibility for use in clinical outcome studies. The results suggested that this questionnaire derives the two predicted factors (cognitively based credibility and relatively more affectively based expectancy) and that these factors are stable across different populations. Furthermore, the questionnaire demonstrated high internal consistency within each factor and good test-retest reliability. The expectancy factor predicted outcome on some measures, whereas the credibility factor was unrelated to outcome. The questionnaire is appended to the paper, yet the authors stress care when utilizing the scale. During the administration of the questionnaire, the participant sees two sections - one related to thinking and one related to feeling. However, the researcher needs to be aware that the 2 factors derived are not grouped into those questions. Instead credibility was found to be derived from the first three think questions and expectancy was derived from the fourth think question and the two feel questions. (C) 2000 Elsevier Science Ltd.","author":[{"dropping-particle":"","family":"Devilly","given":"Grant J.","non-dropping-particle":"","parse-names":false,"suffix":""},{"dropping-particle":"","family":"Borkovec","given":"Thomas D.","non-dropping-particle":"","parse-names":false,"suffix":""}],"container-title":"Journal of Behavior Therapy and Experimental Psychiatry","id":"ITEM-1","issue":"2","issued":{"date-parts":[["2000"]]},"page":"73-86","title":"Psychometric properties of the credibility/expectancy questionnaire","type":"article-journal","volume":"31"},"uris":["http://www.mendeley.com/documents/?uuid=fbb5175e-476f-4666-8aff-7e6e22e479fb"]}],"mendeley":{"formattedCitation":"(Devilly and Borkovec, 2000)","manualFormatting":"Devilly &amp; Borkovec, 2000","plainTextFormattedCitation":"(Devilly and Borkovec, 2000)","previouslyFormattedCitation":"(Devilly and Borkovec, 2000)"},"properties":{"noteIndex":0},"schema":"https://github.com/citation-style-language/schema/raw/master/csl-citation.json"}</w:instrText>
      </w:r>
      <w:r>
        <w:fldChar w:fldCharType="separate"/>
      </w:r>
      <w:r w:rsidRPr="007B16EF">
        <w:rPr>
          <w:noProof/>
        </w:rPr>
        <w:t xml:space="preserve">Devilly </w:t>
      </w:r>
      <w:r>
        <w:rPr>
          <w:noProof/>
        </w:rPr>
        <w:t>&amp;</w:t>
      </w:r>
      <w:r w:rsidRPr="007B16EF">
        <w:rPr>
          <w:noProof/>
        </w:rPr>
        <w:t xml:space="preserve"> Borkovec, 2000</w:t>
      </w:r>
      <w:r>
        <w:fldChar w:fldCharType="end"/>
      </w:r>
      <w:r w:rsidRPr="007B16EF">
        <w:t>) is a 6-item scale over two sections</w:t>
      </w:r>
      <w:r>
        <w:t>,</w:t>
      </w:r>
      <w:r w:rsidRPr="007B16EF">
        <w:t xml:space="preserve"> one related to thinking and </w:t>
      </w:r>
      <w:r>
        <w:t xml:space="preserve">one </w:t>
      </w:r>
      <w:r w:rsidRPr="007B16EF">
        <w:t>related to feeling</w:t>
      </w:r>
      <w:r w:rsidR="00554CB4">
        <w:t xml:space="preserve">.  </w:t>
      </w:r>
      <w:r w:rsidRPr="007B16EF">
        <w:t>The scale measures treatment expectancy and rationale credibility</w:t>
      </w:r>
      <w:r>
        <w:t xml:space="preserve"> and is intended </w:t>
      </w:r>
      <w:r w:rsidRPr="007B16EF">
        <w:t>for use in clinical outcome studies</w:t>
      </w:r>
      <w:r>
        <w:t xml:space="preserve">. </w:t>
      </w:r>
      <w:r w:rsidRPr="007B16EF">
        <w:t xml:space="preserve"> Credibility</w:t>
      </w:r>
      <w:r>
        <w:t xml:space="preserve"> (a cognitive factor)</w:t>
      </w:r>
      <w:r w:rsidRPr="007B16EF">
        <w:t xml:space="preserve"> </w:t>
      </w:r>
      <w:r w:rsidRPr="00E263B8">
        <w:rPr>
          <w:noProof/>
        </w:rPr>
        <w:t>is derived</w:t>
      </w:r>
      <w:r w:rsidRPr="007B16EF">
        <w:t xml:space="preserve"> from the first three </w:t>
      </w:r>
      <w:r>
        <w:t>‘</w:t>
      </w:r>
      <w:r w:rsidRPr="007B16EF">
        <w:t>think</w:t>
      </w:r>
      <w:r>
        <w:t>ing’</w:t>
      </w:r>
      <w:r w:rsidRPr="007B16EF">
        <w:t xml:space="preserve"> questions and expectancy</w:t>
      </w:r>
      <w:r>
        <w:t xml:space="preserve"> (a mainly affective factor)</w:t>
      </w:r>
      <w:r w:rsidRPr="007B16EF">
        <w:t xml:space="preserve"> from the fourth </w:t>
      </w:r>
      <w:r>
        <w:t>‘</w:t>
      </w:r>
      <w:r w:rsidRPr="007B16EF">
        <w:t>think</w:t>
      </w:r>
      <w:r>
        <w:t>ing’</w:t>
      </w:r>
      <w:r w:rsidRPr="007B16EF">
        <w:t xml:space="preserve"> question and the two </w:t>
      </w:r>
      <w:r>
        <w:t>‘</w:t>
      </w:r>
      <w:r w:rsidRPr="007B16EF">
        <w:t>feel</w:t>
      </w:r>
      <w:r>
        <w:t>ing’</w:t>
      </w:r>
      <w:r w:rsidRPr="007B16EF">
        <w:t xml:space="preserve"> questions.  The scale has been found to be stable across different populations and</w:t>
      </w:r>
      <w:r>
        <w:t xml:space="preserve"> to</w:t>
      </w:r>
      <w:r w:rsidRPr="007B16EF">
        <w:t xml:space="preserve"> demonstrate high internal consistency within each factor</w:t>
      </w:r>
      <w:r>
        <w:t xml:space="preserve"> (</w:t>
      </w:r>
      <w:r>
        <w:fldChar w:fldCharType="begin" w:fldLock="1"/>
      </w:r>
      <w:r>
        <w:instrText>ADDIN CSL_CITATION {"citationItems":[{"id":"ITEM-1","itemData":{"DOI":"10.1016/S0005-7916(00)00012-4","ISBN":"6138344944","ISSN":"00057916","PMID":"11132119","abstract":"The present research evaluated the psychometric properties of the credibility/expectancy questionnaire, a quick and easy-to-administer scale for measuring treatment expectancy and rationale credibility for use in clinical outcome studies. The results suggested that this questionnaire derives the two predicted factors (cognitively based credibility and relatively more affectively based expectancy) and that these factors are stable across different populations. Furthermore, the questionnaire demonstrated high internal consistency within each factor and good test-retest reliability. The expectancy factor predicted outcome on some measures, whereas the credibility factor was unrelated to outcome. The questionnaire is appended to the paper, yet the authors stress care when utilizing the scale. During the administration of the questionnaire, the participant sees two sections - one related to thinking and one related to feeling. However, the researcher needs to be aware that the 2 factors derived are not grouped into those questions. Instead credibility was found to be derived from the first three think questions and expectancy was derived from the fourth think question and the two feel questions. (C) 2000 Elsevier Science Ltd.","author":[{"dropping-particle":"","family":"Devilly","given":"Grant J.","non-dropping-particle":"","parse-names":false,"suffix":""},{"dropping-particle":"","family":"Borkovec","given":"Thomas D.","non-dropping-particle":"","parse-names":false,"suffix":""}],"container-title":"Journal of Behavior Therapy and Experimental Psychiatry","id":"ITEM-1","issue":"2","issued":{"date-parts":[["2000"]]},"page":"73-86","title":"Psychometric properties of the credibility/expectancy questionnaire","type":"article-journal","volume":"31"},"uris":["http://www.mendeley.com/documents/?uuid=fbb5175e-476f-4666-8aff-7e6e22e479fb"]}],"mendeley":{"formattedCitation":"(Devilly and Borkovec, 2000)","manualFormatting":"Devilly &amp; Borkovec, 2000","plainTextFormattedCitation":"(Devilly and Borkovec, 2000)","previouslyFormattedCitation":"(Devilly and Borkovec, 2000)"},"properties":{"noteIndex":0},"schema":"https://github.com/citation-style-language/schema/raw/master/csl-citation.json"}</w:instrText>
      </w:r>
      <w:r>
        <w:fldChar w:fldCharType="separate"/>
      </w:r>
      <w:r w:rsidRPr="007B16EF">
        <w:rPr>
          <w:noProof/>
        </w:rPr>
        <w:t xml:space="preserve">Devilly </w:t>
      </w:r>
      <w:r>
        <w:rPr>
          <w:noProof/>
        </w:rPr>
        <w:t>&amp;</w:t>
      </w:r>
      <w:r w:rsidRPr="007B16EF">
        <w:rPr>
          <w:noProof/>
        </w:rPr>
        <w:t xml:space="preserve"> Borkovec, 2000</w:t>
      </w:r>
      <w:r>
        <w:fldChar w:fldCharType="end"/>
      </w:r>
      <w:r>
        <w:t>).  Between 0.79 and 0.90 for expectancy, 0.82 and 0.86 for credibility and 0.84 and 0.85 for the whole scale (</w:t>
      </w:r>
      <w:r>
        <w:fldChar w:fldCharType="begin" w:fldLock="1"/>
      </w:r>
      <w:r>
        <w:instrText>ADDIN CSL_CITATION {"citationItems":[{"id":"ITEM-1","itemData":{"DOI":"10.1016/S0005-7916(00)00012-4","ISBN":"6138344944","ISSN":"00057916","PMID":"11132119","abstract":"The present research evaluated the psychometric properties of the credibility/expectancy questionnaire, a quick and easy-to-administer scale for measuring treatment expectancy and rationale credibility for use in clinical outcome studies. The results suggested that this questionnaire derives the two predicted factors (cognitively based credibility and relatively more affectively based expectancy) and that these factors are stable across different populations. Furthermore, the questionnaire demonstrated high internal consistency within each factor and good test-retest reliability. The expectancy factor predicted outcome on some measures, whereas the credibility factor was unrelated to outcome. The questionnaire is appended to the paper, yet the authors stress care when utilizing the scale. During the administration of the questionnaire, the participant sees two sections - one related to thinking and one related to feeling. However, the researcher needs to be aware that the 2 factors derived are not grouped into those questions. Instead credibility was found to be derived from the first three think questions and expectancy was derived from the fourth think question and the two feel questions. (C) 2000 Elsevier Science Ltd.","author":[{"dropping-particle":"","family":"Devilly","given":"Grant J.","non-dropping-particle":"","parse-names":false,"suffix":""},{"dropping-particle":"","family":"Borkovec","given":"Thomas D.","non-dropping-particle":"","parse-names":false,"suffix":""}],"container-title":"Journal of Behavior Therapy and Experimental Psychiatry","id":"ITEM-1","issue":"2","issued":{"date-parts":[["2000"]]},"page":"73-86","title":"Psychometric properties of the credibility/expectancy questionnaire","type":"article-journal","volume":"31"},"uris":["http://www.mendeley.com/documents/?uuid=fbb5175e-476f-4666-8aff-7e6e22e479fb"]}],"mendeley":{"formattedCitation":"(Devilly and Borkovec, 2000)","manualFormatting":"Devilly &amp; Borkovec, 2000","plainTextFormattedCitation":"(Devilly and Borkovec, 2000)","previouslyFormattedCitation":"(Devilly and Borkovec, 2000)"},"properties":{"noteIndex":0},"schema":"https://github.com/citation-style-language/schema/raw/master/csl-citation.json"}</w:instrText>
      </w:r>
      <w:r>
        <w:fldChar w:fldCharType="separate"/>
      </w:r>
      <w:r w:rsidRPr="007B16EF">
        <w:rPr>
          <w:noProof/>
        </w:rPr>
        <w:t xml:space="preserve">Devilly </w:t>
      </w:r>
      <w:r>
        <w:rPr>
          <w:noProof/>
        </w:rPr>
        <w:t>&amp;</w:t>
      </w:r>
      <w:r w:rsidRPr="007B16EF">
        <w:rPr>
          <w:noProof/>
        </w:rPr>
        <w:t xml:space="preserve"> Borkovec, 2000</w:t>
      </w:r>
      <w:r>
        <w:fldChar w:fldCharType="end"/>
      </w:r>
      <w:r>
        <w:t>)</w:t>
      </w:r>
      <w:r w:rsidR="007130EB">
        <w:t xml:space="preserve"> (</w:t>
      </w:r>
      <w:r w:rsidR="007130EB">
        <w:rPr>
          <w:rFonts w:cs="Arial"/>
          <w:color w:val="222222"/>
          <w:shd w:val="clear" w:color="auto" w:fill="FFFFFF"/>
        </w:rPr>
        <w:t>s</w:t>
      </w:r>
      <w:r w:rsidR="007130EB" w:rsidRPr="000E1C6C">
        <w:rPr>
          <w:rFonts w:cs="Arial"/>
          <w:color w:val="222222"/>
          <w:shd w:val="clear" w:color="auto" w:fill="FFFFFF"/>
        </w:rPr>
        <w:t>ee</w:t>
      </w:r>
      <w:r w:rsidR="005D4B28">
        <w:rPr>
          <w:rFonts w:cs="Arial"/>
          <w:color w:val="222222"/>
          <w:shd w:val="clear" w:color="auto" w:fill="FFFFFF"/>
        </w:rPr>
        <w:t xml:space="preserve"> </w:t>
      </w:r>
      <w:r w:rsidR="007130EB" w:rsidRPr="000E1C6C">
        <w:rPr>
          <w:rFonts w:cs="Arial"/>
          <w:bCs/>
          <w:color w:val="222222"/>
          <w:shd w:val="clear" w:color="auto" w:fill="FFFFFF"/>
        </w:rPr>
        <w:t>Appendix</w:t>
      </w:r>
      <w:r w:rsidR="005D4B28">
        <w:rPr>
          <w:rFonts w:cs="Arial"/>
          <w:color w:val="222222"/>
          <w:shd w:val="clear" w:color="auto" w:fill="FFFFFF"/>
        </w:rPr>
        <w:t xml:space="preserve"> </w:t>
      </w:r>
      <w:r w:rsidR="007130EB">
        <w:rPr>
          <w:rFonts w:cs="Arial"/>
          <w:color w:val="222222"/>
          <w:shd w:val="clear" w:color="auto" w:fill="FFFFFF"/>
        </w:rPr>
        <w:t>D</w:t>
      </w:r>
      <w:r w:rsidR="005D4B28">
        <w:rPr>
          <w:rFonts w:cs="Arial"/>
          <w:color w:val="222222"/>
          <w:shd w:val="clear" w:color="auto" w:fill="FFFFFF"/>
        </w:rPr>
        <w:t>7</w:t>
      </w:r>
      <w:r w:rsidR="007130EB">
        <w:rPr>
          <w:rFonts w:cs="Arial"/>
          <w:color w:val="222222"/>
          <w:shd w:val="clear" w:color="auto" w:fill="FFFFFF"/>
        </w:rPr>
        <w:t>)</w:t>
      </w:r>
      <w:r w:rsidR="007130EB">
        <w:t>.</w:t>
      </w:r>
    </w:p>
    <w:p w14:paraId="7B35CF03" w14:textId="77777777" w:rsidR="00111E4D" w:rsidRDefault="00111E4D" w:rsidP="00111E4D">
      <w:pPr>
        <w:pStyle w:val="Heading4"/>
      </w:pPr>
      <w:r>
        <w:t>Measures of Perceived Treatment Credibility</w:t>
      </w:r>
    </w:p>
    <w:p w14:paraId="5A539C8D" w14:textId="77777777" w:rsidR="00111E4D" w:rsidRDefault="00111E4D" w:rsidP="00111E4D">
      <w:pPr>
        <w:pStyle w:val="Heading5"/>
      </w:pPr>
      <w:r>
        <w:t>Credibility Scale (</w:t>
      </w:r>
      <w:r w:rsidRPr="00E6185A">
        <w:t>CS</w:t>
      </w:r>
      <w:r>
        <w:t>)</w:t>
      </w:r>
    </w:p>
    <w:p w14:paraId="54A9ADCE" w14:textId="128D59F0" w:rsidR="00111E4D" w:rsidRDefault="00111E4D" w:rsidP="00111E4D">
      <w:r w:rsidRPr="001C1ADF">
        <w:t xml:space="preserve">The </w:t>
      </w:r>
      <w:r>
        <w:t>Credibility Scale (</w:t>
      </w:r>
      <w:r w:rsidRPr="001C1ADF">
        <w:t>CS</w:t>
      </w:r>
      <w:r>
        <w:t xml:space="preserve">; </w:t>
      </w:r>
      <w:r>
        <w:fldChar w:fldCharType="begin" w:fldLock="1"/>
      </w:r>
      <w:r>
        <w:instrText>ADDIN CSL_CITATION {"citationItems":[{"id":"ITEM-1","itemData":{"DOI":"10.12740/APP/66485","ISSN":"1509-2046","author":[{"dropping-particle":"","family":"Sochting","given":"Ingrid","non-dropping-particle":"","parse-names":false,"suffix":""},{"dropping-particle":"","family":"Tsai","given":"Michelle","non-dropping-particle":"","parse-names":false,"suffix":""},{"dropping-particle":"","family":"Ogrodniczuk","given":"John","non-dropping-particle":"","parse-names":false,"suffix":""}],"container-title":"Archives of Psychiatry and Psychotherapy","id":"ITEM-1","issue":"4","issued":{"date-parts":[["2016"]]},"page":"7-15","title":"Patients’ perceptions of treatment credibility and their relation to the outcome of group CBT for depression","type":"article-journal","volume":"18"},"uris":["http://www.mendeley.com/documents/?uuid=99377df5-ea97-4555-ab9e-ad90afe25539"]}],"mendeley":{"formattedCitation":"(Sochting, Tsai and Ogrodniczuk, 2016)","manualFormatting":"Sochting, Tsai &amp; Ogrodniczuk, 2016","plainTextFormattedCitation":"(Sochting, Tsai and Ogrodniczuk, 2016)","previouslyFormattedCitation":"(Sochting, Tsai and Ogrodniczuk, 2016)"},"properties":{"noteIndex":0},"schema":"https://github.com/citation-style-language/schema/raw/master/csl-citation.json"}</w:instrText>
      </w:r>
      <w:r>
        <w:fldChar w:fldCharType="separate"/>
      </w:r>
      <w:r w:rsidRPr="009F1D64">
        <w:rPr>
          <w:noProof/>
        </w:rPr>
        <w:t xml:space="preserve">Sochting, Tsai </w:t>
      </w:r>
      <w:r>
        <w:rPr>
          <w:noProof/>
        </w:rPr>
        <w:t>&amp;</w:t>
      </w:r>
      <w:r w:rsidRPr="009F1D64">
        <w:rPr>
          <w:noProof/>
        </w:rPr>
        <w:t xml:space="preserve"> Ogrodniczuk, 2016</w:t>
      </w:r>
      <w:r>
        <w:fldChar w:fldCharType="end"/>
      </w:r>
      <w:r>
        <w:t>)</w:t>
      </w:r>
      <w:r w:rsidRPr="001C1ADF">
        <w:t xml:space="preserve"> is a 6-item self-report questionnaire that </w:t>
      </w:r>
      <w:r w:rsidRPr="00E263B8">
        <w:rPr>
          <w:noProof/>
        </w:rPr>
        <w:t>was developed</w:t>
      </w:r>
      <w:r w:rsidRPr="001C1ADF">
        <w:t xml:space="preserve"> </w:t>
      </w:r>
      <w:r w:rsidRPr="00E263B8">
        <w:rPr>
          <w:noProof/>
        </w:rPr>
        <w:t>for</w:t>
      </w:r>
      <w:r w:rsidRPr="001C1ADF">
        <w:t xml:space="preserve"> </w:t>
      </w:r>
      <w:r>
        <w:t>a</w:t>
      </w:r>
      <w:r w:rsidRPr="001C1ADF">
        <w:t xml:space="preserve"> study assess</w:t>
      </w:r>
      <w:r>
        <w:t>ing</w:t>
      </w:r>
      <w:r w:rsidRPr="001C1ADF">
        <w:t xml:space="preserve"> patients’ perceptions of the credibility of the treatment they were </w:t>
      </w:r>
      <w:r w:rsidRPr="00E263B8">
        <w:rPr>
          <w:noProof/>
        </w:rPr>
        <w:t>being provided</w:t>
      </w:r>
      <w:r w:rsidR="00554CB4">
        <w:t xml:space="preserve">.  </w:t>
      </w:r>
      <w:r w:rsidRPr="00567E8C">
        <w:rPr>
          <w:noProof/>
        </w:rPr>
        <w:t>Participants respond to each item by rating the</w:t>
      </w:r>
      <w:r w:rsidRPr="001C1ADF">
        <w:t xml:space="preserve"> extent to which the treatment makes sense and is logical to them on a 5-point Likert-type scale.  </w:t>
      </w:r>
      <w:r>
        <w:t xml:space="preserve">When the measure </w:t>
      </w:r>
      <w:r w:rsidRPr="00E263B8">
        <w:rPr>
          <w:noProof/>
        </w:rPr>
        <w:t>was developed</w:t>
      </w:r>
      <w:r>
        <w:t xml:space="preserve"> p</w:t>
      </w:r>
      <w:r w:rsidRPr="001C1ADF">
        <w:t xml:space="preserve">arallel sets of items were created for “this therapy” and “the therapist” to allow for the possibility that patients may perceive these </w:t>
      </w:r>
      <w:r w:rsidRPr="001C1ADF">
        <w:lastRenderedPageBreak/>
        <w:t>entities as distinct</w:t>
      </w:r>
      <w:r w:rsidR="00554CB4">
        <w:t xml:space="preserve">.  </w:t>
      </w:r>
      <w:r w:rsidRPr="001C1ADF">
        <w:t>However, principal components analysis of the scale revealed a single factor that accounted for 65.18% of the variance in item ratings</w:t>
      </w:r>
      <w:r w:rsidR="00554CB4">
        <w:t xml:space="preserve">.  </w:t>
      </w:r>
      <w:r>
        <w:t xml:space="preserve">Therefore, the </w:t>
      </w:r>
      <w:r>
        <w:rPr>
          <w:noProof/>
        </w:rPr>
        <w:t>six</w:t>
      </w:r>
      <w:r>
        <w:t xml:space="preserve"> questions are commonly expressed </w:t>
      </w:r>
      <w:r>
        <w:rPr>
          <w:noProof/>
        </w:rPr>
        <w:t>regarding</w:t>
      </w:r>
      <w:r>
        <w:t xml:space="preserve"> a single credibility score.  </w:t>
      </w:r>
      <w:r w:rsidRPr="00F34913">
        <w:t>The internal consistency of CS was shown to be high (α = 0.89)</w:t>
      </w:r>
      <w:r w:rsidR="007130EB">
        <w:t xml:space="preserve"> (</w:t>
      </w:r>
      <w:r w:rsidR="007130EB">
        <w:fldChar w:fldCharType="begin" w:fldLock="1"/>
      </w:r>
      <w:r w:rsidR="007130EB">
        <w:instrText>ADDIN CSL_CITATION {"citationItems":[{"id":"ITEM-1","itemData":{"DOI":"10.12740/APP/66485","ISSN":"1509-2046","author":[{"dropping-particle":"","family":"Sochting","given":"Ingrid","non-dropping-particle":"","parse-names":false,"suffix":""},{"dropping-particle":"","family":"Tsai","given":"Michelle","non-dropping-particle":"","parse-names":false,"suffix":""},{"dropping-particle":"","family":"Ogrodniczuk","given":"John","non-dropping-particle":"","parse-names":false,"suffix":""}],"container-title":"Archives of Psychiatry and Psychotherapy","id":"ITEM-1","issue":"4","issued":{"date-parts":[["2016"]]},"page":"7-15","title":"Patients’ perceptions of treatment credibility and their relation to the outcome of group CBT for depression","type":"article-journal","volume":"18"},"uris":["http://www.mendeley.com/documents/?uuid=99377df5-ea97-4555-ab9e-ad90afe25539"]}],"mendeley":{"formattedCitation":"(Sochting, Tsai and Ogrodniczuk, 2016)","manualFormatting":"Sochting, Tsai &amp; Ogrodniczuk, 2016","plainTextFormattedCitation":"(Sochting, Tsai and Ogrodniczuk, 2016)","previouslyFormattedCitation":"(Sochting, Tsai and Ogrodniczuk, 2016)"},"properties":{"noteIndex":0},"schema":"https://github.com/citation-style-language/schema/raw/master/csl-citation.json"}</w:instrText>
      </w:r>
      <w:r w:rsidR="007130EB">
        <w:fldChar w:fldCharType="separate"/>
      </w:r>
      <w:r w:rsidR="007130EB" w:rsidRPr="009F1D64">
        <w:rPr>
          <w:noProof/>
        </w:rPr>
        <w:t xml:space="preserve">Sochting, Tsai </w:t>
      </w:r>
      <w:r w:rsidR="007130EB">
        <w:rPr>
          <w:noProof/>
        </w:rPr>
        <w:t>&amp;</w:t>
      </w:r>
      <w:r w:rsidR="007130EB" w:rsidRPr="009F1D64">
        <w:rPr>
          <w:noProof/>
        </w:rPr>
        <w:t xml:space="preserve"> Ogrodniczuk, 2016</w:t>
      </w:r>
      <w:r w:rsidR="007130EB">
        <w:fldChar w:fldCharType="end"/>
      </w:r>
      <w:r w:rsidR="007130EB">
        <w:t>) (</w:t>
      </w:r>
      <w:r w:rsidR="007130EB">
        <w:rPr>
          <w:rFonts w:cs="Arial"/>
          <w:color w:val="222222"/>
          <w:shd w:val="clear" w:color="auto" w:fill="FFFFFF"/>
        </w:rPr>
        <w:t>s</w:t>
      </w:r>
      <w:r w:rsidR="007130EB" w:rsidRPr="000E1C6C">
        <w:rPr>
          <w:rFonts w:cs="Arial"/>
          <w:color w:val="222222"/>
          <w:shd w:val="clear" w:color="auto" w:fill="FFFFFF"/>
        </w:rPr>
        <w:t>ee</w:t>
      </w:r>
      <w:r w:rsidR="005D4B28">
        <w:rPr>
          <w:rFonts w:cs="Arial"/>
          <w:color w:val="222222"/>
          <w:shd w:val="clear" w:color="auto" w:fill="FFFFFF"/>
        </w:rPr>
        <w:t xml:space="preserve"> </w:t>
      </w:r>
      <w:r w:rsidR="007130EB" w:rsidRPr="000E1C6C">
        <w:rPr>
          <w:rFonts w:cs="Arial"/>
          <w:bCs/>
          <w:color w:val="222222"/>
          <w:shd w:val="clear" w:color="auto" w:fill="FFFFFF"/>
        </w:rPr>
        <w:t>Appendix</w:t>
      </w:r>
      <w:r w:rsidR="005D4B28">
        <w:rPr>
          <w:rFonts w:cs="Arial"/>
          <w:color w:val="222222"/>
          <w:shd w:val="clear" w:color="auto" w:fill="FFFFFF"/>
        </w:rPr>
        <w:t xml:space="preserve"> </w:t>
      </w:r>
      <w:r w:rsidR="007130EB">
        <w:rPr>
          <w:rFonts w:cs="Arial"/>
          <w:color w:val="222222"/>
          <w:shd w:val="clear" w:color="auto" w:fill="FFFFFF"/>
        </w:rPr>
        <w:t>D</w:t>
      </w:r>
      <w:r w:rsidR="005D4B28">
        <w:rPr>
          <w:rFonts w:cs="Arial"/>
          <w:color w:val="222222"/>
          <w:shd w:val="clear" w:color="auto" w:fill="FFFFFF"/>
        </w:rPr>
        <w:t>8</w:t>
      </w:r>
      <w:r w:rsidR="007130EB">
        <w:rPr>
          <w:rFonts w:cs="Arial"/>
          <w:color w:val="222222"/>
          <w:shd w:val="clear" w:color="auto" w:fill="FFFFFF"/>
        </w:rPr>
        <w:t>)</w:t>
      </w:r>
      <w:r w:rsidR="007130EB">
        <w:t>.</w:t>
      </w:r>
    </w:p>
    <w:p w14:paraId="0C7D96D9" w14:textId="77777777" w:rsidR="00111E4D" w:rsidRDefault="00111E4D" w:rsidP="00111E4D">
      <w:pPr>
        <w:pStyle w:val="Heading4"/>
      </w:pPr>
      <w:r w:rsidRPr="00A534F5">
        <w:t>Measures</w:t>
      </w:r>
      <w:r>
        <w:t xml:space="preserve"> of Acceptability</w:t>
      </w:r>
    </w:p>
    <w:p w14:paraId="4910C299" w14:textId="0CA03967" w:rsidR="00111E4D" w:rsidRDefault="00111E4D" w:rsidP="00111E4D">
      <w:pPr>
        <w:pStyle w:val="Heading5"/>
      </w:pPr>
      <w:r>
        <w:t>Rating of Resolution (</w:t>
      </w:r>
      <w:proofErr w:type="spellStart"/>
      <w:r>
        <w:t>RoR</w:t>
      </w:r>
      <w:proofErr w:type="spellEnd"/>
      <w:r>
        <w:t>)</w:t>
      </w:r>
      <w:r w:rsidR="000F3690">
        <w:t xml:space="preserve"> v2</w:t>
      </w:r>
    </w:p>
    <w:p w14:paraId="2306312A" w14:textId="26BAEE3C" w:rsidR="00111E4D" w:rsidRDefault="00111E4D" w:rsidP="00111E4D">
      <w:r>
        <w:t xml:space="preserve">To measure the extent to which the problem was resolved, following Gaffney et al., (2013) participants were asked to what extent they feel their problem has been resolved, 0 (Not resolved at all) to 10 (completely resolved).  </w:t>
      </w:r>
      <w:r w:rsidR="000F3690">
        <w:t>System feedback questions have been version (</w:t>
      </w:r>
      <w:r w:rsidR="000F3690">
        <w:rPr>
          <w:rFonts w:cs="Arial"/>
          <w:color w:val="222222"/>
          <w:shd w:val="clear" w:color="auto" w:fill="FFFFFF"/>
        </w:rPr>
        <w:t>s</w:t>
      </w:r>
      <w:r w:rsidR="000F3690" w:rsidRPr="000E1C6C">
        <w:rPr>
          <w:rFonts w:cs="Arial"/>
          <w:color w:val="222222"/>
          <w:shd w:val="clear" w:color="auto" w:fill="FFFFFF"/>
        </w:rPr>
        <w:t>ee</w:t>
      </w:r>
      <w:r w:rsidR="005D4B28">
        <w:rPr>
          <w:rFonts w:cs="Arial"/>
          <w:color w:val="222222"/>
          <w:shd w:val="clear" w:color="auto" w:fill="FFFFFF"/>
        </w:rPr>
        <w:t xml:space="preserve"> </w:t>
      </w:r>
      <w:r w:rsidR="000F3690" w:rsidRPr="000E1C6C">
        <w:rPr>
          <w:rFonts w:cs="Arial"/>
          <w:bCs/>
          <w:color w:val="222222"/>
          <w:shd w:val="clear" w:color="auto" w:fill="FFFFFF"/>
        </w:rPr>
        <w:t>Appendix</w:t>
      </w:r>
      <w:r w:rsidR="005D4B28">
        <w:rPr>
          <w:rFonts w:cs="Arial"/>
          <w:color w:val="222222"/>
          <w:shd w:val="clear" w:color="auto" w:fill="FFFFFF"/>
        </w:rPr>
        <w:t xml:space="preserve"> </w:t>
      </w:r>
      <w:r w:rsidR="000F3690">
        <w:rPr>
          <w:rFonts w:cs="Arial"/>
          <w:color w:val="222222"/>
          <w:shd w:val="clear" w:color="auto" w:fill="FFFFFF"/>
        </w:rPr>
        <w:t>D</w:t>
      </w:r>
      <w:r w:rsidR="005D4B28">
        <w:rPr>
          <w:rFonts w:cs="Arial"/>
          <w:color w:val="222222"/>
          <w:shd w:val="clear" w:color="auto" w:fill="FFFFFF"/>
        </w:rPr>
        <w:t>9</w:t>
      </w:r>
      <w:r w:rsidR="000F3690">
        <w:rPr>
          <w:rFonts w:cs="Arial"/>
          <w:color w:val="222222"/>
          <w:shd w:val="clear" w:color="auto" w:fill="FFFFFF"/>
        </w:rPr>
        <w:t>)</w:t>
      </w:r>
      <w:r w:rsidR="000F3690">
        <w:t>.</w:t>
      </w:r>
    </w:p>
    <w:p w14:paraId="3F98D9F8" w14:textId="77777777" w:rsidR="00111E4D" w:rsidRDefault="00111E4D" w:rsidP="00111E4D">
      <w:pPr>
        <w:pStyle w:val="Heading5"/>
      </w:pPr>
      <w:r>
        <w:t>Net Promoter Score (</w:t>
      </w:r>
      <w:r w:rsidRPr="009E3A16">
        <w:t>NPS</w:t>
      </w:r>
      <w:r>
        <w:t>)</w:t>
      </w:r>
    </w:p>
    <w:p w14:paraId="65EEE465" w14:textId="075637B0" w:rsidR="00111E4D" w:rsidRDefault="00111E4D" w:rsidP="00111E4D">
      <w:r>
        <w:t xml:space="preserve">The Net Promoter Score (NPS; </w:t>
      </w:r>
      <w:r>
        <w:fldChar w:fldCharType="begin" w:fldLock="1"/>
      </w:r>
      <w:r>
        <w:instrText>ADDIN CSL_CITATION {"citationItems":[{"id":"ITEM-1","itemData":{"author":[{"dropping-particle":"","family":"Reichheld","given":"Frederick F","non-dropping-particle":"","parse-names":false,"suffix":""}],"container-title":"Harvard Business Review","id":"ITEM-1","issued":{"date-parts":[["2003"]]},"title":"The One Number You Need to Grow The One Number You Need to Grow The Idea in Brief The Idea in Practice","type":"article-journal"},"uris":["http://www.mendeley.com/documents/?uuid=96aa8464-6f30-3c85-bb0b-e050d989b2d8"]}],"mendeley":{"formattedCitation":"(Reichheld, 2003)","manualFormatting":"Reichheld, 2003","plainTextFormattedCitation":"(Reichheld, 2003)","previouslyFormattedCitation":"(Reichheld, 2003)"},"properties":{"noteIndex":0},"schema":"https://github.com/citation-style-language/schema/raw/master/csl-citation.json"}</w:instrText>
      </w:r>
      <w:r>
        <w:fldChar w:fldCharType="separate"/>
      </w:r>
      <w:r w:rsidRPr="009D2B36">
        <w:rPr>
          <w:noProof/>
        </w:rPr>
        <w:t>Reichheld, 2003</w:t>
      </w:r>
      <w:r>
        <w:fldChar w:fldCharType="end"/>
      </w:r>
      <w:r>
        <w:t xml:space="preserve">) is a single metric that quantifies customer loyalty to a service through a single direct survey question: How likely are you to recommend this service? Three categories of responder </w:t>
      </w:r>
      <w:r w:rsidRPr="00E263B8">
        <w:rPr>
          <w:noProof/>
        </w:rPr>
        <w:t>are identified</w:t>
      </w:r>
      <w:r>
        <w:t xml:space="preserve"> and classified from the scale as ‘promoters’ (those who would definitely recommend and use the service again), ‘passives’ (who are broadly </w:t>
      </w:r>
      <w:r w:rsidRPr="008F70E4">
        <w:rPr>
          <w:noProof/>
        </w:rPr>
        <w:t>happy</w:t>
      </w:r>
      <w:r>
        <w:t xml:space="preserve"> but would not actively promote the service) and ‘detractors’ (who actively discourage others </w:t>
      </w:r>
      <w:r>
        <w:rPr>
          <w:noProof/>
        </w:rPr>
        <w:t>from experiencing</w:t>
      </w:r>
      <w:r w:rsidRPr="000C7BBE">
        <w:rPr>
          <w:noProof/>
        </w:rPr>
        <w:t xml:space="preserve"> the service</w:t>
      </w:r>
      <w:r>
        <w:t xml:space="preserve">). </w:t>
      </w:r>
      <w:r w:rsidR="00B233DE">
        <w:t xml:space="preserve"> </w:t>
      </w:r>
      <w:r>
        <w:t xml:space="preserve">The overall score </w:t>
      </w:r>
      <w:r w:rsidRPr="00E263B8">
        <w:rPr>
          <w:noProof/>
        </w:rPr>
        <w:t xml:space="preserve">is </w:t>
      </w:r>
      <w:r w:rsidRPr="00BE1703">
        <w:rPr>
          <w:noProof/>
        </w:rPr>
        <w:t>calculated by</w:t>
      </w:r>
      <w:r>
        <w:rPr>
          <w:noProof/>
        </w:rPr>
        <w:t xml:space="preserve"> taking </w:t>
      </w:r>
      <w:r w:rsidRPr="00BE1703">
        <w:rPr>
          <w:noProof/>
        </w:rPr>
        <w:t>the percentage of promoters an</w:t>
      </w:r>
      <w:r>
        <w:rPr>
          <w:noProof/>
        </w:rPr>
        <w:t xml:space="preserve">d deducting it by </w:t>
      </w:r>
      <w:r w:rsidRPr="00BE1703">
        <w:rPr>
          <w:noProof/>
        </w:rPr>
        <w:t>the percentage of detractors (not including the passives).  Scores ca</w:t>
      </w:r>
      <w:r>
        <w:rPr>
          <w:noProof/>
        </w:rPr>
        <w:t>n range from</w:t>
      </w:r>
      <w:r w:rsidRPr="00BE1703">
        <w:rPr>
          <w:noProof/>
        </w:rPr>
        <w:t xml:space="preserve"> -100 (</w:t>
      </w:r>
      <w:r>
        <w:rPr>
          <w:noProof/>
        </w:rPr>
        <w:t>all</w:t>
      </w:r>
      <w:r w:rsidRPr="00BE1703">
        <w:rPr>
          <w:noProof/>
        </w:rPr>
        <w:t xml:space="preserve"> detractor</w:t>
      </w:r>
      <w:r>
        <w:rPr>
          <w:noProof/>
        </w:rPr>
        <w:t>s</w:t>
      </w:r>
      <w:r w:rsidRPr="00BE1703">
        <w:rPr>
          <w:noProof/>
        </w:rPr>
        <w:t>) to +100 (</w:t>
      </w:r>
      <w:r>
        <w:rPr>
          <w:noProof/>
        </w:rPr>
        <w:t>all</w:t>
      </w:r>
      <w:r w:rsidRPr="00BE1703">
        <w:rPr>
          <w:noProof/>
        </w:rPr>
        <w:t xml:space="preserve"> promoter</w:t>
      </w:r>
      <w:r>
        <w:rPr>
          <w:noProof/>
        </w:rPr>
        <w:t>s</w:t>
      </w:r>
      <w:r w:rsidRPr="00BE1703">
        <w:rPr>
          <w:noProof/>
        </w:rPr>
        <w:t xml:space="preserve">).  </w:t>
      </w:r>
      <w:r>
        <w:rPr>
          <w:noProof/>
        </w:rPr>
        <w:t>Within industry a positive score is well considered, while scores over</w:t>
      </w:r>
      <w:r w:rsidRPr="00BE1703">
        <w:rPr>
          <w:noProof/>
        </w:rPr>
        <w:t xml:space="preserve"> 50 are thought to highlight good performance</w:t>
      </w:r>
      <w:r>
        <w:t xml:space="preserve"> </w:t>
      </w:r>
      <w:r>
        <w:fldChar w:fldCharType="begin" w:fldLock="1"/>
      </w:r>
      <w:r>
        <w:instrText>ADDIN CSL_CITATION {"citationItems":[{"id":"ITEM-1","itemData":{"URL":"https://www.gov.uk/government/news/friends-and-family-test-what-it-means-for-nhs","accessed":{"date-parts":[["2018","3","5"]]},"author":[{"dropping-particle":"","family":"Department of Health and Social Care","given":"","non-dropping-particle":"","parse-names":false,"suffix":""}],"container-title":"gov.uk","id":"ITEM-1","issued":{"date-parts":[["2012"]]},"title":"Friends and Family Test: what it means for NHS - GOV.UK","type":"webpage"},"uris":["http://www.mendeley.com/documents/?uuid=0e514c77-d8f1-39a1-85ef-425de4d9832e"]}],"mendeley":{"formattedCitation":"(Department of Health and Social Care, 2012)","plainTextFormattedCitation":"(Department of Health and Social Care, 2012)","previouslyFormattedCitation":"(Department of Health and Social Care, 2012)"},"properties":{"noteIndex":0},"schema":"https://github.com/citation-style-language/schema/raw/master/csl-citation.json"}</w:instrText>
      </w:r>
      <w:r>
        <w:fldChar w:fldCharType="separate"/>
      </w:r>
      <w:r w:rsidRPr="00201FE8">
        <w:rPr>
          <w:noProof/>
        </w:rPr>
        <w:t>(Department of Health and Social Care, 2012)</w:t>
      </w:r>
      <w:r>
        <w:fldChar w:fldCharType="end"/>
      </w:r>
      <w:r>
        <w:t xml:space="preserve">. </w:t>
      </w:r>
      <w:r w:rsidR="00B233DE">
        <w:t xml:space="preserve"> </w:t>
      </w:r>
      <w:r>
        <w:t xml:space="preserve">The original description used a ten-point response scale, though subsequently a five-point response scale has been promoted </w:t>
      </w:r>
      <w:r>
        <w:fldChar w:fldCharType="begin" w:fldLock="1"/>
      </w:r>
      <w:r>
        <w:instrText>ADDIN CSL_CITATION {"citationItems":[{"id":"ITEM-1","itemData":{"URL":"https://sloanreview.mit.edu/article/the-microeconomics-of-customer-relationships/","accessed":{"date-parts":[["2018","3","5"]]},"author":[{"dropping-particle":"","family":"Reichheld","given":"Fred.","non-dropping-particle":"","parse-names":false,"suffix":""}],"container-title":"MITSLoan Management Review","id":"ITEM-1","issued":{"date-parts":[["2006"]]},"title":"The Microeconomics of Customer Relationships","type":"webpage"},"uris":["http://www.mendeley.com/documents/?uuid=af7914a3-ba24-3c14-97a6-04af1547cdd6"]},{"id":"ITEM-2","itemData":{"DOI":"10.1509/jmkg.71.3.39","ISSN":"0022-2429","abstract":"Abstract Managers have widely embraced and adopted the Net Promoter metric, which noted loyalty consultant Frederick Reichheld advocates as the single most reliable indicator of firm growth compared with other loyalty metrics, such as customer satisfaction and retention. Recently, however, there has been considerable debate about whether this metric is truly superior. This article (1) employs longitudinal data from 21 firms and 15,500-plus interviews from the Norwegian Customer Satisfaction Barometer to replicate the analyses used in Net Promoter research and (2) compares Reichheld and colleagues' findings with the American Customer Satisfaction Index. Using industries Reichheld cites as exemplars of Net Promoter, the research fails to replicate his assertions regarding the “clear superiority” of Net Promoter compared with other measures in those industries.","author":[{"dropping-particle":"","family":"Keiningham","given":"Timothy L","non-dropping-particle":"","parse-names":false,"suffix":""},{"dropping-particle":"","family":"Cooil","given":"Bruce","non-dropping-particle":"","parse-names":false,"suffix":""},{"dropping-particle":"","family":"Andreassen","given":"Tor Wallin","non-dropping-particle":"","parse-names":false,"suffix":""},{"dropping-particle":"","family":"Aksoy","given":"Lerzan","non-dropping-particle":"","parse-names":false,"suffix":""}],"container-title":"Journal of Marketing","id":"ITEM-2","issue":"3","issued":{"date-parts":[["2007","7","29"]]},"page":"39-51","publisher":" American Marketing Association ","title":"A Longitudinal Examination of Net Promoter and Firm Revenue Growth","type":"article-journal","volume":"71"},"uris":["http://www.mendeley.com/documents/?uuid=7dfbf374-7213-33db-ae9b-485c0c046fea"]}],"mendeley":{"formattedCitation":"(Reichheld, 2006; Keiningham &lt;i&gt;et al.&lt;/i&gt;, 2007)","plainTextFormattedCitation":"(Reichheld, 2006; Keiningham et al., 2007)","previouslyFormattedCitation":"(Reichheld, 2006; Keiningham &lt;i&gt;et al.&lt;/i&gt;, 2007)"},"properties":{"noteIndex":0},"schema":"https://github.com/citation-style-language/schema/raw/master/csl-citation.json"}</w:instrText>
      </w:r>
      <w:r>
        <w:fldChar w:fldCharType="separate"/>
      </w:r>
      <w:r w:rsidRPr="00D44147">
        <w:rPr>
          <w:noProof/>
        </w:rPr>
        <w:t xml:space="preserve">(Reichheld, 2006; Keiningham </w:t>
      </w:r>
      <w:r w:rsidRPr="00D44147">
        <w:rPr>
          <w:i/>
          <w:noProof/>
        </w:rPr>
        <w:t>et al.</w:t>
      </w:r>
      <w:r w:rsidRPr="00D44147">
        <w:rPr>
          <w:noProof/>
        </w:rPr>
        <w:t>, 2007)</w:t>
      </w:r>
      <w:r>
        <w:fldChar w:fldCharType="end"/>
      </w:r>
      <w:r>
        <w:t xml:space="preserve">.  Most institutions use the shorter response scale, and this is the format the NHS ‘friends and family test’ has adopted to assess the likelihood of a patient recommending the healthcare received to another, and it is seen as a discriminator of healthcare performance </w:t>
      </w:r>
      <w:r>
        <w:fldChar w:fldCharType="begin" w:fldLock="1"/>
      </w:r>
      <w:r>
        <w:instrText>ADDIN CSL_CITATION {"citationItems":[{"id":"ITEM-1","itemData":{"DOI":"10.1302/0301-620X.96B5.32434","ISBN":"2049-4394","ISSN":"20494408","PMID":"24788496","abstract":"Satisfaction with care is important to both patients and to those who pay for it. The Net Promoter Score (NPS), widely used in the service industries, has been introduced into the NHS as the 'friends and family test'; an overarching measure of patient satisfaction. It assesses the likelihood of the patient recommending the healthcare received to another, and is seen as a discriminator of healthcare performance. We prospectively assessed 6186 individuals undergoing primary lower limb joint replacement at a single university hospital to determine the Net Promoter Score for joint replacements and to evaluate which factors contributed to the response. Achieving pain relief (odds ratio (OR) 2.13, confidence interval (CI) 1.83 to 2.49), the meeting of pre-operative expectation (OR 2.57, CI 2.24 to 2.97), and the hospital experience (OR 2.33, CI 2.03 to 2.68) are the domains that explain whether a patient would recommend joint replacement services. These three factors, combined with the type of surgery undertaken (OR 2.31, CI 1.68 to 3.17), drove a predictive model that was able to explain 95% of the variation in the patient's recommendation response. Though intuitively similar, this 'recommendation' metric was found to be materially different to satisfaction responses. The difference between THR (NPS 71) and TKR (NPS 49) suggests that no overarching score for a department should be used without an adjustment for case mix. However, the Net Promoter Score does measure a further important dimension to our existing metrics: the patient experience of healthcare delivery.","author":[{"dropping-particle":"","family":"Hamilton","given":"D. F.","non-dropping-particle":"","parse-names":false,"suffix":""},{"dropping-particle":"V.","family":"Lane","given":"J.","non-dropping-particle":"","parse-names":false,"suffix":""},{"dropping-particle":"","family":"Gaston","given":"P.","non-dropping-particle":"","parse-names":false,"suffix":""},{"dropping-particle":"","family":"Patton","given":"J. T.","non-dropping-particle":"","parse-names":false,"suffix":""},{"dropping-particle":"","family":"MacDonald","given":"D. J.","non-dropping-particle":"","parse-names":false,"suffix":""},{"dropping-particle":"","family":"Simpson","given":"A. H.R.W.","non-dropping-particle":"","parse-names":false,"suffix":""},{"dropping-particle":"","family":"Howie","given":"C. R.","non-dropping-particle":"","parse-names":false,"suffix":""}],"container-title":"Bone and Joint Journal","id":"ITEM-1","issue":"5","issued":{"date-parts":[["2014"]]},"page":"622-628","title":"Assessing treatment outcomes using a single question: The Net Promoter Score","type":"article-journal","volume":"96 B"},"uris":["http://www.mendeley.com/documents/?uuid=d1099273-f219-45c8-a53f-03a6ccf8a9b0"]}],"mendeley":{"formattedCitation":"(Hamilton &lt;i&gt;et al.&lt;/i&gt;, 2014)","plainTextFormattedCitation":"(Hamilton et al., 2014)","previouslyFormattedCitation":"(Hamilton &lt;i&gt;et al.&lt;/i&gt;, 2014)"},"properties":{"noteIndex":0},"schema":"https://github.com/citation-style-language/schema/raw/master/csl-citation.json"}</w:instrText>
      </w:r>
      <w:r>
        <w:fldChar w:fldCharType="separate"/>
      </w:r>
      <w:r w:rsidRPr="00624000">
        <w:rPr>
          <w:noProof/>
        </w:rPr>
        <w:t xml:space="preserve">(Hamilton </w:t>
      </w:r>
      <w:r w:rsidRPr="00624000">
        <w:rPr>
          <w:i/>
          <w:noProof/>
        </w:rPr>
        <w:t>et al.</w:t>
      </w:r>
      <w:r w:rsidRPr="00624000">
        <w:rPr>
          <w:noProof/>
        </w:rPr>
        <w:t>, 2014)</w:t>
      </w:r>
      <w:r>
        <w:fldChar w:fldCharType="end"/>
      </w:r>
      <w:r>
        <w:t>.</w:t>
      </w:r>
      <w:r w:rsidR="000F3690">
        <w:t xml:space="preserve">  (</w:t>
      </w:r>
      <w:proofErr w:type="gramStart"/>
      <w:r w:rsidR="000F3690">
        <w:rPr>
          <w:rFonts w:cs="Arial"/>
          <w:color w:val="222222"/>
          <w:shd w:val="clear" w:color="auto" w:fill="FFFFFF"/>
        </w:rPr>
        <w:t>s</w:t>
      </w:r>
      <w:r w:rsidR="000F3690" w:rsidRPr="000E1C6C">
        <w:rPr>
          <w:rFonts w:cs="Arial"/>
          <w:color w:val="222222"/>
          <w:shd w:val="clear" w:color="auto" w:fill="FFFFFF"/>
        </w:rPr>
        <w:t>ee</w:t>
      </w:r>
      <w:proofErr w:type="gramEnd"/>
      <w:r w:rsidR="005D4B28">
        <w:rPr>
          <w:rFonts w:cs="Arial"/>
          <w:color w:val="222222"/>
          <w:shd w:val="clear" w:color="auto" w:fill="FFFFFF"/>
        </w:rPr>
        <w:t xml:space="preserve"> </w:t>
      </w:r>
      <w:r w:rsidR="000F3690" w:rsidRPr="000E1C6C">
        <w:rPr>
          <w:rFonts w:cs="Arial"/>
          <w:bCs/>
          <w:color w:val="222222"/>
          <w:shd w:val="clear" w:color="auto" w:fill="FFFFFF"/>
        </w:rPr>
        <w:t>Appendix</w:t>
      </w:r>
      <w:r w:rsidR="005D4B28">
        <w:rPr>
          <w:rFonts w:cs="Arial"/>
          <w:color w:val="222222"/>
          <w:shd w:val="clear" w:color="auto" w:fill="FFFFFF"/>
        </w:rPr>
        <w:t xml:space="preserve"> </w:t>
      </w:r>
      <w:r w:rsidR="000F3690">
        <w:rPr>
          <w:rFonts w:cs="Arial"/>
          <w:color w:val="222222"/>
          <w:shd w:val="clear" w:color="auto" w:fill="FFFFFF"/>
        </w:rPr>
        <w:t>D</w:t>
      </w:r>
      <w:r w:rsidR="005D4B28">
        <w:rPr>
          <w:rFonts w:cs="Arial"/>
          <w:color w:val="222222"/>
          <w:shd w:val="clear" w:color="auto" w:fill="FFFFFF"/>
        </w:rPr>
        <w:t>10</w:t>
      </w:r>
      <w:r w:rsidR="000F3690">
        <w:rPr>
          <w:rFonts w:cs="Arial"/>
          <w:color w:val="222222"/>
          <w:shd w:val="clear" w:color="auto" w:fill="FFFFFF"/>
        </w:rPr>
        <w:t>)</w:t>
      </w:r>
      <w:r w:rsidR="000F3690">
        <w:t>.</w:t>
      </w:r>
    </w:p>
    <w:p w14:paraId="18BCE6B6" w14:textId="77777777" w:rsidR="00111E4D" w:rsidRPr="00680D3F" w:rsidRDefault="00111E4D" w:rsidP="00111E4D">
      <w:pPr>
        <w:pStyle w:val="Heading4"/>
      </w:pPr>
      <w:r>
        <w:t>Measures of Usability</w:t>
      </w:r>
    </w:p>
    <w:p w14:paraId="21EB9CCD" w14:textId="77777777" w:rsidR="00111E4D" w:rsidRDefault="00111E4D" w:rsidP="00111E4D">
      <w:pPr>
        <w:pStyle w:val="Heading5"/>
      </w:pPr>
      <w:r>
        <w:t>System Usability Scale (SUS)</w:t>
      </w:r>
    </w:p>
    <w:p w14:paraId="66EB1F4A" w14:textId="3D3C8B49" w:rsidR="00111E4D" w:rsidRDefault="00111E4D" w:rsidP="00111E4D">
      <w:r w:rsidRPr="00155F1A">
        <w:t>The System Usability Scale (SUS; Brooke,</w:t>
      </w:r>
      <w:r>
        <w:t xml:space="preserve"> </w:t>
      </w:r>
      <w:r w:rsidRPr="00155F1A">
        <w:t xml:space="preserve">1996) is a 10-item scale of statements with a 5-point scoring scale on the strength of agreement from </w:t>
      </w:r>
      <w:r>
        <w:t>1</w:t>
      </w:r>
      <w:r w:rsidRPr="00155F1A">
        <w:t xml:space="preserve"> to </w:t>
      </w:r>
      <w:r>
        <w:t>5</w:t>
      </w:r>
      <w:r w:rsidRPr="00155F1A">
        <w:t>.</w:t>
      </w:r>
      <w:r>
        <w:t xml:space="preserve">  To compute the scores into an overall SUS score: odd-numbered </w:t>
      </w:r>
      <w:proofErr w:type="gramStart"/>
      <w:r>
        <w:t>items,</w:t>
      </w:r>
      <w:proofErr w:type="gramEnd"/>
      <w:r>
        <w:t xml:space="preserve"> subtract one from the user response and even numbered items, subtracted the user responses from 5.  This process leaves scale values from 0 to 4 with four being the most positive response.  </w:t>
      </w:r>
      <w:r w:rsidRPr="00AC3A07">
        <w:rPr>
          <w:noProof/>
        </w:rPr>
        <w:t>These scores are summed together and multiplied by</w:t>
      </w:r>
      <w:r w:rsidRPr="00155F1A">
        <w:t xml:space="preserve"> 2.5</w:t>
      </w:r>
      <w:r>
        <w:t xml:space="preserve"> to create a final score</w:t>
      </w:r>
      <w:r w:rsidRPr="00155F1A">
        <w:t>.  The final score can range from 0 to 100, with the higher the score</w:t>
      </w:r>
      <w:r>
        <w:t>,</w:t>
      </w:r>
      <w:r w:rsidRPr="00155F1A">
        <w:t xml:space="preserve"> </w:t>
      </w:r>
      <w:r w:rsidRPr="008F70E4">
        <w:rPr>
          <w:noProof/>
        </w:rPr>
        <w:t>the</w:t>
      </w:r>
      <w:r w:rsidRPr="00155F1A">
        <w:t xml:space="preserve"> better the level of usability.  </w:t>
      </w:r>
      <w:r>
        <w:t xml:space="preserve">To interpret the SUS score into something meaningful the overall mean scores in this study will </w:t>
      </w:r>
      <w:r w:rsidRPr="00E263B8">
        <w:rPr>
          <w:noProof/>
        </w:rPr>
        <w:t>be converted</w:t>
      </w:r>
      <w:r>
        <w:t xml:space="preserve"> into a grade/adjective based on the work of </w:t>
      </w:r>
      <w:r w:rsidRPr="00EF2F0D">
        <w:rPr>
          <w:noProof/>
        </w:rPr>
        <w:t xml:space="preserve">Bangor, Kortum and Miller </w:t>
      </w:r>
      <w:r>
        <w:fldChar w:fldCharType="begin" w:fldLock="1"/>
      </w:r>
      <w:r>
        <w:instrText>ADDIN CSL_CITATION {"citationItems":[{"id":"ITEM-1","itemData":{"DOI":"66.39.39.113","ISBN":"ISSN~~66393911","ISSN":"1931-3357","PMID":"23941937","abstract":"The System Usability Scale (SUS) is an inexpensive, yet effective tool for assessing the usability of a product, including Web sites, cell phones, interactive voice response systems, TV applications, and more. It provides an easy-tounderstand score from 0 (negative) to 100 (positive). While a 100-point scale is intuitive in many respects and allows for relative judgments, information describing how the numeric score translates into an absolute judgment of usability is not known. To help answer that question, a seven-point adjective-anchored Likert scale was added as an eleventh question to nearly 1,000 SUS surveys. Results show that the Likert scale scores correlate extremely well with the SUS scores (r=0.822). The addition of the adjective rating scale to the SUS may help practitioners interpret individual SUS scores and aid in explaining the results to non-human factors professionals.","author":[{"dropping-particle":"","family":"Bangor","given":"Aaron","non-dropping-particle":"","parse-names":false,"suffix":""},{"dropping-particle":"","family":"Kortum","given":"Philip","non-dropping-particle":"","parse-names":false,"suffix":""},{"dropping-particle":"","family":"Miller","given":"James","non-dropping-particle":"","parse-names":false,"suffix":""}],"container-title":"Journal of usability studies","id":"ITEM-1","issue":"3","issued":{"date-parts":[["2009"]]},"page":"114-123","title":"Determining what individual SUS scores mean: Adding an adjective rating scale","type":"article-journal","volume":"4"},"uris":["http://www.mendeley.com/documents/?uuid=fa755ac1-c598-4b0e-9649-3967239ed2a9"]}],"mendeley":{"formattedCitation":"(Bangor, Kortum and Miller, 2009)","manualFormatting":"(2009)","plainTextFormattedCitation":"(Bangor, Kortum and Miller, 2009)","previouslyFormattedCitation":"(Bangor, Kortum and Miller, 2009)"},"properties":{"noteIndex":0},"schema":"https://github.com/citation-style-language/schema/raw/master/csl-citation.json"}</w:instrText>
      </w:r>
      <w:r>
        <w:fldChar w:fldCharType="separate"/>
      </w:r>
      <w:r w:rsidRPr="00EF2F0D">
        <w:rPr>
          <w:noProof/>
        </w:rPr>
        <w:t>(2009)</w:t>
      </w:r>
      <w:r>
        <w:fldChar w:fldCharType="end"/>
      </w:r>
      <w:r>
        <w:t>.</w:t>
      </w:r>
      <w:r w:rsidR="000F3690">
        <w:t xml:space="preserve">  (</w:t>
      </w:r>
      <w:proofErr w:type="gramStart"/>
      <w:r w:rsidR="000F3690">
        <w:rPr>
          <w:rFonts w:cs="Arial"/>
          <w:color w:val="222222"/>
          <w:shd w:val="clear" w:color="auto" w:fill="FFFFFF"/>
        </w:rPr>
        <w:t>s</w:t>
      </w:r>
      <w:r w:rsidR="000F3690" w:rsidRPr="000E1C6C">
        <w:rPr>
          <w:rFonts w:cs="Arial"/>
          <w:color w:val="222222"/>
          <w:shd w:val="clear" w:color="auto" w:fill="FFFFFF"/>
        </w:rPr>
        <w:t>ee</w:t>
      </w:r>
      <w:proofErr w:type="gramEnd"/>
      <w:r w:rsidR="005D4B28">
        <w:rPr>
          <w:rFonts w:cs="Arial"/>
          <w:color w:val="222222"/>
          <w:shd w:val="clear" w:color="auto" w:fill="FFFFFF"/>
        </w:rPr>
        <w:t xml:space="preserve"> </w:t>
      </w:r>
      <w:r w:rsidR="000F3690" w:rsidRPr="000E1C6C">
        <w:rPr>
          <w:rFonts w:cs="Arial"/>
          <w:bCs/>
          <w:color w:val="222222"/>
          <w:shd w:val="clear" w:color="auto" w:fill="FFFFFF"/>
        </w:rPr>
        <w:t>Appendix</w:t>
      </w:r>
      <w:r w:rsidR="005D4B28">
        <w:rPr>
          <w:rFonts w:cs="Arial"/>
          <w:color w:val="222222"/>
          <w:shd w:val="clear" w:color="auto" w:fill="FFFFFF"/>
        </w:rPr>
        <w:t xml:space="preserve"> </w:t>
      </w:r>
      <w:r w:rsidR="000F3690">
        <w:rPr>
          <w:rFonts w:cs="Arial"/>
          <w:color w:val="222222"/>
          <w:shd w:val="clear" w:color="auto" w:fill="FFFFFF"/>
        </w:rPr>
        <w:t>C4)</w:t>
      </w:r>
      <w:r w:rsidR="000F3690">
        <w:t>.</w:t>
      </w:r>
    </w:p>
    <w:p w14:paraId="651C4A46" w14:textId="42613575" w:rsidR="00111E4D" w:rsidRDefault="00111E4D" w:rsidP="00111E4D">
      <w:pPr>
        <w:pStyle w:val="Caption"/>
        <w:keepNext/>
      </w:pPr>
      <w:bookmarkStart w:id="485" w:name="_Ref523848348"/>
      <w:bookmarkStart w:id="486" w:name="_Toc530759494"/>
      <w:bookmarkStart w:id="487" w:name="_Ref523848343"/>
      <w:proofErr w:type="gramStart"/>
      <w:r>
        <w:lastRenderedPageBreak/>
        <w:t xml:space="preserve">Table </w:t>
      </w:r>
      <w:r w:rsidR="007E7BB7">
        <w:fldChar w:fldCharType="begin"/>
      </w:r>
      <w:r w:rsidR="007E7BB7">
        <w:instrText xml:space="preserve"> STYLEREF 1 \s </w:instrText>
      </w:r>
      <w:r w:rsidR="007E7BB7">
        <w:fldChar w:fldCharType="separate"/>
      </w:r>
      <w:r w:rsidR="00574650">
        <w:rPr>
          <w:noProof/>
        </w:rPr>
        <w:t>6</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r w:rsidR="00574650">
        <w:rPr>
          <w:noProof/>
        </w:rPr>
        <w:t>1</w:t>
      </w:r>
      <w:r w:rsidR="007E7BB7">
        <w:fldChar w:fldCharType="end"/>
      </w:r>
      <w:bookmarkEnd w:id="485"/>
      <w:r>
        <w:t xml:space="preserve"> SUS adjective rating scale adapted </w:t>
      </w:r>
      <w:r w:rsidRPr="00563F87">
        <w:t xml:space="preserve">from </w:t>
      </w:r>
      <w:r w:rsidRPr="00563F87">
        <w:fldChar w:fldCharType="begin" w:fldLock="1"/>
      </w:r>
      <w:r>
        <w:instrText>ADDIN CSL_CITATION {"citationItems":[{"id":"ITEM-1","itemData":{"DOI":"66.39.39.113","ISBN":"ISSN~~66393911","ISSN":"1931-3357","PMID":"23941937","abstract":"The System Usability Scale (SUS) is an inexpensive, yet effective tool for assessing the usability of a product, including Web sites, cell phones, interactive voice response systems, TV applications, and more. It provides an easy-tounderstand score from 0 (negative) to 100 (positive). While a 100-point scale is intuitive in many respects and allows for relative judgments, information describing how the numeric score translates into an absolute judgment of usability is not known. To help answer that question, a seven-point adjective-anchored Likert scale was added as an eleventh question to nearly 1,000 SUS surveys. Results show that the Likert scale scores correlate extremely well with the SUS scores (r=0.822). The addition of the adjective rating scale to the SUS may help practitioners interpret individual SUS scores and aid in explaining the results to non-human factors professionals.","author":[{"dropping-particle":"","family":"Bangor","given":"Aaron","non-dropping-particle":"","parse-names":false,"suffix":""},{"dropping-particle":"","family":"Kortum","given":"Philip","non-dropping-particle":"","parse-names":false,"suffix":""},{"dropping-particle":"","family":"Miller","given":"James","non-dropping-particle":"","parse-names":false,"suffix":""}],"container-title":"Journal of usability studies","id":"ITEM-1","issue":"3","issued":{"date-parts":[["2009"]]},"page":"114-123","title":"Determining what individual SUS scores mean: Adding an adjective rating scale","type":"article-journal","volume":"4"},"uris":["http://www.mendeley.com/documents/?uuid=fa755ac1-c598-4b0e-9649-3967239ed2a9"]}],"mendeley":{"formattedCitation":"(Bangor, Kortum and Miller, 2009)","manualFormatting":"Bangor, Kortum and Miller (2009)","plainTextFormattedCitation":"(Bangor, Kortum and Miller, 2009)","previouslyFormattedCitation":"(Bangor, Kortum and Miller, 2009)"},"properties":{"noteIndex":0},"schema":"https://github.com/citation-style-language/schema/raw/master/csl-citation.json"}</w:instrText>
      </w:r>
      <w:r w:rsidRPr="00563F87">
        <w:fldChar w:fldCharType="separate"/>
      </w:r>
      <w:r w:rsidRPr="00563F87">
        <w:rPr>
          <w:noProof/>
        </w:rPr>
        <w:t>Bangor, Kortum and Miller (2009)</w:t>
      </w:r>
      <w:bookmarkEnd w:id="486"/>
      <w:r w:rsidRPr="00563F87">
        <w:fldChar w:fldCharType="end"/>
      </w:r>
      <w:bookmarkEnd w:id="487"/>
    </w:p>
    <w:tbl>
      <w:tblPr>
        <w:tblStyle w:val="TableGrid"/>
        <w:tblW w:w="4846" w:type="pct"/>
        <w:tblLook w:val="04A0" w:firstRow="1" w:lastRow="0" w:firstColumn="1" w:lastColumn="0" w:noHBand="0" w:noVBand="1"/>
      </w:tblPr>
      <w:tblGrid>
        <w:gridCol w:w="2222"/>
        <w:gridCol w:w="2535"/>
        <w:gridCol w:w="2535"/>
        <w:gridCol w:w="2533"/>
      </w:tblGrid>
      <w:tr w:rsidR="00111E4D" w14:paraId="6F6E5E1C" w14:textId="77777777" w:rsidTr="00111E4D">
        <w:tc>
          <w:tcPr>
            <w:tcW w:w="1131" w:type="pct"/>
          </w:tcPr>
          <w:p w14:paraId="095A4AF5" w14:textId="77777777" w:rsidR="00111E4D" w:rsidRPr="00563F87" w:rsidRDefault="00111E4D" w:rsidP="00111E4D">
            <w:pPr>
              <w:pStyle w:val="NoSpacing"/>
              <w:jc w:val="center"/>
              <w:rPr>
                <w:b/>
              </w:rPr>
            </w:pPr>
            <w:r w:rsidRPr="00563F87">
              <w:rPr>
                <w:b/>
              </w:rPr>
              <w:t>Raw SUS Score</w:t>
            </w:r>
          </w:p>
        </w:tc>
        <w:tc>
          <w:tcPr>
            <w:tcW w:w="1290" w:type="pct"/>
          </w:tcPr>
          <w:p w14:paraId="67FA3F37" w14:textId="77777777" w:rsidR="00111E4D" w:rsidRPr="00563F87" w:rsidRDefault="00111E4D" w:rsidP="00111E4D">
            <w:pPr>
              <w:pStyle w:val="NoSpacing"/>
              <w:jc w:val="center"/>
              <w:rPr>
                <w:b/>
              </w:rPr>
            </w:pPr>
            <w:r w:rsidRPr="00563F87">
              <w:rPr>
                <w:b/>
              </w:rPr>
              <w:t>Grade Scale</w:t>
            </w:r>
          </w:p>
        </w:tc>
        <w:tc>
          <w:tcPr>
            <w:tcW w:w="1290" w:type="pct"/>
            <w:tcBorders>
              <w:bottom w:val="single" w:sz="4" w:space="0" w:color="auto"/>
            </w:tcBorders>
          </w:tcPr>
          <w:p w14:paraId="06581340" w14:textId="77777777" w:rsidR="00111E4D" w:rsidRPr="00563F87" w:rsidRDefault="00111E4D" w:rsidP="00111E4D">
            <w:pPr>
              <w:pStyle w:val="NoSpacing"/>
              <w:jc w:val="center"/>
              <w:rPr>
                <w:b/>
              </w:rPr>
            </w:pPr>
            <w:r w:rsidRPr="00563F87">
              <w:rPr>
                <w:b/>
              </w:rPr>
              <w:t>Acceptability Range</w:t>
            </w:r>
          </w:p>
        </w:tc>
        <w:tc>
          <w:tcPr>
            <w:tcW w:w="1289" w:type="pct"/>
          </w:tcPr>
          <w:p w14:paraId="7BE731CC" w14:textId="77777777" w:rsidR="00111E4D" w:rsidRPr="00563F87" w:rsidRDefault="00111E4D" w:rsidP="00111E4D">
            <w:pPr>
              <w:pStyle w:val="NoSpacing"/>
              <w:jc w:val="center"/>
              <w:rPr>
                <w:b/>
              </w:rPr>
            </w:pPr>
            <w:r w:rsidRPr="00563F87">
              <w:rPr>
                <w:b/>
              </w:rPr>
              <w:t>Adjective</w:t>
            </w:r>
          </w:p>
        </w:tc>
      </w:tr>
      <w:tr w:rsidR="00111E4D" w14:paraId="1EB85507" w14:textId="77777777" w:rsidTr="00111E4D">
        <w:tc>
          <w:tcPr>
            <w:tcW w:w="1131" w:type="pct"/>
          </w:tcPr>
          <w:p w14:paraId="781D53E0" w14:textId="77777777" w:rsidR="00111E4D" w:rsidRDefault="00111E4D" w:rsidP="00111E4D">
            <w:pPr>
              <w:pStyle w:val="NoSpacing"/>
              <w:jc w:val="center"/>
            </w:pPr>
            <w:r>
              <w:t>90-100</w:t>
            </w:r>
          </w:p>
        </w:tc>
        <w:tc>
          <w:tcPr>
            <w:tcW w:w="1290" w:type="pct"/>
          </w:tcPr>
          <w:p w14:paraId="1827B462" w14:textId="77777777" w:rsidR="00111E4D" w:rsidRDefault="00111E4D" w:rsidP="00111E4D">
            <w:pPr>
              <w:pStyle w:val="NoSpacing"/>
              <w:jc w:val="center"/>
            </w:pPr>
            <w:r>
              <w:t>A</w:t>
            </w:r>
          </w:p>
        </w:tc>
        <w:tc>
          <w:tcPr>
            <w:tcW w:w="1290" w:type="pct"/>
            <w:tcBorders>
              <w:bottom w:val="nil"/>
            </w:tcBorders>
          </w:tcPr>
          <w:p w14:paraId="463FDEC1" w14:textId="77777777" w:rsidR="00111E4D" w:rsidRDefault="00111E4D" w:rsidP="00111E4D">
            <w:pPr>
              <w:pStyle w:val="NoSpacing"/>
              <w:jc w:val="center"/>
            </w:pPr>
            <w:r>
              <w:t>Acceptable</w:t>
            </w:r>
          </w:p>
        </w:tc>
        <w:tc>
          <w:tcPr>
            <w:tcW w:w="1289" w:type="pct"/>
          </w:tcPr>
          <w:p w14:paraId="1B517313" w14:textId="77777777" w:rsidR="00111E4D" w:rsidRDefault="00111E4D" w:rsidP="00111E4D">
            <w:pPr>
              <w:pStyle w:val="NoSpacing"/>
              <w:jc w:val="center"/>
            </w:pPr>
            <w:r>
              <w:t>Best Imaginable</w:t>
            </w:r>
          </w:p>
        </w:tc>
      </w:tr>
      <w:tr w:rsidR="00111E4D" w14:paraId="30F421D3" w14:textId="77777777" w:rsidTr="00111E4D">
        <w:tc>
          <w:tcPr>
            <w:tcW w:w="1131" w:type="pct"/>
          </w:tcPr>
          <w:p w14:paraId="20A2BF11" w14:textId="77777777" w:rsidR="00111E4D" w:rsidRDefault="00111E4D" w:rsidP="00111E4D">
            <w:pPr>
              <w:pStyle w:val="NoSpacing"/>
              <w:jc w:val="center"/>
            </w:pPr>
            <w:r>
              <w:t>80-90</w:t>
            </w:r>
          </w:p>
        </w:tc>
        <w:tc>
          <w:tcPr>
            <w:tcW w:w="1290" w:type="pct"/>
          </w:tcPr>
          <w:p w14:paraId="1E88BAA2" w14:textId="77777777" w:rsidR="00111E4D" w:rsidRDefault="00111E4D" w:rsidP="00111E4D">
            <w:pPr>
              <w:pStyle w:val="NoSpacing"/>
              <w:jc w:val="center"/>
            </w:pPr>
            <w:r>
              <w:t>B</w:t>
            </w:r>
          </w:p>
        </w:tc>
        <w:tc>
          <w:tcPr>
            <w:tcW w:w="1290" w:type="pct"/>
            <w:tcBorders>
              <w:top w:val="nil"/>
              <w:bottom w:val="nil"/>
            </w:tcBorders>
          </w:tcPr>
          <w:p w14:paraId="7E6C88F4" w14:textId="77777777" w:rsidR="00111E4D" w:rsidRDefault="00111E4D" w:rsidP="00111E4D">
            <w:pPr>
              <w:pStyle w:val="NoSpacing"/>
            </w:pPr>
          </w:p>
        </w:tc>
        <w:tc>
          <w:tcPr>
            <w:tcW w:w="1289" w:type="pct"/>
          </w:tcPr>
          <w:p w14:paraId="24CEEA02" w14:textId="77777777" w:rsidR="00111E4D" w:rsidRDefault="00111E4D" w:rsidP="00111E4D">
            <w:pPr>
              <w:pStyle w:val="NoSpacing"/>
              <w:jc w:val="center"/>
            </w:pPr>
            <w:r>
              <w:t>Excellent</w:t>
            </w:r>
          </w:p>
        </w:tc>
      </w:tr>
      <w:tr w:rsidR="00111E4D" w14:paraId="6CCA79A9" w14:textId="77777777" w:rsidTr="00111E4D">
        <w:tc>
          <w:tcPr>
            <w:tcW w:w="1131" w:type="pct"/>
          </w:tcPr>
          <w:p w14:paraId="20C25FFD" w14:textId="77777777" w:rsidR="00111E4D" w:rsidRDefault="00111E4D" w:rsidP="00111E4D">
            <w:pPr>
              <w:pStyle w:val="NoSpacing"/>
              <w:jc w:val="center"/>
            </w:pPr>
            <w:r>
              <w:t>70-80</w:t>
            </w:r>
          </w:p>
        </w:tc>
        <w:tc>
          <w:tcPr>
            <w:tcW w:w="1290" w:type="pct"/>
            <w:tcBorders>
              <w:bottom w:val="single" w:sz="4" w:space="0" w:color="auto"/>
            </w:tcBorders>
          </w:tcPr>
          <w:p w14:paraId="5BE9398F" w14:textId="77777777" w:rsidR="00111E4D" w:rsidRDefault="00111E4D" w:rsidP="00111E4D">
            <w:pPr>
              <w:pStyle w:val="NoSpacing"/>
              <w:jc w:val="center"/>
            </w:pPr>
            <w:r>
              <w:t>C</w:t>
            </w:r>
          </w:p>
        </w:tc>
        <w:tc>
          <w:tcPr>
            <w:tcW w:w="1290" w:type="pct"/>
            <w:tcBorders>
              <w:top w:val="nil"/>
              <w:bottom w:val="single" w:sz="4" w:space="0" w:color="auto"/>
            </w:tcBorders>
          </w:tcPr>
          <w:p w14:paraId="1D521C30" w14:textId="77777777" w:rsidR="00111E4D" w:rsidRDefault="00111E4D" w:rsidP="00111E4D">
            <w:pPr>
              <w:pStyle w:val="NoSpacing"/>
            </w:pPr>
          </w:p>
        </w:tc>
        <w:tc>
          <w:tcPr>
            <w:tcW w:w="1289" w:type="pct"/>
            <w:tcBorders>
              <w:bottom w:val="single" w:sz="4" w:space="0" w:color="auto"/>
            </w:tcBorders>
          </w:tcPr>
          <w:p w14:paraId="72100CDD" w14:textId="77777777" w:rsidR="00111E4D" w:rsidRDefault="00111E4D" w:rsidP="00111E4D">
            <w:pPr>
              <w:pStyle w:val="NoSpacing"/>
              <w:jc w:val="center"/>
            </w:pPr>
            <w:r>
              <w:t>Good</w:t>
            </w:r>
          </w:p>
        </w:tc>
      </w:tr>
      <w:tr w:rsidR="00111E4D" w14:paraId="2BA096F6" w14:textId="77777777" w:rsidTr="00111E4D">
        <w:tc>
          <w:tcPr>
            <w:tcW w:w="1131" w:type="pct"/>
          </w:tcPr>
          <w:p w14:paraId="2EAA4082" w14:textId="77777777" w:rsidR="00111E4D" w:rsidRDefault="00111E4D" w:rsidP="00111E4D">
            <w:pPr>
              <w:pStyle w:val="NoSpacing"/>
              <w:jc w:val="center"/>
            </w:pPr>
            <w:r>
              <w:t>60-70</w:t>
            </w:r>
          </w:p>
        </w:tc>
        <w:tc>
          <w:tcPr>
            <w:tcW w:w="1290" w:type="pct"/>
            <w:tcBorders>
              <w:bottom w:val="single" w:sz="4" w:space="0" w:color="auto"/>
            </w:tcBorders>
          </w:tcPr>
          <w:p w14:paraId="5479754C" w14:textId="77777777" w:rsidR="00111E4D" w:rsidRDefault="00111E4D" w:rsidP="00111E4D">
            <w:pPr>
              <w:pStyle w:val="NoSpacing"/>
              <w:jc w:val="center"/>
            </w:pPr>
            <w:r>
              <w:t>D</w:t>
            </w:r>
          </w:p>
        </w:tc>
        <w:tc>
          <w:tcPr>
            <w:tcW w:w="1290" w:type="pct"/>
            <w:tcBorders>
              <w:top w:val="single" w:sz="4" w:space="0" w:color="auto"/>
              <w:bottom w:val="nil"/>
            </w:tcBorders>
          </w:tcPr>
          <w:p w14:paraId="5295B5AE" w14:textId="77777777" w:rsidR="00111E4D" w:rsidRDefault="00111E4D" w:rsidP="00111E4D">
            <w:pPr>
              <w:pStyle w:val="NoSpacing"/>
              <w:jc w:val="center"/>
            </w:pPr>
            <w:r>
              <w:t>Marginal</w:t>
            </w:r>
          </w:p>
        </w:tc>
        <w:tc>
          <w:tcPr>
            <w:tcW w:w="1289" w:type="pct"/>
            <w:tcBorders>
              <w:bottom w:val="nil"/>
            </w:tcBorders>
          </w:tcPr>
          <w:p w14:paraId="5467C294" w14:textId="77777777" w:rsidR="00111E4D" w:rsidRDefault="00111E4D" w:rsidP="00111E4D">
            <w:pPr>
              <w:pStyle w:val="NoSpacing"/>
              <w:jc w:val="center"/>
            </w:pPr>
            <w:r>
              <w:t>Ok</w:t>
            </w:r>
          </w:p>
        </w:tc>
      </w:tr>
      <w:tr w:rsidR="00111E4D" w14:paraId="2C5441D6" w14:textId="77777777" w:rsidTr="00111E4D">
        <w:tc>
          <w:tcPr>
            <w:tcW w:w="1131" w:type="pct"/>
            <w:tcBorders>
              <w:right w:val="single" w:sz="4" w:space="0" w:color="auto"/>
            </w:tcBorders>
          </w:tcPr>
          <w:p w14:paraId="4ACC241F" w14:textId="77777777" w:rsidR="00111E4D" w:rsidRDefault="00111E4D" w:rsidP="00111E4D">
            <w:pPr>
              <w:pStyle w:val="NoSpacing"/>
              <w:jc w:val="center"/>
            </w:pPr>
            <w:r>
              <w:t>50-60</w:t>
            </w:r>
          </w:p>
        </w:tc>
        <w:tc>
          <w:tcPr>
            <w:tcW w:w="1290" w:type="pct"/>
            <w:tcBorders>
              <w:top w:val="single" w:sz="4" w:space="0" w:color="auto"/>
              <w:left w:val="single" w:sz="4" w:space="0" w:color="auto"/>
              <w:bottom w:val="nil"/>
              <w:right w:val="single" w:sz="4" w:space="0" w:color="auto"/>
            </w:tcBorders>
            <w:shd w:val="clear" w:color="auto" w:fill="FFFFFF" w:themeFill="background1"/>
          </w:tcPr>
          <w:p w14:paraId="1492A16A" w14:textId="77777777" w:rsidR="00111E4D" w:rsidRDefault="00111E4D" w:rsidP="00111E4D">
            <w:pPr>
              <w:pStyle w:val="NoSpacing"/>
              <w:jc w:val="center"/>
            </w:pPr>
            <w:r>
              <w:t>F</w:t>
            </w:r>
          </w:p>
        </w:tc>
        <w:tc>
          <w:tcPr>
            <w:tcW w:w="1290" w:type="pct"/>
            <w:tcBorders>
              <w:top w:val="nil"/>
              <w:left w:val="single" w:sz="4" w:space="0" w:color="auto"/>
              <w:bottom w:val="single" w:sz="4" w:space="0" w:color="auto"/>
            </w:tcBorders>
          </w:tcPr>
          <w:p w14:paraId="5847256A" w14:textId="77777777" w:rsidR="00111E4D" w:rsidRDefault="00111E4D" w:rsidP="00111E4D">
            <w:pPr>
              <w:pStyle w:val="NoSpacing"/>
            </w:pPr>
          </w:p>
        </w:tc>
        <w:tc>
          <w:tcPr>
            <w:tcW w:w="1289" w:type="pct"/>
            <w:tcBorders>
              <w:top w:val="nil"/>
              <w:bottom w:val="single" w:sz="4" w:space="0" w:color="auto"/>
            </w:tcBorders>
          </w:tcPr>
          <w:p w14:paraId="3C733F68" w14:textId="77777777" w:rsidR="00111E4D" w:rsidRDefault="00111E4D" w:rsidP="00111E4D">
            <w:pPr>
              <w:pStyle w:val="NoSpacing"/>
            </w:pPr>
          </w:p>
        </w:tc>
      </w:tr>
      <w:tr w:rsidR="00111E4D" w14:paraId="01B0AB2A" w14:textId="77777777" w:rsidTr="00111E4D">
        <w:tc>
          <w:tcPr>
            <w:tcW w:w="1131" w:type="pct"/>
            <w:tcBorders>
              <w:right w:val="single" w:sz="4" w:space="0" w:color="auto"/>
            </w:tcBorders>
          </w:tcPr>
          <w:p w14:paraId="376E8C67" w14:textId="77777777" w:rsidR="00111E4D" w:rsidRDefault="00111E4D" w:rsidP="00111E4D">
            <w:pPr>
              <w:pStyle w:val="NoSpacing"/>
              <w:jc w:val="center"/>
            </w:pPr>
            <w:r>
              <w:t>40-50</w:t>
            </w:r>
          </w:p>
        </w:tc>
        <w:tc>
          <w:tcPr>
            <w:tcW w:w="1290" w:type="pct"/>
            <w:tcBorders>
              <w:top w:val="nil"/>
              <w:left w:val="single" w:sz="4" w:space="0" w:color="auto"/>
              <w:bottom w:val="nil"/>
              <w:right w:val="single" w:sz="4" w:space="0" w:color="auto"/>
            </w:tcBorders>
            <w:shd w:val="clear" w:color="auto" w:fill="FFFFFF" w:themeFill="background1"/>
          </w:tcPr>
          <w:p w14:paraId="270D2735" w14:textId="77777777" w:rsidR="00111E4D" w:rsidRDefault="00111E4D" w:rsidP="00111E4D">
            <w:pPr>
              <w:pStyle w:val="NoSpacing"/>
              <w:jc w:val="center"/>
            </w:pPr>
          </w:p>
        </w:tc>
        <w:tc>
          <w:tcPr>
            <w:tcW w:w="1290" w:type="pct"/>
            <w:tcBorders>
              <w:left w:val="single" w:sz="4" w:space="0" w:color="auto"/>
              <w:bottom w:val="nil"/>
            </w:tcBorders>
          </w:tcPr>
          <w:p w14:paraId="3EA5E349" w14:textId="77777777" w:rsidR="00111E4D" w:rsidRDefault="00111E4D" w:rsidP="00111E4D">
            <w:pPr>
              <w:pStyle w:val="NoSpacing"/>
              <w:jc w:val="center"/>
            </w:pPr>
            <w:r>
              <w:t>Not Acceptable</w:t>
            </w:r>
          </w:p>
        </w:tc>
        <w:tc>
          <w:tcPr>
            <w:tcW w:w="1289" w:type="pct"/>
            <w:tcBorders>
              <w:bottom w:val="nil"/>
            </w:tcBorders>
          </w:tcPr>
          <w:p w14:paraId="7D0D48D9" w14:textId="77777777" w:rsidR="00111E4D" w:rsidRDefault="00111E4D" w:rsidP="00111E4D">
            <w:pPr>
              <w:pStyle w:val="NoSpacing"/>
              <w:jc w:val="center"/>
            </w:pPr>
            <w:r>
              <w:t>Poor</w:t>
            </w:r>
          </w:p>
        </w:tc>
      </w:tr>
      <w:tr w:rsidR="00111E4D" w14:paraId="3A194EBD" w14:textId="77777777" w:rsidTr="00111E4D">
        <w:tc>
          <w:tcPr>
            <w:tcW w:w="1131" w:type="pct"/>
            <w:tcBorders>
              <w:right w:val="single" w:sz="4" w:space="0" w:color="auto"/>
            </w:tcBorders>
          </w:tcPr>
          <w:p w14:paraId="71A32752" w14:textId="77777777" w:rsidR="00111E4D" w:rsidRDefault="00111E4D" w:rsidP="00111E4D">
            <w:pPr>
              <w:pStyle w:val="NoSpacing"/>
              <w:jc w:val="center"/>
            </w:pPr>
            <w:r>
              <w:t>30-40</w:t>
            </w:r>
          </w:p>
        </w:tc>
        <w:tc>
          <w:tcPr>
            <w:tcW w:w="1290" w:type="pct"/>
            <w:tcBorders>
              <w:top w:val="nil"/>
              <w:left w:val="single" w:sz="4" w:space="0" w:color="auto"/>
              <w:bottom w:val="nil"/>
              <w:right w:val="single" w:sz="4" w:space="0" w:color="auto"/>
            </w:tcBorders>
            <w:shd w:val="clear" w:color="auto" w:fill="FFFFFF" w:themeFill="background1"/>
          </w:tcPr>
          <w:p w14:paraId="1B28766C" w14:textId="77777777" w:rsidR="00111E4D" w:rsidRDefault="00111E4D" w:rsidP="00111E4D">
            <w:pPr>
              <w:pStyle w:val="NoSpacing"/>
              <w:jc w:val="center"/>
            </w:pPr>
          </w:p>
        </w:tc>
        <w:tc>
          <w:tcPr>
            <w:tcW w:w="1290" w:type="pct"/>
            <w:tcBorders>
              <w:top w:val="nil"/>
              <w:left w:val="single" w:sz="4" w:space="0" w:color="auto"/>
              <w:bottom w:val="nil"/>
            </w:tcBorders>
          </w:tcPr>
          <w:p w14:paraId="7A53BA90" w14:textId="77777777" w:rsidR="00111E4D" w:rsidRDefault="00111E4D" w:rsidP="00111E4D">
            <w:pPr>
              <w:pStyle w:val="NoSpacing"/>
            </w:pPr>
          </w:p>
        </w:tc>
        <w:tc>
          <w:tcPr>
            <w:tcW w:w="1289" w:type="pct"/>
            <w:tcBorders>
              <w:top w:val="nil"/>
              <w:bottom w:val="single" w:sz="4" w:space="0" w:color="auto"/>
            </w:tcBorders>
          </w:tcPr>
          <w:p w14:paraId="79292264" w14:textId="77777777" w:rsidR="00111E4D" w:rsidRDefault="00111E4D" w:rsidP="00111E4D">
            <w:pPr>
              <w:pStyle w:val="NoSpacing"/>
            </w:pPr>
          </w:p>
        </w:tc>
      </w:tr>
      <w:tr w:rsidR="00111E4D" w14:paraId="146F6DCB" w14:textId="77777777" w:rsidTr="00111E4D">
        <w:tc>
          <w:tcPr>
            <w:tcW w:w="1131" w:type="pct"/>
            <w:tcBorders>
              <w:right w:val="single" w:sz="4" w:space="0" w:color="auto"/>
            </w:tcBorders>
          </w:tcPr>
          <w:p w14:paraId="77EE7E9A" w14:textId="77777777" w:rsidR="00111E4D" w:rsidRDefault="00111E4D" w:rsidP="00111E4D">
            <w:pPr>
              <w:pStyle w:val="NoSpacing"/>
              <w:jc w:val="center"/>
            </w:pPr>
            <w:r>
              <w:t>20-30</w:t>
            </w:r>
          </w:p>
        </w:tc>
        <w:tc>
          <w:tcPr>
            <w:tcW w:w="1290" w:type="pct"/>
            <w:tcBorders>
              <w:top w:val="nil"/>
              <w:left w:val="single" w:sz="4" w:space="0" w:color="auto"/>
              <w:bottom w:val="nil"/>
              <w:right w:val="single" w:sz="4" w:space="0" w:color="auto"/>
            </w:tcBorders>
            <w:shd w:val="clear" w:color="auto" w:fill="FFFFFF" w:themeFill="background1"/>
          </w:tcPr>
          <w:p w14:paraId="137BC0E6" w14:textId="77777777" w:rsidR="00111E4D" w:rsidRDefault="00111E4D" w:rsidP="00111E4D">
            <w:pPr>
              <w:pStyle w:val="NoSpacing"/>
              <w:jc w:val="center"/>
            </w:pPr>
          </w:p>
        </w:tc>
        <w:tc>
          <w:tcPr>
            <w:tcW w:w="1290" w:type="pct"/>
            <w:tcBorders>
              <w:top w:val="nil"/>
              <w:left w:val="single" w:sz="4" w:space="0" w:color="auto"/>
              <w:bottom w:val="nil"/>
            </w:tcBorders>
          </w:tcPr>
          <w:p w14:paraId="0DA40136" w14:textId="77777777" w:rsidR="00111E4D" w:rsidRDefault="00111E4D" w:rsidP="00111E4D">
            <w:pPr>
              <w:pStyle w:val="NoSpacing"/>
            </w:pPr>
          </w:p>
        </w:tc>
        <w:tc>
          <w:tcPr>
            <w:tcW w:w="1289" w:type="pct"/>
            <w:tcBorders>
              <w:bottom w:val="nil"/>
            </w:tcBorders>
          </w:tcPr>
          <w:p w14:paraId="67CF3D4C" w14:textId="77777777" w:rsidR="00111E4D" w:rsidRDefault="00111E4D" w:rsidP="00111E4D">
            <w:pPr>
              <w:pStyle w:val="NoSpacing"/>
              <w:jc w:val="center"/>
            </w:pPr>
            <w:r>
              <w:t>Worst Imaginable</w:t>
            </w:r>
          </w:p>
        </w:tc>
      </w:tr>
      <w:tr w:rsidR="00111E4D" w14:paraId="2409DE4D" w14:textId="77777777" w:rsidTr="00111E4D">
        <w:tc>
          <w:tcPr>
            <w:tcW w:w="1131" w:type="pct"/>
            <w:tcBorders>
              <w:right w:val="single" w:sz="4" w:space="0" w:color="auto"/>
            </w:tcBorders>
          </w:tcPr>
          <w:p w14:paraId="11D3CEC7" w14:textId="77777777" w:rsidR="00111E4D" w:rsidRDefault="00111E4D" w:rsidP="00111E4D">
            <w:pPr>
              <w:pStyle w:val="NoSpacing"/>
              <w:jc w:val="center"/>
            </w:pPr>
            <w:r>
              <w:t>10-20</w:t>
            </w:r>
          </w:p>
        </w:tc>
        <w:tc>
          <w:tcPr>
            <w:tcW w:w="1290" w:type="pct"/>
            <w:tcBorders>
              <w:top w:val="nil"/>
              <w:left w:val="single" w:sz="4" w:space="0" w:color="auto"/>
              <w:bottom w:val="nil"/>
              <w:right w:val="single" w:sz="4" w:space="0" w:color="auto"/>
            </w:tcBorders>
            <w:shd w:val="clear" w:color="auto" w:fill="FFFFFF" w:themeFill="background1"/>
          </w:tcPr>
          <w:p w14:paraId="05B06D75" w14:textId="77777777" w:rsidR="00111E4D" w:rsidRDefault="00111E4D" w:rsidP="00111E4D">
            <w:pPr>
              <w:pStyle w:val="NoSpacing"/>
              <w:jc w:val="center"/>
            </w:pPr>
          </w:p>
        </w:tc>
        <w:tc>
          <w:tcPr>
            <w:tcW w:w="1290" w:type="pct"/>
            <w:tcBorders>
              <w:top w:val="nil"/>
              <w:left w:val="single" w:sz="4" w:space="0" w:color="auto"/>
              <w:bottom w:val="nil"/>
            </w:tcBorders>
          </w:tcPr>
          <w:p w14:paraId="5C63C7B7" w14:textId="77777777" w:rsidR="00111E4D" w:rsidRDefault="00111E4D" w:rsidP="00111E4D">
            <w:pPr>
              <w:pStyle w:val="NoSpacing"/>
            </w:pPr>
          </w:p>
        </w:tc>
        <w:tc>
          <w:tcPr>
            <w:tcW w:w="1289" w:type="pct"/>
            <w:tcBorders>
              <w:top w:val="nil"/>
              <w:bottom w:val="nil"/>
            </w:tcBorders>
          </w:tcPr>
          <w:p w14:paraId="7AF1A9BE" w14:textId="77777777" w:rsidR="00111E4D" w:rsidRDefault="00111E4D" w:rsidP="00111E4D">
            <w:pPr>
              <w:pStyle w:val="NoSpacing"/>
            </w:pPr>
          </w:p>
        </w:tc>
      </w:tr>
      <w:tr w:rsidR="00111E4D" w14:paraId="07838B9C" w14:textId="77777777" w:rsidTr="00111E4D">
        <w:tc>
          <w:tcPr>
            <w:tcW w:w="1131" w:type="pct"/>
            <w:tcBorders>
              <w:right w:val="single" w:sz="4" w:space="0" w:color="auto"/>
            </w:tcBorders>
          </w:tcPr>
          <w:p w14:paraId="29A2089D" w14:textId="77777777" w:rsidR="00111E4D" w:rsidRDefault="00111E4D" w:rsidP="00111E4D">
            <w:pPr>
              <w:pStyle w:val="NoSpacing"/>
              <w:jc w:val="center"/>
            </w:pPr>
            <w:r>
              <w:t>0-10</w:t>
            </w:r>
          </w:p>
        </w:tc>
        <w:tc>
          <w:tcPr>
            <w:tcW w:w="1290" w:type="pct"/>
            <w:tcBorders>
              <w:top w:val="nil"/>
              <w:left w:val="single" w:sz="4" w:space="0" w:color="auto"/>
              <w:bottom w:val="single" w:sz="4" w:space="0" w:color="auto"/>
              <w:right w:val="single" w:sz="4" w:space="0" w:color="auto"/>
            </w:tcBorders>
            <w:shd w:val="clear" w:color="auto" w:fill="FFFFFF" w:themeFill="background1"/>
          </w:tcPr>
          <w:p w14:paraId="4831444E" w14:textId="77777777" w:rsidR="00111E4D" w:rsidRDefault="00111E4D" w:rsidP="00111E4D">
            <w:pPr>
              <w:pStyle w:val="NoSpacing"/>
              <w:jc w:val="center"/>
            </w:pPr>
          </w:p>
        </w:tc>
        <w:tc>
          <w:tcPr>
            <w:tcW w:w="1290" w:type="pct"/>
            <w:tcBorders>
              <w:top w:val="nil"/>
              <w:left w:val="single" w:sz="4" w:space="0" w:color="auto"/>
            </w:tcBorders>
          </w:tcPr>
          <w:p w14:paraId="251632F0" w14:textId="77777777" w:rsidR="00111E4D" w:rsidRDefault="00111E4D" w:rsidP="00111E4D">
            <w:pPr>
              <w:pStyle w:val="NoSpacing"/>
            </w:pPr>
          </w:p>
        </w:tc>
        <w:tc>
          <w:tcPr>
            <w:tcW w:w="1289" w:type="pct"/>
            <w:tcBorders>
              <w:top w:val="nil"/>
            </w:tcBorders>
          </w:tcPr>
          <w:p w14:paraId="5FACE96B" w14:textId="77777777" w:rsidR="00111E4D" w:rsidRDefault="00111E4D" w:rsidP="00111E4D">
            <w:pPr>
              <w:pStyle w:val="NoSpacing"/>
            </w:pPr>
          </w:p>
        </w:tc>
      </w:tr>
    </w:tbl>
    <w:p w14:paraId="5C8F9C10" w14:textId="77777777" w:rsidR="00111E4D" w:rsidRDefault="00111E4D" w:rsidP="00111E4D">
      <w:pPr>
        <w:pStyle w:val="Heading5"/>
      </w:pPr>
      <w:r>
        <w:t>System Feedback</w:t>
      </w:r>
    </w:p>
    <w:p w14:paraId="0C62FB17" w14:textId="2AC3C50A" w:rsidR="00111E4D" w:rsidRDefault="00111E4D" w:rsidP="00111E4D">
      <w:r w:rsidRPr="00CE2F1F">
        <w:t>Three qualitative questions col</w:t>
      </w:r>
      <w:r>
        <w:t>lecting feedback regarding MYLO comprised of the following: a</w:t>
      </w:r>
      <w:r w:rsidRPr="00CE2F1F">
        <w:t xml:space="preserve"> description of 3 things the user found beneficial about MYLO, a description of 3 things that would improve MYLO</w:t>
      </w:r>
      <w:r>
        <w:t>,</w:t>
      </w:r>
      <w:r w:rsidRPr="00CE2F1F">
        <w:t xml:space="preserve"> and any other comments or suggestions the user had regarding MYLO.</w:t>
      </w:r>
      <w:r w:rsidR="000F3690">
        <w:t xml:space="preserve">  (</w:t>
      </w:r>
      <w:proofErr w:type="gramStart"/>
      <w:r w:rsidR="000F3690">
        <w:rPr>
          <w:rFonts w:cs="Arial"/>
          <w:color w:val="222222"/>
          <w:shd w:val="clear" w:color="auto" w:fill="FFFFFF"/>
        </w:rPr>
        <w:t>s</w:t>
      </w:r>
      <w:r w:rsidR="000F3690" w:rsidRPr="000E1C6C">
        <w:rPr>
          <w:rFonts w:cs="Arial"/>
          <w:color w:val="222222"/>
          <w:shd w:val="clear" w:color="auto" w:fill="FFFFFF"/>
        </w:rPr>
        <w:t>ee</w:t>
      </w:r>
      <w:proofErr w:type="gramEnd"/>
      <w:r w:rsidR="005D4B28">
        <w:rPr>
          <w:rFonts w:cs="Arial"/>
          <w:color w:val="222222"/>
          <w:shd w:val="clear" w:color="auto" w:fill="FFFFFF"/>
        </w:rPr>
        <w:t xml:space="preserve"> </w:t>
      </w:r>
      <w:r w:rsidR="000F3690" w:rsidRPr="000E1C6C">
        <w:rPr>
          <w:rFonts w:cs="Arial"/>
          <w:bCs/>
          <w:color w:val="222222"/>
          <w:shd w:val="clear" w:color="auto" w:fill="FFFFFF"/>
        </w:rPr>
        <w:t>Appendix</w:t>
      </w:r>
      <w:r w:rsidR="005D4B28">
        <w:rPr>
          <w:rFonts w:cs="Arial"/>
          <w:color w:val="222222"/>
          <w:shd w:val="clear" w:color="auto" w:fill="FFFFFF"/>
        </w:rPr>
        <w:t xml:space="preserve"> </w:t>
      </w:r>
      <w:r w:rsidR="000F3690">
        <w:rPr>
          <w:rFonts w:cs="Arial"/>
          <w:color w:val="222222"/>
          <w:shd w:val="clear" w:color="auto" w:fill="FFFFFF"/>
        </w:rPr>
        <w:t>D</w:t>
      </w:r>
      <w:r w:rsidR="005D4B28">
        <w:rPr>
          <w:rFonts w:cs="Arial"/>
          <w:color w:val="222222"/>
          <w:shd w:val="clear" w:color="auto" w:fill="FFFFFF"/>
        </w:rPr>
        <w:t>10</w:t>
      </w:r>
      <w:r w:rsidR="000F3690">
        <w:rPr>
          <w:rFonts w:cs="Arial"/>
          <w:color w:val="222222"/>
          <w:shd w:val="clear" w:color="auto" w:fill="FFFFFF"/>
        </w:rPr>
        <w:t>)</w:t>
      </w:r>
      <w:r w:rsidR="000F3690">
        <w:t>.</w:t>
      </w:r>
    </w:p>
    <w:p w14:paraId="4C475CB3" w14:textId="77777777" w:rsidR="00111E4D" w:rsidRDefault="00111E4D" w:rsidP="00111E4D">
      <w:pPr>
        <w:pStyle w:val="Heading5"/>
      </w:pPr>
      <w:r>
        <w:t>MYLO question ratings</w:t>
      </w:r>
    </w:p>
    <w:p w14:paraId="68BC1378" w14:textId="77777777" w:rsidR="00111E4D" w:rsidRDefault="00111E4D" w:rsidP="00111E4D">
      <w:r>
        <w:t xml:space="preserve">Every conversation with MYLO is recorded </w:t>
      </w:r>
      <w:r>
        <w:rPr>
          <w:noProof/>
        </w:rPr>
        <w:t>in</w:t>
      </w:r>
      <w:r>
        <w:t xml:space="preserve"> a log file.  The log file details the questions asked by MYLO; the answers given by the participant; the ratings given by the participant for each question asked by MYLO as problematic coded as 1, ok coded as 2 and helpful coded as 3.  A log </w:t>
      </w:r>
      <w:proofErr w:type="gramStart"/>
      <w:r>
        <w:t>analyser written</w:t>
      </w:r>
      <w:proofErr w:type="gramEnd"/>
      <w:r>
        <w:t xml:space="preserve"> by the author sums each rating by occurrence for each conversation.</w:t>
      </w:r>
    </w:p>
    <w:p w14:paraId="1243D7A3" w14:textId="77777777" w:rsidR="00111E4D" w:rsidRPr="00680D3F" w:rsidRDefault="00111E4D" w:rsidP="00111E4D">
      <w:pPr>
        <w:pStyle w:val="Heading4"/>
      </w:pPr>
      <w:r>
        <w:t>Measures of the Therapeutic Relationship</w:t>
      </w:r>
    </w:p>
    <w:p w14:paraId="4FB4310D" w14:textId="77777777" w:rsidR="00111E4D" w:rsidRDefault="00111E4D" w:rsidP="00111E4D">
      <w:pPr>
        <w:pStyle w:val="Heading5"/>
      </w:pPr>
      <w:r>
        <w:t>Working Alliance Inventory-Short Revised (</w:t>
      </w:r>
      <w:r w:rsidRPr="009E3A16">
        <w:t>WAI</w:t>
      </w:r>
      <w:r>
        <w:t>-SR)</w:t>
      </w:r>
    </w:p>
    <w:p w14:paraId="4ECA9956" w14:textId="10700448" w:rsidR="00111E4D" w:rsidRPr="0021033D" w:rsidRDefault="00111E4D" w:rsidP="00111E4D">
      <w:r w:rsidRPr="00AC3A07">
        <w:rPr>
          <w:noProof/>
          <w:shd w:val="clear" w:color="auto" w:fill="FFFFFF"/>
        </w:rPr>
        <w:t xml:space="preserve">The Working Alliance Inventory-Short Revised (WAI-SR; </w:t>
      </w:r>
      <w:r w:rsidRPr="00AC3A07">
        <w:rPr>
          <w:noProof/>
          <w:shd w:val="clear" w:color="auto" w:fill="FFFFFF"/>
        </w:rPr>
        <w:fldChar w:fldCharType="begin" w:fldLock="1"/>
      </w:r>
      <w:r w:rsidRPr="00AC3A07">
        <w:rPr>
          <w:noProof/>
          <w:shd w:val="clear" w:color="auto" w:fill="FFFFFF"/>
        </w:rPr>
        <w:instrText>ADDIN CSL_CITATION {"citationItems":[{"id":"ITEM-1","itemData":{"DOI":"10.1080/10503300500352500","ISBN":"1050-3307","ISSN":"1050-3307","PMID":"321","abstract":"The Working Alliance Inventory (WAI; Horvath &amp; Greenberg, 1989) and the Working Alliance Inventory–Short (WAI-S; Tracey &amp; Kokotovic, 1989) are widely used measures of alliance in therapy. This study evaluated the factor structure of the WAI and WAI-S with confirmatory factor analysis in two relatively large samples (Ns = 231 and 235). The hypothesized structures were not confirmed. An alternative 12-item WAI (WAI-SR), consistent with Bordin's (1979) model of alliance, was developed in one sample and cross-validated in the other. The WAI-SR better differentiated Goal, Task, and Bond alliance dimensions and correlated well with other alliance measures. The Task dimension was particularly salient, as expected based on Bordin's original theory. Additional psychometric properties and item response theory analysis of the WAI-SR are presented.","author":[{"dropping-particle":"","family":"Hatcher","given":"Robert L.","non-dropping-particle":"","parse-names":false,"suffix":""},{"dropping-particle":"","family":"Gillaspy","given":"J. Arthur","non-dropping-particle":"","parse-names":false,"suffix":""}],"container-title":"Psychotherapy Research","id":"ITEM-1","issue":"1","issued":{"date-parts":[["2006","1"]]},"page":"12-25","title":"Development and validation of a revised short version of the working alliance inventory","type":"article-journal","volume":"16"},"uris":["http://www.mendeley.com/documents/?uuid=2b739070-e5df-4260-96f5-7a7bdeee10e8"]}],"mendeley":{"formattedCitation":"(Hatcher and Gillaspy, 2006)","manualFormatting":"Hatcher &amp; Gillaspy, 2006","plainTextFormattedCitation":"(Hatcher and Gillaspy, 2006)","previouslyFormattedCitation":"(Hatcher and Gillaspy, 2006)"},"properties":{"noteIndex":0},"schema":"https://github.com/citation-style-language/schema/raw/master/csl-citation.json"}</w:instrText>
      </w:r>
      <w:r w:rsidRPr="00AC3A07">
        <w:rPr>
          <w:noProof/>
          <w:shd w:val="clear" w:color="auto" w:fill="FFFFFF"/>
        </w:rPr>
        <w:fldChar w:fldCharType="separate"/>
      </w:r>
      <w:r w:rsidRPr="00AC3A07">
        <w:rPr>
          <w:noProof/>
          <w:shd w:val="clear" w:color="auto" w:fill="FFFFFF"/>
        </w:rPr>
        <w:t>Hatcher &amp; Gillaspy, 2006</w:t>
      </w:r>
      <w:r w:rsidRPr="00AC3A07">
        <w:rPr>
          <w:noProof/>
          <w:shd w:val="clear" w:color="auto" w:fill="FFFFFF"/>
        </w:rPr>
        <w:fldChar w:fldCharType="end"/>
      </w:r>
      <w:r w:rsidRPr="00AC3A07">
        <w:rPr>
          <w:noProof/>
          <w:shd w:val="clear" w:color="auto" w:fill="FFFFFF"/>
        </w:rPr>
        <w:t>) is a</w:t>
      </w:r>
      <w:r w:rsidRPr="00185BA0">
        <w:rPr>
          <w:shd w:val="clear" w:color="auto" w:fill="FFFFFF"/>
        </w:rPr>
        <w:t xml:space="preserve"> 12-item measure for the assessment of the </w:t>
      </w:r>
      <w:bookmarkStart w:id="488" w:name="_Hlk510709043"/>
      <w:r w:rsidRPr="00185BA0">
        <w:rPr>
          <w:shd w:val="clear" w:color="auto" w:fill="FFFFFF"/>
        </w:rPr>
        <w:t>therapeutic alliance</w:t>
      </w:r>
      <w:bookmarkEnd w:id="488"/>
      <w:r w:rsidR="00554CB4">
        <w:rPr>
          <w:shd w:val="clear" w:color="auto" w:fill="FFFFFF"/>
        </w:rPr>
        <w:t xml:space="preserve">.  </w:t>
      </w:r>
      <w:r w:rsidRPr="00185BA0">
        <w:rPr>
          <w:shd w:val="clear" w:color="auto" w:fill="FFFFFF"/>
        </w:rPr>
        <w:t>The WAI-SR captures three key alliance aspects: (</w:t>
      </w:r>
      <w:r w:rsidRPr="00567E8C">
        <w:rPr>
          <w:noProof/>
          <w:shd w:val="clear" w:color="auto" w:fill="FFFFFF"/>
        </w:rPr>
        <w:t xml:space="preserve">a) agreement on the tasks of therapy, (b) agreement on the goals of therapy and (c) development of an affective bond.  </w:t>
      </w:r>
      <w:r w:rsidRPr="00567E8C">
        <w:rPr>
          <w:noProof/>
        </w:rPr>
        <w:t>The</w:t>
      </w:r>
      <w:r w:rsidRPr="00304FF0">
        <w:t xml:space="preserve"> scale has been used to assess working alliance in ICBT </w:t>
      </w:r>
      <w:r w:rsidRPr="00304FF0">
        <w:fldChar w:fldCharType="begin" w:fldLock="1"/>
      </w:r>
      <w:r w:rsidR="000B6CC8">
        <w:instrText>ADDIN CSL_CITATION {"citationItems":[{"id":"ITEM-1","itemData":{"DOI":"10.1016/j.brat.2012.05.003","abstract":"a b s t r a c t Guided internet-delivered cognitive behaviour therapy (ICBT) has been found to be effective in several controlled trials, but the mechanisms of change are largely unknown. Therapeutic alliance is a factor that has been studied in many psychotherapy trials, but the role of therapeutic alliance in ICBT is less well known. The present study investigated early alliance ratings in three separate samples. Participants from one sample of depressed individuals (N ¼ 49), one sample of individuals with generalized anxiety disorder (N ¼ 35), and one sample with social anxiety disorder (N ¼ 90) completed the Working Alliance Inventory (WAI) modified for ICBT early in the treatment (weeks 3e4) when they took part in guided ICBT for their conditions. Results showed that alliance ratings were high in all three samples and that the WAI including the subscales of Task, Goal and Bond had high internal consistencies. Overall, correlations between the WAI and residualized change scores on the primary outcome measures were small and not statistically significant. We conclude that even if alliance ratings are in line with face-to-face studies, therapeutic alliance as measured by the WAI is probably less important in ICBT than in regular face-to-face psychotherapy.","author":[{"dropping-particle":"","family":"Andersson","given":"Gerhard","non-dropping-particle":"","parse-names":false,"suffix":""},{"dropping-particle":"","family":"Paxling","given":"Björn","non-dropping-particle":"","parse-names":false,"suffix":""},{"dropping-particle":"","family":"Wiwe","given":"Maria","non-dropping-particle":"","parse-names":false,"suffix":""},{"dropping-particle":"","family":"Vernmark","given":"Kristofer","non-dropping-particle":"","parse-names":false,"suffix":""},{"dropping-particle":"","family":"Felix","given":"Christina Bertholds","non-dropping-particle":"","parse-names":false,"suffix":""},{"dropping-particle":"","family":"Lundborg","given":"Lisa","non-dropping-particle":"","parse-names":false,"suffix":""},{"dropping-particle":"","family":"Furmark","given":"Tomas","non-dropping-particle":"","parse-names":false,"suffix":""},{"dropping-particle":"","family":"Cuijpers","given":"Pim","non-dropping-particle":"","parse-names":false,"suffix":""},{"dropping-particle":"","family":"Carlbring","given":"Per","non-dropping-particle":"","parse-names":false,"suffix":""}],"container-title":"Behaviour Research and Therapy","id":"ITEM-1","issued":{"date-parts":[["2012"]]},"page":"544-550","title":"Therapeutic alliance in guided internet-delivered cognitive behavioural treatment of depression, generalized anxiety disorder and social anxiety disorder","type":"article-journal","volume":"50"},"uris":["http://www.mendeley.com/documents/?uuid=ed925acb-89d6-3e1f-b3a9-6d0b5b36a3ef"]}],"mendeley":{"formattedCitation":"(Andersson, Paxling, Wiwe, &lt;i&gt;et al.&lt;/i&gt;, 2012)","plainTextFormattedCitation":"(Andersson, Paxling, Wiwe, et al., 2012)","previouslyFormattedCitation":"(Andersson, Paxling, Wiwe, &lt;i&gt;et al.&lt;/i&gt;, 2012)"},"properties":{"noteIndex":0},"schema":"https://github.com/citation-style-language/schema/raw/master/csl-citation.json"}</w:instrText>
      </w:r>
      <w:r w:rsidRPr="00304FF0">
        <w:fldChar w:fldCharType="separate"/>
      </w:r>
      <w:r w:rsidR="000B6CC8" w:rsidRPr="000B6CC8">
        <w:rPr>
          <w:noProof/>
        </w:rPr>
        <w:t xml:space="preserve">(Andersson, Paxling, Wiwe, </w:t>
      </w:r>
      <w:r w:rsidR="000B6CC8" w:rsidRPr="000B6CC8">
        <w:rPr>
          <w:i/>
          <w:noProof/>
        </w:rPr>
        <w:t>et al.</w:t>
      </w:r>
      <w:r w:rsidR="000B6CC8" w:rsidRPr="000B6CC8">
        <w:rPr>
          <w:noProof/>
        </w:rPr>
        <w:t>, 2012)</w:t>
      </w:r>
      <w:r w:rsidRPr="00304FF0">
        <w:fldChar w:fldCharType="end"/>
      </w:r>
      <w:r w:rsidRPr="00304FF0">
        <w:t>, with mean scores between 1.00–2.44 interpreted as</w:t>
      </w:r>
      <w:r>
        <w:t xml:space="preserve"> </w:t>
      </w:r>
      <w:r w:rsidRPr="000C7BBE">
        <w:rPr>
          <w:noProof/>
        </w:rPr>
        <w:t>a</w:t>
      </w:r>
      <w:r>
        <w:t xml:space="preserve"> </w:t>
      </w:r>
      <w:r w:rsidRPr="000C7BBE">
        <w:rPr>
          <w:noProof/>
        </w:rPr>
        <w:t>low</w:t>
      </w:r>
      <w:r w:rsidRPr="00304FF0">
        <w:t xml:space="preserve"> alliance, 2.45–3.44 moderate alliance and 3.45–5.00 high alliance</w:t>
      </w:r>
      <w:r>
        <w:t xml:space="preserve"> </w:t>
      </w:r>
      <w:r w:rsidRPr="00304FF0">
        <w:fldChar w:fldCharType="begin" w:fldLock="1"/>
      </w:r>
      <w:r>
        <w:instrText>ADDIN CSL_CITATION {"citationItems":[{"id":"ITEM-1","itemData":{"DOI":"10.1016/j.invent.2014.04.002","ISSN":"22147829","author":[{"dropping-particle":"","family":"Jasper","given":"Kristine","non-dropping-particle":"","parse-names":false,"suffix":""},{"dropping-particle":"","family":"Weise","given":"Cornelia","non-dropping-particle":"","parse-names":false,"suffix":""},{"dropping-particle":"","family":"Conrad","given":"Isabell","non-dropping-particle":"","parse-names":false,"suffix":""},{"dropping-particle":"","family":"Andersson","given":"Gerhard","non-dropping-particle":"","parse-names":false,"suffix":""},{"dropping-particle":"","family":"Hiller","given":"Wolfgang","non-dropping-particle":"","parse-names":false,"suffix":""},{"dropping-particle":"","family":"Kleinstäuber","given":"Maria","non-dropping-particle":"","parse-names":false,"suffix":""}],"container-title":"Internet Interventions","id":"ITEM-1","issue":"2","issued":{"date-parts":[["2014","4"]]},"page":"49-57","title":"The working alliance in a randomized controlled trial comparing Internet-based self-help and face-to-face cognitive behavior therapy for chronic tinnitus","type":"article-journal","volume":"1"},"uris":["http://www.mendeley.com/documents/?uuid=0b3f3ba9-e659-3d0a-a3cc-0a683ce9934c"]}],"mendeley":{"formattedCitation":"(Jasper &lt;i&gt;et al.&lt;/i&gt;, 2014)","plainTextFormattedCitation":"(Jasper et al., 2014)","previouslyFormattedCitation":"(Jasper &lt;i&gt;et al.&lt;/i&gt;, 2014)"},"properties":{"noteIndex":0},"schema":"https://github.com/citation-style-language/schema/raw/master/csl-citation.json"}</w:instrText>
      </w:r>
      <w:r w:rsidRPr="00304FF0">
        <w:fldChar w:fldCharType="separate"/>
      </w:r>
      <w:r w:rsidRPr="00304FF0">
        <w:rPr>
          <w:noProof/>
        </w:rPr>
        <w:t>(Jasper et al., 2014)</w:t>
      </w:r>
      <w:r w:rsidRPr="00304FF0">
        <w:fldChar w:fldCharType="end"/>
      </w:r>
      <w:r w:rsidRPr="00304FF0">
        <w:t>.</w:t>
      </w:r>
      <w:r w:rsidR="00B233DE">
        <w:t xml:space="preserve"> </w:t>
      </w:r>
      <w:r w:rsidRPr="00304FF0">
        <w:t xml:space="preserve"> Cronbach's α on the total score and subscales ranged from 0.87 to 0.94.</w:t>
      </w:r>
      <w:r w:rsidR="000F3690">
        <w:t xml:space="preserve">  (</w:t>
      </w:r>
      <w:proofErr w:type="gramStart"/>
      <w:r w:rsidR="000F3690">
        <w:rPr>
          <w:rFonts w:cs="Arial"/>
          <w:color w:val="222222"/>
          <w:shd w:val="clear" w:color="auto" w:fill="FFFFFF"/>
        </w:rPr>
        <w:t>s</w:t>
      </w:r>
      <w:r w:rsidR="000F3690" w:rsidRPr="000E1C6C">
        <w:rPr>
          <w:rFonts w:cs="Arial"/>
          <w:color w:val="222222"/>
          <w:shd w:val="clear" w:color="auto" w:fill="FFFFFF"/>
        </w:rPr>
        <w:t>ee</w:t>
      </w:r>
      <w:proofErr w:type="gramEnd"/>
      <w:r w:rsidR="005D4B28">
        <w:rPr>
          <w:rFonts w:cs="Arial"/>
          <w:color w:val="222222"/>
          <w:shd w:val="clear" w:color="auto" w:fill="FFFFFF"/>
        </w:rPr>
        <w:t xml:space="preserve"> </w:t>
      </w:r>
      <w:r w:rsidR="000F3690" w:rsidRPr="000E1C6C">
        <w:rPr>
          <w:rFonts w:cs="Arial"/>
          <w:bCs/>
          <w:color w:val="222222"/>
          <w:shd w:val="clear" w:color="auto" w:fill="FFFFFF"/>
        </w:rPr>
        <w:t>Appendix</w:t>
      </w:r>
      <w:r w:rsidR="005D4B28">
        <w:rPr>
          <w:rFonts w:cs="Arial"/>
          <w:color w:val="222222"/>
          <w:shd w:val="clear" w:color="auto" w:fill="FFFFFF"/>
        </w:rPr>
        <w:t xml:space="preserve"> </w:t>
      </w:r>
      <w:r w:rsidR="000F3690">
        <w:rPr>
          <w:rFonts w:cs="Arial"/>
          <w:color w:val="222222"/>
          <w:shd w:val="clear" w:color="auto" w:fill="FFFFFF"/>
        </w:rPr>
        <w:t>D</w:t>
      </w:r>
      <w:r w:rsidR="005D4B28">
        <w:rPr>
          <w:rFonts w:cs="Arial"/>
          <w:color w:val="222222"/>
          <w:shd w:val="clear" w:color="auto" w:fill="FFFFFF"/>
        </w:rPr>
        <w:t>11</w:t>
      </w:r>
      <w:r w:rsidR="000F3690">
        <w:rPr>
          <w:rFonts w:cs="Arial"/>
          <w:color w:val="222222"/>
          <w:shd w:val="clear" w:color="auto" w:fill="FFFFFF"/>
        </w:rPr>
        <w:t>)</w:t>
      </w:r>
      <w:r w:rsidR="000F3690">
        <w:t>.</w:t>
      </w:r>
    </w:p>
    <w:p w14:paraId="4D695B5F" w14:textId="77777777" w:rsidR="00111E4D" w:rsidRDefault="00111E4D" w:rsidP="00111E4D">
      <w:pPr>
        <w:pStyle w:val="Heading2"/>
      </w:pPr>
      <w:bookmarkStart w:id="489" w:name="_Toc530598215"/>
      <w:bookmarkStart w:id="490" w:name="_Toc530660568"/>
      <w:bookmarkStart w:id="491" w:name="_Toc3538170"/>
      <w:r>
        <w:t>Procedure</w:t>
      </w:r>
      <w:bookmarkEnd w:id="489"/>
      <w:bookmarkEnd w:id="490"/>
      <w:bookmarkEnd w:id="491"/>
    </w:p>
    <w:p w14:paraId="5DE33143" w14:textId="1866FB6D" w:rsidR="00111E4D" w:rsidRDefault="00111E4D" w:rsidP="004469A9">
      <w:r w:rsidRPr="00856C73">
        <w:rPr>
          <w:noProof/>
        </w:rPr>
        <w:t>Ethical approval was gained from the University of</w:t>
      </w:r>
      <w:r>
        <w:t xml:space="preserve"> Sheffield Psychology Ethics Committee</w:t>
      </w:r>
      <w:r w:rsidR="00011993">
        <w:t xml:space="preserve"> </w:t>
      </w:r>
      <w:r w:rsidR="00011993" w:rsidRPr="00011993">
        <w:t>(see Appendix D</w:t>
      </w:r>
      <w:r w:rsidR="004A3B9B">
        <w:t>12</w:t>
      </w:r>
      <w:r w:rsidR="00011993" w:rsidRPr="00011993">
        <w:t>)</w:t>
      </w:r>
      <w:r>
        <w:t xml:space="preserve">.  </w:t>
      </w:r>
      <w:proofErr w:type="gramStart"/>
      <w:r>
        <w:t>A flyer</w:t>
      </w:r>
      <w:proofErr w:type="gramEnd"/>
      <w:r>
        <w:t xml:space="preserve"> advertising for participation in the core study was sent via email to </w:t>
      </w:r>
      <w:r w:rsidRPr="008F70E4">
        <w:rPr>
          <w:noProof/>
        </w:rPr>
        <w:t>Universities</w:t>
      </w:r>
      <w:r>
        <w:t xml:space="preserve"> of the Third Age (U3A) </w:t>
      </w:r>
      <w:r w:rsidRPr="00B356A7">
        <w:rPr>
          <w:noProof/>
        </w:rPr>
        <w:t>countrywide</w:t>
      </w:r>
      <w:r w:rsidR="00AA52A6">
        <w:rPr>
          <w:noProof/>
        </w:rPr>
        <w:t xml:space="preserve"> </w:t>
      </w:r>
      <w:r w:rsidR="00AA52A6" w:rsidRPr="00011993">
        <w:t>(see Appendix D</w:t>
      </w:r>
      <w:r w:rsidR="004A3B9B">
        <w:t>13</w:t>
      </w:r>
      <w:r w:rsidR="00AA52A6" w:rsidRPr="00011993">
        <w:t>)</w:t>
      </w:r>
      <w:r>
        <w:t>.  Each p</w:t>
      </w:r>
      <w:r w:rsidRPr="633F8370">
        <w:t>articipant w</w:t>
      </w:r>
      <w:r>
        <w:t>as</w:t>
      </w:r>
      <w:r w:rsidRPr="633F8370">
        <w:t xml:space="preserve"> </w:t>
      </w:r>
      <w:r>
        <w:t xml:space="preserve">requested to register their email address on a secure website </w:t>
      </w:r>
      <w:r w:rsidRPr="00011993">
        <w:t xml:space="preserve">(see Appendix </w:t>
      </w:r>
      <w:r w:rsidR="00011993" w:rsidRPr="00011993">
        <w:t>D</w:t>
      </w:r>
      <w:r w:rsidR="00AA52A6">
        <w:t>1</w:t>
      </w:r>
      <w:r w:rsidR="007233B7">
        <w:t>4</w:t>
      </w:r>
      <w:r w:rsidRPr="00011993">
        <w:t>).</w:t>
      </w:r>
      <w:r w:rsidR="00011993">
        <w:t xml:space="preserve"> </w:t>
      </w:r>
      <w:r>
        <w:t xml:space="preserve"> They were then sent an email</w:t>
      </w:r>
      <w:r w:rsidR="00011993">
        <w:t xml:space="preserve"> </w:t>
      </w:r>
      <w:r>
        <w:t xml:space="preserve">by the BSMS </w:t>
      </w:r>
      <w:r w:rsidR="00764880" w:rsidRPr="00011993">
        <w:t>(see Appendix D</w:t>
      </w:r>
      <w:r w:rsidR="00764880">
        <w:t>11 for the BSMS process</w:t>
      </w:r>
      <w:r w:rsidR="00764880" w:rsidRPr="00011993">
        <w:t>)</w:t>
      </w:r>
      <w:r w:rsidR="00764880">
        <w:t xml:space="preserve"> </w:t>
      </w:r>
      <w:r w:rsidRPr="633F8370">
        <w:t xml:space="preserve">containing a link to an online </w:t>
      </w:r>
      <w:proofErr w:type="spellStart"/>
      <w:r>
        <w:t>Qualtrics</w:t>
      </w:r>
      <w:proofErr w:type="spellEnd"/>
      <w:r>
        <w:t xml:space="preserve"> based </w:t>
      </w:r>
      <w:r w:rsidRPr="633F8370">
        <w:t>participant information sheet</w:t>
      </w:r>
      <w:r>
        <w:t xml:space="preserve"> </w:t>
      </w:r>
      <w:r w:rsidRPr="633F8370">
        <w:t>and consent form</w:t>
      </w:r>
      <w:r>
        <w:t xml:space="preserve"> </w:t>
      </w:r>
      <w:r w:rsidR="00011993" w:rsidRPr="00011993">
        <w:t xml:space="preserve">(see </w:t>
      </w:r>
      <w:r w:rsidR="00011993" w:rsidRPr="00011993">
        <w:lastRenderedPageBreak/>
        <w:t>Appendix D</w:t>
      </w:r>
      <w:r w:rsidR="00362DAF">
        <w:t>1</w:t>
      </w:r>
      <w:r w:rsidR="007233B7">
        <w:t>5</w:t>
      </w:r>
      <w:r w:rsidR="00011993" w:rsidRPr="00011993">
        <w:t>).</w:t>
      </w:r>
      <w:r>
        <w:t xml:space="preserve">  Upon completion of the </w:t>
      </w:r>
      <w:r w:rsidRPr="008F70E4">
        <w:rPr>
          <w:noProof/>
        </w:rPr>
        <w:t>form</w:t>
      </w:r>
      <w:r>
        <w:rPr>
          <w:noProof/>
        </w:rPr>
        <w:t>,</w:t>
      </w:r>
      <w:r>
        <w:t xml:space="preserve"> </w:t>
      </w:r>
      <w:proofErr w:type="spellStart"/>
      <w:r>
        <w:t>Qualtrics</w:t>
      </w:r>
      <w:proofErr w:type="spellEnd"/>
      <w:r>
        <w:t xml:space="preserve"> randomly</w:t>
      </w:r>
      <w:r w:rsidRPr="633F8370">
        <w:t xml:space="preserve"> </w:t>
      </w:r>
      <w:r w:rsidRPr="000C7BBE">
        <w:rPr>
          <w:noProof/>
        </w:rPr>
        <w:t>allocate</w:t>
      </w:r>
      <w:r>
        <w:rPr>
          <w:noProof/>
        </w:rPr>
        <w:t>d</w:t>
      </w:r>
      <w:r>
        <w:t xml:space="preserve"> the</w:t>
      </w:r>
      <w:r w:rsidRPr="633F8370">
        <w:t xml:space="preserve"> p</w:t>
      </w:r>
      <w:r>
        <w:t xml:space="preserve">articipant to one of three intervention arms: M, M+G, </w:t>
      </w:r>
      <w:r w:rsidRPr="633F8370">
        <w:t xml:space="preserve">or </w:t>
      </w:r>
      <w:r>
        <w:t>M+G+S.</w:t>
      </w:r>
    </w:p>
    <w:p w14:paraId="6FE5CACD" w14:textId="15BB80E7" w:rsidR="00111E4D" w:rsidRDefault="00111E4D" w:rsidP="00111E4D">
      <w:r>
        <w:t xml:space="preserve">After allocation, a further email </w:t>
      </w:r>
      <w:r w:rsidRPr="00E263B8">
        <w:rPr>
          <w:noProof/>
        </w:rPr>
        <w:t>was sent</w:t>
      </w:r>
      <w:r>
        <w:t xml:space="preserve"> by the BSMS d</w:t>
      </w:r>
      <w:r w:rsidRPr="00E6185A">
        <w:t xml:space="preserve">etailing further instructions about each stage of the study </w:t>
      </w:r>
      <w:r>
        <w:t>along with</w:t>
      </w:r>
      <w:r w:rsidRPr="00E6185A">
        <w:t xml:space="preserve"> a link to allow </w:t>
      </w:r>
      <w:r>
        <w:t>the participant t</w:t>
      </w:r>
      <w:r w:rsidRPr="00E6185A">
        <w:t>o begin</w:t>
      </w:r>
      <w:r w:rsidR="00554CB4">
        <w:t xml:space="preserve">.  </w:t>
      </w:r>
      <w:r w:rsidRPr="00E6185A">
        <w:t xml:space="preserve">Upon clicking the link participants </w:t>
      </w:r>
      <w:r>
        <w:t>were</w:t>
      </w:r>
      <w:r w:rsidRPr="00E263B8">
        <w:rPr>
          <w:noProof/>
        </w:rPr>
        <w:t xml:space="preserve"> directed</w:t>
      </w:r>
      <w:r w:rsidRPr="00E6185A">
        <w:t xml:space="preserve"> to a specific location depending on </w:t>
      </w:r>
      <w:r>
        <w:t xml:space="preserve">their allocated </w:t>
      </w:r>
      <w:r w:rsidRPr="00E6185A">
        <w:t>group</w:t>
      </w:r>
      <w:r w:rsidR="00554CB4">
        <w:t xml:space="preserve">.  </w:t>
      </w:r>
      <w:r w:rsidRPr="00E263B8">
        <w:rPr>
          <w:noProof/>
        </w:rPr>
        <w:t xml:space="preserve">M group </w:t>
      </w:r>
      <w:r>
        <w:rPr>
          <w:noProof/>
        </w:rPr>
        <w:t>were</w:t>
      </w:r>
      <w:r w:rsidRPr="00E263B8">
        <w:rPr>
          <w:noProof/>
        </w:rPr>
        <w:t xml:space="preserve"> directed to a set of baseline measures comprising of PDRS, RoR, PHQ-9, GAD-7, CEQ and CS measures; M+G group </w:t>
      </w:r>
      <w:r>
        <w:rPr>
          <w:noProof/>
        </w:rPr>
        <w:t>were</w:t>
      </w:r>
      <w:r w:rsidRPr="00E263B8">
        <w:rPr>
          <w:noProof/>
        </w:rPr>
        <w:t xml:space="preserve"> taken to an introduction to </w:t>
      </w:r>
      <w:r w:rsidRPr="00362DAF">
        <w:rPr>
          <w:noProof/>
        </w:rPr>
        <w:t xml:space="preserve">MYLO (see Appendix </w:t>
      </w:r>
      <w:r w:rsidR="00362DAF" w:rsidRPr="00362DAF">
        <w:rPr>
          <w:noProof/>
        </w:rPr>
        <w:t>D1</w:t>
      </w:r>
      <w:r w:rsidRPr="00362DAF">
        <w:rPr>
          <w:noProof/>
        </w:rPr>
        <w:t>) before being redirected to the same baseline measures as M group; and M+G+S group were taken to an audio test to confirm their loudspeaker/headphones were working (see Appendix</w:t>
      </w:r>
      <w:r w:rsidRPr="00362DAF">
        <w:rPr>
          <w:b/>
          <w:noProof/>
        </w:rPr>
        <w:t xml:space="preserve"> </w:t>
      </w:r>
      <w:r w:rsidR="00362DAF" w:rsidRPr="00362DAF">
        <w:rPr>
          <w:noProof/>
        </w:rPr>
        <w:t>D1</w:t>
      </w:r>
      <w:r w:rsidR="007233B7">
        <w:rPr>
          <w:noProof/>
        </w:rPr>
        <w:t>7</w:t>
      </w:r>
      <w:r w:rsidRPr="00362DAF">
        <w:rPr>
          <w:noProof/>
        </w:rPr>
        <w:t xml:space="preserve">) before being taken to the same introduction as M+G group (see Appendix </w:t>
      </w:r>
      <w:r w:rsidR="00362DAF" w:rsidRPr="00362DAF">
        <w:rPr>
          <w:noProof/>
        </w:rPr>
        <w:t>D1</w:t>
      </w:r>
      <w:r w:rsidRPr="00362DAF">
        <w:rPr>
          <w:noProof/>
        </w:rPr>
        <w:t>).</w:t>
      </w:r>
      <w:r w:rsidRPr="00362DAF">
        <w:t xml:space="preserve">  However, unlike the </w:t>
      </w:r>
      <w:r w:rsidRPr="00362DAF">
        <w:rPr>
          <w:noProof/>
        </w:rPr>
        <w:t>M+G</w:t>
      </w:r>
      <w:r w:rsidRPr="00362DAF">
        <w:t xml:space="preserve"> group, the voice of MYLO would read aloud the introduction before redirecting the participant to the same baseline measures as the </w:t>
      </w:r>
      <w:r w:rsidRPr="00362DAF">
        <w:rPr>
          <w:noProof/>
        </w:rPr>
        <w:t>M</w:t>
      </w:r>
      <w:r w:rsidRPr="00362DAF">
        <w:t xml:space="preserve"> group.</w:t>
      </w:r>
    </w:p>
    <w:p w14:paraId="5DA21727" w14:textId="3F41D07E" w:rsidR="00111E4D" w:rsidRPr="009E3A16" w:rsidRDefault="00111E4D" w:rsidP="00111E4D">
      <w:r>
        <w:t xml:space="preserve">Upon arriving at the MYLO system participants were required </w:t>
      </w:r>
      <w:r w:rsidRPr="633F8370">
        <w:t xml:space="preserve">to </w:t>
      </w:r>
      <w:r>
        <w:t xml:space="preserve">login before </w:t>
      </w:r>
      <w:r w:rsidRPr="633F8370">
        <w:t>convers</w:t>
      </w:r>
      <w:r>
        <w:t>ing</w:t>
      </w:r>
      <w:r w:rsidRPr="633F8370">
        <w:t xml:space="preserve"> with the computer program.  Because the study </w:t>
      </w:r>
      <w:r>
        <w:t>ran</w:t>
      </w:r>
      <w:r w:rsidRPr="633F8370">
        <w:t xml:space="preserve"> online</w:t>
      </w:r>
      <w:r>
        <w:t>,</w:t>
      </w:r>
      <w:r w:rsidRPr="633F8370">
        <w:t xml:space="preserve"> </w:t>
      </w:r>
      <w:r>
        <w:t>it was not possible to</w:t>
      </w:r>
      <w:r w:rsidRPr="633F8370">
        <w:t xml:space="preserve"> control maximum talk time</w:t>
      </w:r>
      <w:r>
        <w:t>: participants were direc</w:t>
      </w:r>
      <w:r w:rsidRPr="00F80920">
        <w:t xml:space="preserve">ted to use the program until </w:t>
      </w:r>
      <w:r w:rsidRPr="008F70E4">
        <w:rPr>
          <w:noProof/>
        </w:rPr>
        <w:t>they had reached the end of their conversation or</w:t>
      </w:r>
      <w:r w:rsidRPr="00F80920">
        <w:t xml:space="preserve"> 20 minutes had passed</w:t>
      </w:r>
      <w:r w:rsidR="00554CB4">
        <w:t xml:space="preserve">.  </w:t>
      </w:r>
      <w:r>
        <w:t xml:space="preserve">The duration of use </w:t>
      </w:r>
      <w:r w:rsidRPr="00E263B8">
        <w:rPr>
          <w:noProof/>
        </w:rPr>
        <w:t>was recorded</w:t>
      </w:r>
      <w:r w:rsidR="00554CB4">
        <w:t xml:space="preserve">.  </w:t>
      </w:r>
      <w:r w:rsidRPr="633F8370">
        <w:t xml:space="preserve">The average length of time spent using MYLO was </w:t>
      </w:r>
      <w:r>
        <w:t>35</w:t>
      </w:r>
      <w:r w:rsidRPr="633F8370">
        <w:t>.</w:t>
      </w:r>
      <w:r>
        <w:t>61 minutes</w:t>
      </w:r>
      <w:r w:rsidRPr="633F8370">
        <w:t xml:space="preserve"> (SD = </w:t>
      </w:r>
      <w:r>
        <w:t>27</w:t>
      </w:r>
      <w:r w:rsidRPr="633F8370">
        <w:t>.</w:t>
      </w:r>
      <w:r>
        <w:t>68</w:t>
      </w:r>
      <w:r w:rsidRPr="633F8370">
        <w:t>)</w:t>
      </w:r>
      <w:r>
        <w:t xml:space="preserve">, MYLO </w:t>
      </w:r>
      <w:r w:rsidRPr="009E3A16">
        <w:t xml:space="preserve">guided </w:t>
      </w:r>
      <w:r>
        <w:t>32</w:t>
      </w:r>
      <w:r w:rsidRPr="009E3A16">
        <w:t>.</w:t>
      </w:r>
      <w:r>
        <w:t>89</w:t>
      </w:r>
      <w:r w:rsidRPr="009E3A16">
        <w:t xml:space="preserve"> (SD = 25.</w:t>
      </w:r>
      <w:r>
        <w:t>69</w:t>
      </w:r>
      <w:r w:rsidRPr="009E3A16">
        <w:t>) and MYLO guided with speech 25.</w:t>
      </w:r>
      <w:r>
        <w:t>19</w:t>
      </w:r>
      <w:r w:rsidRPr="009E3A16">
        <w:t xml:space="preserve"> (SD = 21.</w:t>
      </w:r>
      <w:r>
        <w:t>30</w:t>
      </w:r>
      <w:r w:rsidRPr="009E3A16">
        <w:t xml:space="preserve">).  After ending the conversation with the </w:t>
      </w:r>
      <w:r w:rsidRPr="008F70E4">
        <w:rPr>
          <w:noProof/>
        </w:rPr>
        <w:t>program</w:t>
      </w:r>
      <w:r>
        <w:rPr>
          <w:noProof/>
        </w:rPr>
        <w:t>,</w:t>
      </w:r>
      <w:r w:rsidRPr="009E3A16">
        <w:t xml:space="preserve"> participants </w:t>
      </w:r>
      <w:r w:rsidRPr="00E263B8">
        <w:rPr>
          <w:noProof/>
        </w:rPr>
        <w:t>were taken</w:t>
      </w:r>
      <w:r w:rsidRPr="009E3A16">
        <w:t xml:space="preserve"> to a set of post-measures comprised of the </w:t>
      </w:r>
      <w:proofErr w:type="spellStart"/>
      <w:r>
        <w:t>RoR</w:t>
      </w:r>
      <w:proofErr w:type="spellEnd"/>
      <w:r w:rsidRPr="009E3A16">
        <w:t>, SUS, NPS, CS and WAI measures.</w:t>
      </w:r>
    </w:p>
    <w:p w14:paraId="2E5F1699" w14:textId="4CF96D1B" w:rsidR="00111E4D" w:rsidRDefault="00111E4D" w:rsidP="00111E4D">
      <w:pPr>
        <w:rPr>
          <w:noProof/>
        </w:rPr>
      </w:pPr>
      <w:r w:rsidRPr="00E6185A">
        <w:t xml:space="preserve">Two weeks following </w:t>
      </w:r>
      <w:r>
        <w:t>the</w:t>
      </w:r>
      <w:r w:rsidRPr="00E6185A">
        <w:t xml:space="preserve"> session, participants were sent an email asking them to complete a set of follow-up measures to complete their involvement in the study.  These measures </w:t>
      </w:r>
      <w:r w:rsidRPr="00E263B8">
        <w:rPr>
          <w:noProof/>
        </w:rPr>
        <w:t>were comprised</w:t>
      </w:r>
      <w:r w:rsidRPr="00E6185A">
        <w:t xml:space="preserve"> of </w:t>
      </w:r>
      <w:proofErr w:type="spellStart"/>
      <w:r>
        <w:t>RoR</w:t>
      </w:r>
      <w:proofErr w:type="spellEnd"/>
      <w:r w:rsidRPr="00E6185A">
        <w:t>, PHQ-9, GAD-7, CS</w:t>
      </w:r>
      <w:r>
        <w:t xml:space="preserve"> and NPS</w:t>
      </w:r>
      <w:r w:rsidRPr="00E6185A">
        <w:t>.</w:t>
      </w:r>
      <w:r>
        <w:t xml:space="preserve">  Participants </w:t>
      </w:r>
      <w:r w:rsidRPr="00E263B8">
        <w:rPr>
          <w:noProof/>
        </w:rPr>
        <w:t xml:space="preserve">were then </w:t>
      </w:r>
      <w:r>
        <w:rPr>
          <w:noProof/>
        </w:rPr>
        <w:t>debriefed (</w:t>
      </w:r>
      <w:r w:rsidR="007233B7" w:rsidRPr="00362DAF">
        <w:rPr>
          <w:noProof/>
        </w:rPr>
        <w:t>see Appendix</w:t>
      </w:r>
      <w:r w:rsidR="007233B7" w:rsidRPr="00362DAF">
        <w:rPr>
          <w:b/>
          <w:noProof/>
        </w:rPr>
        <w:t xml:space="preserve"> </w:t>
      </w:r>
      <w:r w:rsidR="007233B7" w:rsidRPr="00362DAF">
        <w:rPr>
          <w:noProof/>
        </w:rPr>
        <w:t>D1</w:t>
      </w:r>
      <w:r w:rsidR="007233B7">
        <w:rPr>
          <w:noProof/>
        </w:rPr>
        <w:t>8</w:t>
      </w:r>
      <w:r>
        <w:rPr>
          <w:noProof/>
        </w:rPr>
        <w:t>)</w:t>
      </w:r>
    </w:p>
    <w:p w14:paraId="35B5B2DD" w14:textId="77777777" w:rsidR="0077746A" w:rsidRDefault="0077746A" w:rsidP="0077746A">
      <w:pPr>
        <w:pStyle w:val="Heading2"/>
      </w:pPr>
      <w:bookmarkStart w:id="492" w:name="_Toc3538171"/>
      <w:bookmarkStart w:id="493" w:name="_Toc530598216"/>
      <w:bookmarkStart w:id="494" w:name="_Toc530660569"/>
      <w:r>
        <w:t>Sample Size Calculation</w:t>
      </w:r>
      <w:bookmarkEnd w:id="492"/>
    </w:p>
    <w:p w14:paraId="02033B8E" w14:textId="42FEF933" w:rsidR="00F737F3" w:rsidRPr="000D747D" w:rsidRDefault="00774C25" w:rsidP="004469A9">
      <w:pPr>
        <w:rPr>
          <w:color w:val="000000" w:themeColor="text1"/>
        </w:rPr>
      </w:pPr>
      <w:r w:rsidRPr="000D747D">
        <w:rPr>
          <w:color w:val="000000" w:themeColor="text1"/>
        </w:rPr>
        <w:t xml:space="preserve">To determine the minimum number of </w:t>
      </w:r>
      <w:r w:rsidR="00223455" w:rsidRPr="000D747D">
        <w:rPr>
          <w:color w:val="000000" w:themeColor="text1"/>
        </w:rPr>
        <w:t xml:space="preserve">participants </w:t>
      </w:r>
      <w:r w:rsidRPr="000D747D">
        <w:rPr>
          <w:color w:val="000000" w:themeColor="text1"/>
        </w:rPr>
        <w:t>for adequate study power</w:t>
      </w:r>
      <w:r w:rsidR="00223455" w:rsidRPr="000D747D">
        <w:rPr>
          <w:color w:val="000000" w:themeColor="text1"/>
        </w:rPr>
        <w:t>,</w:t>
      </w:r>
      <w:r w:rsidRPr="000D747D">
        <w:rPr>
          <w:color w:val="000000" w:themeColor="text1"/>
        </w:rPr>
        <w:t xml:space="preserve"> </w:t>
      </w:r>
      <w:r w:rsidR="00223455" w:rsidRPr="000D747D">
        <w:rPr>
          <w:color w:val="000000" w:themeColor="text1"/>
        </w:rPr>
        <w:t>the</w:t>
      </w:r>
      <w:r w:rsidRPr="000D747D">
        <w:rPr>
          <w:color w:val="000000" w:themeColor="text1"/>
        </w:rPr>
        <w:t xml:space="preserve"> </w:t>
      </w:r>
      <w:proofErr w:type="spellStart"/>
      <w:r w:rsidRPr="000D747D">
        <w:rPr>
          <w:color w:val="000000" w:themeColor="text1"/>
        </w:rPr>
        <w:t>ClinCalc</w:t>
      </w:r>
      <w:proofErr w:type="spellEnd"/>
      <w:r w:rsidRPr="000D747D">
        <w:rPr>
          <w:color w:val="000000" w:themeColor="text1"/>
        </w:rPr>
        <w:t xml:space="preserve"> Sample Size Calculator </w:t>
      </w:r>
      <w:r w:rsidR="00244C67" w:rsidRPr="000D747D">
        <w:rPr>
          <w:color w:val="000000" w:themeColor="text1"/>
        </w:rPr>
        <w:t>was used</w:t>
      </w:r>
      <w:r w:rsidR="00223455" w:rsidRPr="000D747D">
        <w:rPr>
          <w:color w:val="000000" w:themeColor="text1"/>
        </w:rPr>
        <w:t>,</w:t>
      </w:r>
      <w:r w:rsidR="00244C67" w:rsidRPr="000D747D">
        <w:rPr>
          <w:color w:val="000000" w:themeColor="text1"/>
        </w:rPr>
        <w:t xml:space="preserve"> </w:t>
      </w:r>
      <w:r w:rsidRPr="000D747D">
        <w:rPr>
          <w:color w:val="000000" w:themeColor="text1"/>
        </w:rPr>
        <w:t xml:space="preserve">based on </w:t>
      </w:r>
      <w:proofErr w:type="spellStart"/>
      <w:r w:rsidRPr="000D747D">
        <w:rPr>
          <w:color w:val="000000" w:themeColor="text1"/>
        </w:rPr>
        <w:t>Rosner</w:t>
      </w:r>
      <w:proofErr w:type="spellEnd"/>
      <w:r w:rsidRPr="000D747D">
        <w:rPr>
          <w:color w:val="000000" w:themeColor="text1"/>
        </w:rPr>
        <w:t> (2011).  The calculation was carried out based on the previous study where a Cohen’s d of 1.33 was found for the baseline and post-intervention c</w:t>
      </w:r>
      <w:r w:rsidR="00244C67" w:rsidRPr="000D747D">
        <w:rPr>
          <w:color w:val="000000" w:themeColor="text1"/>
        </w:rPr>
        <w:t xml:space="preserve">omparison of distress scores </w:t>
      </w:r>
      <w:r w:rsidRPr="000D747D">
        <w:rPr>
          <w:color w:val="000000" w:themeColor="text1"/>
        </w:rPr>
        <w:t>in the MYLO group</w:t>
      </w:r>
      <w:r w:rsidR="00223455" w:rsidRPr="000D747D">
        <w:rPr>
          <w:color w:val="000000" w:themeColor="text1"/>
        </w:rPr>
        <w:t xml:space="preserve">. </w:t>
      </w:r>
      <w:r w:rsidR="00F94585" w:rsidRPr="000D747D">
        <w:rPr>
          <w:color w:val="000000" w:themeColor="text1"/>
        </w:rPr>
        <w:t xml:space="preserve"> </w:t>
      </w:r>
      <w:r w:rsidR="00223455" w:rsidRPr="000D747D">
        <w:rPr>
          <w:color w:val="000000" w:themeColor="text1"/>
        </w:rPr>
        <w:t>A</w:t>
      </w:r>
      <w:r w:rsidRPr="000D747D">
        <w:rPr>
          <w:color w:val="000000" w:themeColor="text1"/>
        </w:rPr>
        <w:t xml:space="preserve"> power analysis indicated that the minimum group size required was </w:t>
      </w:r>
      <w:r w:rsidR="009C1853" w:rsidRPr="000D747D">
        <w:rPr>
          <w:color w:val="000000" w:themeColor="text1"/>
        </w:rPr>
        <w:t xml:space="preserve">6 </w:t>
      </w:r>
      <w:r w:rsidRPr="000D747D">
        <w:rPr>
          <w:color w:val="000000" w:themeColor="text1"/>
        </w:rPr>
        <w:t>with adequate power (0.8</w:t>
      </w:r>
      <w:r w:rsidR="00244C67" w:rsidRPr="000D747D">
        <w:rPr>
          <w:color w:val="000000" w:themeColor="text1"/>
        </w:rPr>
        <w:t xml:space="preserve">).  </w:t>
      </w:r>
      <w:r w:rsidR="00AA66E1" w:rsidRPr="000D747D">
        <w:rPr>
          <w:color w:val="000000" w:themeColor="text1"/>
        </w:rPr>
        <w:t>However</w:t>
      </w:r>
      <w:r w:rsidR="00223455" w:rsidRPr="000D747D">
        <w:rPr>
          <w:color w:val="000000" w:themeColor="text1"/>
        </w:rPr>
        <w:t>,</w:t>
      </w:r>
      <w:r w:rsidR="00AA66E1" w:rsidRPr="000D747D">
        <w:rPr>
          <w:color w:val="000000" w:themeColor="text1"/>
        </w:rPr>
        <w:t xml:space="preserve"> t</w:t>
      </w:r>
      <w:r w:rsidR="00244C67" w:rsidRPr="000D747D">
        <w:rPr>
          <w:color w:val="000000" w:themeColor="text1"/>
        </w:rPr>
        <w:t xml:space="preserve">he previous study </w:t>
      </w:r>
      <w:r w:rsidR="00AA66E1" w:rsidRPr="000D747D">
        <w:rPr>
          <w:color w:val="000000" w:themeColor="text1"/>
        </w:rPr>
        <w:t>also report</w:t>
      </w:r>
      <w:r w:rsidR="00223455" w:rsidRPr="000D747D">
        <w:rPr>
          <w:color w:val="000000" w:themeColor="text1"/>
        </w:rPr>
        <w:t>ed</w:t>
      </w:r>
      <w:r w:rsidRPr="000D747D">
        <w:rPr>
          <w:color w:val="000000" w:themeColor="text1"/>
        </w:rPr>
        <w:t xml:space="preserve"> </w:t>
      </w:r>
      <w:proofErr w:type="gramStart"/>
      <w:r w:rsidR="00AA66E1" w:rsidRPr="000D747D">
        <w:rPr>
          <w:color w:val="000000" w:themeColor="text1"/>
        </w:rPr>
        <w:t xml:space="preserve">improvements </w:t>
      </w:r>
      <w:r w:rsidR="00244C67" w:rsidRPr="000D747D">
        <w:rPr>
          <w:color w:val="000000" w:themeColor="text1"/>
        </w:rPr>
        <w:t xml:space="preserve">in </w:t>
      </w:r>
      <w:r w:rsidRPr="000D747D">
        <w:rPr>
          <w:color w:val="000000" w:themeColor="text1"/>
        </w:rPr>
        <w:t>distress between</w:t>
      </w:r>
      <w:r w:rsidR="00AA66E1" w:rsidRPr="000D747D">
        <w:rPr>
          <w:color w:val="000000" w:themeColor="text1"/>
        </w:rPr>
        <w:t xml:space="preserve"> MYLO and ELIZA groups </w:t>
      </w:r>
      <w:r w:rsidR="00AD60AA" w:rsidRPr="000D747D">
        <w:rPr>
          <w:color w:val="000000" w:themeColor="text1"/>
        </w:rPr>
        <w:t>w</w:t>
      </w:r>
      <w:r w:rsidR="00AA66E1" w:rsidRPr="000D747D">
        <w:rPr>
          <w:color w:val="000000" w:themeColor="text1"/>
        </w:rPr>
        <w:t>as</w:t>
      </w:r>
      <w:proofErr w:type="gramEnd"/>
      <w:r w:rsidR="00AA66E1" w:rsidRPr="000D747D">
        <w:rPr>
          <w:color w:val="000000" w:themeColor="text1"/>
        </w:rPr>
        <w:t xml:space="preserve"> not </w:t>
      </w:r>
      <w:r w:rsidR="00F94585" w:rsidRPr="000D747D">
        <w:rPr>
          <w:color w:val="000000" w:themeColor="text1"/>
        </w:rPr>
        <w:t>significant.</w:t>
      </w:r>
      <w:r w:rsidRPr="000D747D">
        <w:rPr>
          <w:color w:val="000000" w:themeColor="text1"/>
        </w:rPr>
        <w:t xml:space="preserve">   As a result of this a further power analysis was carried out based upon the post-intervention distress scores of both MYLO and ELIZA groups</w:t>
      </w:r>
      <w:r w:rsidR="00AD60AA" w:rsidRPr="000D747D">
        <w:rPr>
          <w:color w:val="000000" w:themeColor="text1"/>
        </w:rPr>
        <w:t xml:space="preserve"> where a Cohen’s d of 0.33 was found</w:t>
      </w:r>
      <w:r w:rsidRPr="000D747D">
        <w:rPr>
          <w:color w:val="000000" w:themeColor="text1"/>
        </w:rPr>
        <w:t xml:space="preserve">.  This indicated that the minimum group size required was </w:t>
      </w:r>
      <w:r w:rsidR="0046088E" w:rsidRPr="000D747D">
        <w:rPr>
          <w:color w:val="000000" w:themeColor="text1"/>
        </w:rPr>
        <w:t>121</w:t>
      </w:r>
      <w:r w:rsidRPr="000D747D">
        <w:rPr>
          <w:color w:val="000000" w:themeColor="text1"/>
        </w:rPr>
        <w:t xml:space="preserve"> with adequate power of (0.8)</w:t>
      </w:r>
      <w:r w:rsidR="007B0EA5" w:rsidRPr="000D747D">
        <w:rPr>
          <w:color w:val="000000" w:themeColor="text1"/>
        </w:rPr>
        <w:t>, resulting in a target sample size of 363.</w:t>
      </w:r>
      <w:r w:rsidRPr="000D747D">
        <w:rPr>
          <w:color w:val="000000" w:themeColor="text1"/>
        </w:rPr>
        <w:t xml:space="preserve"> </w:t>
      </w:r>
      <w:r w:rsidR="0046088E" w:rsidRPr="000D747D">
        <w:rPr>
          <w:color w:val="000000" w:themeColor="text1"/>
        </w:rPr>
        <w:t xml:space="preserve">  </w:t>
      </w:r>
    </w:p>
    <w:p w14:paraId="10F2C6D9" w14:textId="747426FB" w:rsidR="00111E4D" w:rsidRDefault="00111E4D" w:rsidP="00111E4D">
      <w:pPr>
        <w:pStyle w:val="Heading2"/>
        <w:rPr>
          <w:noProof/>
        </w:rPr>
      </w:pPr>
      <w:bookmarkStart w:id="495" w:name="_Toc3538172"/>
      <w:r>
        <w:rPr>
          <w:noProof/>
        </w:rPr>
        <w:t>Data Analysis</w:t>
      </w:r>
      <w:bookmarkEnd w:id="493"/>
      <w:bookmarkEnd w:id="494"/>
      <w:bookmarkEnd w:id="495"/>
    </w:p>
    <w:p w14:paraId="4CC32F73" w14:textId="2CE72AB1" w:rsidR="00111E4D" w:rsidRDefault="00111E4D" w:rsidP="00111E4D">
      <w:r>
        <w:t>All analyses were conducted using SPSS for Windows (Version 23).</w:t>
      </w:r>
      <w:r w:rsidR="00B233DE">
        <w:t xml:space="preserve"> </w:t>
      </w:r>
      <w:r>
        <w:t xml:space="preserve"> The primary outcome measure for the study was problem-related distress</w:t>
      </w:r>
      <w:r w:rsidR="00554CB4">
        <w:t xml:space="preserve">.  </w:t>
      </w:r>
      <w:r>
        <w:t xml:space="preserve">DASS-21, problem resolution, and helpfulness, use again and system </w:t>
      </w:r>
      <w:r>
        <w:lastRenderedPageBreak/>
        <w:t>usability were secondary outcome measures</w:t>
      </w:r>
      <w:r w:rsidR="00554CB4">
        <w:t xml:space="preserve">.  </w:t>
      </w:r>
      <w:r>
        <w:t xml:space="preserve">While ANOVA analyses were in intended, the assumptions of parametric tests were violated (data was not normally distributed). </w:t>
      </w:r>
      <w:r w:rsidR="00B233DE">
        <w:t xml:space="preserve"> </w:t>
      </w:r>
      <w:r>
        <w:t>Therefore, non-parametric analysis was used throughout.</w:t>
      </w:r>
    </w:p>
    <w:p w14:paraId="77002697" w14:textId="25201B9C" w:rsidR="00111E4D" w:rsidRPr="004B7EE0" w:rsidRDefault="00111E4D" w:rsidP="00111E4D">
      <w:r>
        <w:rPr>
          <w:noProof/>
        </w:rPr>
        <w:t xml:space="preserve">To investigate hypothesis one, that </w:t>
      </w:r>
      <w:r w:rsidRPr="00965EA6">
        <w:rPr>
          <w:noProof/>
        </w:rPr>
        <w:t>enhanced interface features will make MYLO a more effective conversational agent for problem-solving</w:t>
      </w:r>
      <w:r>
        <w:rPr>
          <w:noProof/>
        </w:rPr>
        <w:t xml:space="preserve">, </w:t>
      </w:r>
      <w:proofErr w:type="spellStart"/>
      <w:r>
        <w:t>Kruskal</w:t>
      </w:r>
      <w:proofErr w:type="spellEnd"/>
      <w:r>
        <w:t>-Wallis tests were performed on groups (</w:t>
      </w:r>
      <w:r w:rsidRPr="00131014">
        <w:t>MYLO, MYLO Guide</w:t>
      </w:r>
      <w:r>
        <w:t>d</w:t>
      </w:r>
      <w:r w:rsidRPr="00131014">
        <w:t xml:space="preserve"> </w:t>
      </w:r>
      <w:r>
        <w:t>and</w:t>
      </w:r>
      <w:r w:rsidRPr="00131014">
        <w:t xml:space="preserve"> MYLO Guide</w:t>
      </w:r>
      <w:r>
        <w:t>d</w:t>
      </w:r>
      <w:r w:rsidRPr="00131014">
        <w:t xml:space="preserve"> </w:t>
      </w:r>
      <w:r>
        <w:t>with</w:t>
      </w:r>
      <w:r w:rsidRPr="00131014">
        <w:t xml:space="preserve"> Speech</w:t>
      </w:r>
      <w:r>
        <w:t xml:space="preserve">) and time points (baseline, post-intervention and 2-week follow-up) for problem-related distress.  Three Friedman tests were carried out for each group (MYLO, MYLO Guided and MYLO Guided with speech) across all three time points (baseline, post-intervention and 2-week follow-up) for problem-related distress.  </w:t>
      </w:r>
      <w:proofErr w:type="spellStart"/>
      <w:r>
        <w:t>Kruskal</w:t>
      </w:r>
      <w:proofErr w:type="spellEnd"/>
      <w:r>
        <w:t>-Wallis tests were performed on groups (MYLO, MYLO Guided and MYLO Guided with Speech)</w:t>
      </w:r>
      <w:r w:rsidRPr="004B7EE0">
        <w:t xml:space="preserve"> </w:t>
      </w:r>
      <w:r>
        <w:t>and time points (baseline and 2-week follow-up) for</w:t>
      </w:r>
      <w:r w:rsidRPr="004B7EE0">
        <w:t xml:space="preserve"> PhQ-9 and GAD-</w:t>
      </w:r>
      <w:r>
        <w:t>7.</w:t>
      </w:r>
      <w:r w:rsidR="00554CB4">
        <w:t xml:space="preserve">  </w:t>
      </w:r>
      <w:r>
        <w:t>Signed tests were carried out for each group (MYLO, MYLO Guided and MYLO Guided with Speech) across time points (baseline and 2-week follow-up) for</w:t>
      </w:r>
      <w:r w:rsidRPr="004B7EE0">
        <w:t xml:space="preserve"> PhQ-9 and GAD-</w:t>
      </w:r>
      <w:r>
        <w:t>7.</w:t>
      </w:r>
    </w:p>
    <w:p w14:paraId="5BD56A90" w14:textId="4CD51BEB" w:rsidR="00111E4D" w:rsidRDefault="00111E4D" w:rsidP="00111E4D">
      <w:r>
        <w:rPr>
          <w:noProof/>
        </w:rPr>
        <w:t xml:space="preserve">To investigate hypothesis two, that </w:t>
      </w:r>
      <w:r w:rsidRPr="00965EA6">
        <w:rPr>
          <w:noProof/>
        </w:rPr>
        <w:t>enhanced interface features will make MYLO a more acceptable conversational agent for problem-solving with older adults</w:t>
      </w:r>
      <w:r>
        <w:rPr>
          <w:noProof/>
        </w:rPr>
        <w:t xml:space="preserve">, </w:t>
      </w:r>
      <w:proofErr w:type="spellStart"/>
      <w:r>
        <w:t>Kruskal</w:t>
      </w:r>
      <w:proofErr w:type="spellEnd"/>
      <w:r>
        <w:t>-Wallis tests were performed on groups (MYLO, MYLO Guided and MYLO Guided with Speech)</w:t>
      </w:r>
      <w:r w:rsidRPr="004B7EE0">
        <w:t xml:space="preserve"> </w:t>
      </w:r>
      <w:r>
        <w:t>and time points (baseline and 2-week follow-up) for</w:t>
      </w:r>
      <w:r w:rsidRPr="004B7EE0">
        <w:t xml:space="preserve"> </w:t>
      </w:r>
      <w:r>
        <w:t>ratings of resolution</w:t>
      </w:r>
      <w:r w:rsidRPr="004B7EE0">
        <w:t xml:space="preserve"> and </w:t>
      </w:r>
      <w:r>
        <w:t>net promoter score.  Wilcoxon Signed Rank tests were carried out for each group (MYLO, MYLO Guided and MYLO Guided with Speech) across time points (baseline and 2-week follow-up) for</w:t>
      </w:r>
      <w:r w:rsidRPr="004B7EE0">
        <w:t xml:space="preserve"> </w:t>
      </w:r>
      <w:r>
        <w:t>Ratings of Resolution.</w:t>
      </w:r>
    </w:p>
    <w:p w14:paraId="2565EBF5" w14:textId="311179A2" w:rsidR="00111E4D" w:rsidRDefault="00111E4D" w:rsidP="00111E4D">
      <w:r>
        <w:t xml:space="preserve">To investigate hypothesis three, that </w:t>
      </w:r>
      <w:r w:rsidRPr="00E5023D">
        <w:t>adding</w:t>
      </w:r>
      <w:r>
        <w:t xml:space="preserve"> </w:t>
      </w:r>
      <w:r w:rsidRPr="00E5023D">
        <w:t>enhanced interface features</w:t>
      </w:r>
      <w:r>
        <w:t xml:space="preserve"> to MYLO</w:t>
      </w:r>
      <w:r w:rsidRPr="00E5023D">
        <w:t xml:space="preserve"> </w:t>
      </w:r>
      <w:r>
        <w:t xml:space="preserve">would </w:t>
      </w:r>
      <w:r w:rsidRPr="00E5023D">
        <w:t>result in higher system usability</w:t>
      </w:r>
      <w:r>
        <w:t>, several analyses were undertaken</w:t>
      </w:r>
      <w:r w:rsidR="00554CB4">
        <w:t xml:space="preserve">.  </w:t>
      </w:r>
      <w:r>
        <w:t xml:space="preserve">Firstly, </w:t>
      </w:r>
      <w:proofErr w:type="spellStart"/>
      <w:r>
        <w:t>Kruskal</w:t>
      </w:r>
      <w:proofErr w:type="spellEnd"/>
      <w:r>
        <w:t>-Wallis tests were performed comparing system usability between groups (MYLO, MYLO Guided and MYLO Guided with Speech)</w:t>
      </w:r>
      <w:r w:rsidRPr="004B7EE0">
        <w:t xml:space="preserve"> </w:t>
      </w:r>
      <w:r>
        <w:t>and time points (post-intervention).</w:t>
      </w:r>
    </w:p>
    <w:p w14:paraId="5219E115" w14:textId="0E90EB48" w:rsidR="00111E4D" w:rsidRDefault="00111E4D" w:rsidP="00111E4D">
      <w:r>
        <w:t xml:space="preserve">Secondly, to evaluate MYLO’s AI by </w:t>
      </w:r>
      <w:r w:rsidRPr="00951BF9">
        <w:t>examining</w:t>
      </w:r>
      <w:r w:rsidRPr="00951BF9" w:rsidDel="00951BF9">
        <w:t xml:space="preserve"> </w:t>
      </w:r>
      <w:r>
        <w:t xml:space="preserve">its ability to respond to a participant’s answers effectively. </w:t>
      </w:r>
      <w:r w:rsidDel="00951BF9">
        <w:rPr>
          <w:rStyle w:val="CommentReference"/>
        </w:rPr>
        <w:t xml:space="preserve"> </w:t>
      </w:r>
      <w:r>
        <w:t xml:space="preserve">Participant question rating totals for each participant’s conversation were calculated for problematic, okay and helpful and </w:t>
      </w:r>
      <w:proofErr w:type="spellStart"/>
      <w:r>
        <w:t>Kruskal</w:t>
      </w:r>
      <w:proofErr w:type="spellEnd"/>
      <w:r>
        <w:t>-Wallis tests were performed on groups (MYLO, MYLO Guided and MYLO Guided with Speech)</w:t>
      </w:r>
      <w:r w:rsidRPr="004B7EE0">
        <w:t xml:space="preserve"> </w:t>
      </w:r>
      <w:r>
        <w:t>and time points (post-intervention) for</w:t>
      </w:r>
      <w:r w:rsidRPr="004B7EE0">
        <w:t xml:space="preserve"> </w:t>
      </w:r>
      <w:r>
        <w:t xml:space="preserve">participant question rating totals for problematic, okay and helpful. </w:t>
      </w:r>
    </w:p>
    <w:p w14:paraId="45DCBC9E" w14:textId="77777777" w:rsidR="00111E4D" w:rsidRDefault="00111E4D" w:rsidP="00111E4D">
      <w:r>
        <w:t xml:space="preserve">Finally, the qualitative system feedback data regarding suggested system improvements </w:t>
      </w:r>
      <w:r w:rsidRPr="002F0FE8">
        <w:rPr>
          <w:noProof/>
        </w:rPr>
        <w:t xml:space="preserve">was </w:t>
      </w:r>
      <w:r>
        <w:t xml:space="preserve">appraised and </w:t>
      </w:r>
      <w:r>
        <w:rPr>
          <w:noProof/>
        </w:rPr>
        <w:t>coded</w:t>
      </w:r>
      <w:r>
        <w:t xml:space="preserve"> according to one of four improvement categories:</w:t>
      </w:r>
    </w:p>
    <w:p w14:paraId="403CD902" w14:textId="77777777" w:rsidR="00111E4D" w:rsidRDefault="00111E4D" w:rsidP="00E31AB0">
      <w:pPr>
        <w:pStyle w:val="ListParagraph"/>
        <w:numPr>
          <w:ilvl w:val="0"/>
          <w:numId w:val="7"/>
        </w:numPr>
      </w:pPr>
      <w:r>
        <w:t>AI – The conversational functionality of MYLO such as the responses MYLO gives and their appropriateness to a user’s input (that is, the quality of its ‘artificial intelligence’, AI).  E.g. “MYLO needs to understand my problem”.</w:t>
      </w:r>
    </w:p>
    <w:p w14:paraId="795DF2DF" w14:textId="77777777" w:rsidR="00111E4D" w:rsidRDefault="00111E4D" w:rsidP="00E31AB0">
      <w:pPr>
        <w:pStyle w:val="ListParagraph"/>
        <w:numPr>
          <w:ilvl w:val="0"/>
          <w:numId w:val="7"/>
        </w:numPr>
      </w:pPr>
      <w:r>
        <w:t xml:space="preserve">UI – The user </w:t>
      </w:r>
      <w:r w:rsidRPr="000C7BBE">
        <w:rPr>
          <w:noProof/>
        </w:rPr>
        <w:t>interface</w:t>
      </w:r>
      <w:r>
        <w:t xml:space="preserve"> design and functionality of MYLO such as the controls (buttons, </w:t>
      </w:r>
      <w:r w:rsidRPr="00B356A7">
        <w:rPr>
          <w:noProof/>
        </w:rPr>
        <w:t>drop</w:t>
      </w:r>
      <w:r>
        <w:rPr>
          <w:noProof/>
        </w:rPr>
        <w:t>-</w:t>
      </w:r>
      <w:r w:rsidRPr="00B356A7">
        <w:rPr>
          <w:noProof/>
        </w:rPr>
        <w:t>down</w:t>
      </w:r>
      <w:r>
        <w:t xml:space="preserve"> lists, </w:t>
      </w:r>
      <w:r w:rsidRPr="002F0FE8">
        <w:rPr>
          <w:noProof/>
        </w:rPr>
        <w:t>etc.</w:t>
      </w:r>
      <w:r>
        <w:t>), visual style (</w:t>
      </w:r>
      <w:r w:rsidRPr="00B356A7">
        <w:rPr>
          <w:noProof/>
        </w:rPr>
        <w:t>colours</w:t>
      </w:r>
      <w:r>
        <w:t xml:space="preserve">, graphics, text, </w:t>
      </w:r>
      <w:r w:rsidRPr="002F0FE8">
        <w:rPr>
          <w:noProof/>
        </w:rPr>
        <w:t>etc.</w:t>
      </w:r>
      <w:r>
        <w:t>), ‘missing’ user-triggered functionality such as the ability to enlarge text via a button.  E.g. “The text needs to be bigger”.</w:t>
      </w:r>
    </w:p>
    <w:p w14:paraId="243B4A5A" w14:textId="77777777" w:rsidR="00111E4D" w:rsidRDefault="00111E4D" w:rsidP="00E31AB0">
      <w:pPr>
        <w:pStyle w:val="ListParagraph"/>
        <w:numPr>
          <w:ilvl w:val="0"/>
          <w:numId w:val="7"/>
        </w:numPr>
      </w:pPr>
      <w:r>
        <w:lastRenderedPageBreak/>
        <w:t xml:space="preserve">Therapy – Suggestions regarding the </w:t>
      </w:r>
      <w:r w:rsidRPr="00B356A7">
        <w:rPr>
          <w:noProof/>
        </w:rPr>
        <w:t>underlying</w:t>
      </w:r>
      <w:r>
        <w:t xml:space="preserve"> therapy such as giving advice or involving a human.</w:t>
      </w:r>
      <w:r w:rsidRPr="00196572">
        <w:t xml:space="preserve"> </w:t>
      </w:r>
      <w:r>
        <w:t xml:space="preserve"> E.g. “MYLO needs to give me answers to my problems”.</w:t>
      </w:r>
    </w:p>
    <w:p w14:paraId="11A0238F" w14:textId="77777777" w:rsidR="00111E4D" w:rsidRDefault="00111E4D" w:rsidP="00E31AB0">
      <w:pPr>
        <w:pStyle w:val="ListParagraph"/>
        <w:numPr>
          <w:ilvl w:val="0"/>
          <w:numId w:val="7"/>
        </w:numPr>
      </w:pPr>
      <w:r>
        <w:t>Other – Anything that was not related to the AI, UI, Therapy of MYLO.  E.g. “Scrap it!”</w:t>
      </w:r>
    </w:p>
    <w:p w14:paraId="4780D5A7" w14:textId="77777777" w:rsidR="00111E4D" w:rsidRDefault="00111E4D" w:rsidP="00111E4D">
      <w:r>
        <w:t xml:space="preserve">Coding was validated by a second Computer Scientist (Dr Stephen Potter) to attempt to remove any bias.  </w:t>
      </w:r>
      <w:r w:rsidRPr="00567E8C">
        <w:rPr>
          <w:noProof/>
        </w:rPr>
        <w:t>Cohen's kappa (κ) was run to determine if there was an agreement between the two</w:t>
      </w:r>
      <w:r w:rsidRPr="00CE5161">
        <w:t xml:space="preserve"> evaluators on whether </w:t>
      </w:r>
      <w:r>
        <w:t>the</w:t>
      </w:r>
      <w:r w:rsidRPr="00CE5161">
        <w:t xml:space="preserve"> improvement suggestions were related to AI, UI, Therapy or </w:t>
      </w:r>
      <w:r>
        <w:t>Other.  The totals for each category were then calculated along with the overall percentage of the total improvements for each MYLO group.</w:t>
      </w:r>
    </w:p>
    <w:p w14:paraId="3491440E" w14:textId="2A1F51C6" w:rsidR="00111E4D" w:rsidRDefault="00111E4D" w:rsidP="00111E4D">
      <w:r>
        <w:t xml:space="preserve">To investigate hypothesis four regarding whether </w:t>
      </w:r>
      <w:r w:rsidRPr="00852FA3">
        <w:t>adding introductory guidance regarding</w:t>
      </w:r>
      <w:r>
        <w:t xml:space="preserve"> </w:t>
      </w:r>
      <w:r w:rsidRPr="00852FA3">
        <w:t>MYLO increase</w:t>
      </w:r>
      <w:r>
        <w:t>d</w:t>
      </w:r>
      <w:r w:rsidRPr="00852FA3">
        <w:t xml:space="preserve"> MYLO’s </w:t>
      </w:r>
      <w:r>
        <w:t>baseline pre-</w:t>
      </w:r>
      <w:r w:rsidRPr="00852FA3">
        <w:t xml:space="preserve">treatment </w:t>
      </w:r>
      <w:r>
        <w:t>credibility</w:t>
      </w:r>
      <w:r w:rsidRPr="00852FA3">
        <w:t xml:space="preserve"> and </w:t>
      </w:r>
      <w:r>
        <w:t xml:space="preserve">expectancy, </w:t>
      </w:r>
      <w:proofErr w:type="spellStart"/>
      <w:r>
        <w:t>Kruskal</w:t>
      </w:r>
      <w:proofErr w:type="spellEnd"/>
      <w:r>
        <w:t>-Wallis tests were performed on groups (MYLO, MYLO Guided and MYLO Guided with Speech)</w:t>
      </w:r>
      <w:r w:rsidRPr="004B7EE0">
        <w:t xml:space="preserve"> </w:t>
      </w:r>
      <w:r>
        <w:t>and time points (baseline) for</w:t>
      </w:r>
      <w:r w:rsidRPr="004B7EE0">
        <w:t xml:space="preserve"> </w:t>
      </w:r>
      <w:r>
        <w:t>pre-credibility and pre-expectancy.</w:t>
      </w:r>
    </w:p>
    <w:p w14:paraId="43ECA580" w14:textId="4B9A7D1D" w:rsidR="00111E4D" w:rsidRDefault="00111E4D" w:rsidP="00111E4D">
      <w:r>
        <w:t xml:space="preserve">To investigate hypothesis five regarding the relationship between </w:t>
      </w:r>
      <w:r w:rsidRPr="0096223D">
        <w:t xml:space="preserve">usability </w:t>
      </w:r>
      <w:r>
        <w:t xml:space="preserve">and working alliance and </w:t>
      </w:r>
      <w:r w:rsidRPr="0096223D">
        <w:t>agreement on the tasks of therapy</w:t>
      </w:r>
      <w:r>
        <w:t>, for completeness, four Spearman’s</w:t>
      </w:r>
      <w:r w:rsidRPr="00444DD2">
        <w:t xml:space="preserve"> </w:t>
      </w:r>
      <w:r w:rsidRPr="00EB616A">
        <w:t>rank-order correlation</w:t>
      </w:r>
      <w:r>
        <w:t>s were conducted to investigate whether system usability was associated with working alliance score and its sub-scores goal, task, and bond.</w:t>
      </w:r>
    </w:p>
    <w:p w14:paraId="68960639" w14:textId="3AA1E65E" w:rsidR="00111E4D" w:rsidRDefault="00111E4D" w:rsidP="00111E4D">
      <w:r>
        <w:t xml:space="preserve">To investigate hypothesis six regarding the relationship between </w:t>
      </w:r>
      <w:r w:rsidRPr="0096223D">
        <w:t xml:space="preserve">usability </w:t>
      </w:r>
      <w:r>
        <w:t>and</w:t>
      </w:r>
      <w:r w:rsidRPr="0096223D">
        <w:t xml:space="preserve"> </w:t>
      </w:r>
      <w:r>
        <w:t>treatment</w:t>
      </w:r>
      <w:r w:rsidRPr="0096223D">
        <w:t xml:space="preserve"> credibility</w:t>
      </w:r>
      <w:r>
        <w:t xml:space="preserve">, a </w:t>
      </w:r>
      <w:r w:rsidRPr="00EB616A">
        <w:t>Spearman's rank-order correlation</w:t>
      </w:r>
      <w:r>
        <w:t xml:space="preserve"> was performed.</w:t>
      </w:r>
    </w:p>
    <w:p w14:paraId="5E79BA08" w14:textId="77777777" w:rsidR="00111E4D" w:rsidRDefault="00111E4D" w:rsidP="00111E4D">
      <w:pPr>
        <w:pStyle w:val="Heading2"/>
      </w:pPr>
      <w:bookmarkStart w:id="496" w:name="_Toc530598217"/>
      <w:bookmarkStart w:id="497" w:name="_Toc530660570"/>
      <w:bookmarkStart w:id="498" w:name="_Toc3538173"/>
      <w:r>
        <w:t>Results</w:t>
      </w:r>
      <w:bookmarkEnd w:id="496"/>
      <w:bookmarkEnd w:id="497"/>
      <w:bookmarkEnd w:id="498"/>
    </w:p>
    <w:p w14:paraId="7EE2B25F" w14:textId="4866B5A3" w:rsidR="00111E4D" w:rsidRPr="003C7A3C" w:rsidRDefault="00111E4D" w:rsidP="00111E4D">
      <w:pPr>
        <w:pStyle w:val="Heading3"/>
      </w:pPr>
      <w:bookmarkStart w:id="499" w:name="_Toc530598218"/>
      <w:bookmarkStart w:id="500" w:name="_Toc530660571"/>
      <w:bookmarkStart w:id="501" w:name="_Toc3538174"/>
      <w:r>
        <w:t xml:space="preserve">Descriptive </w:t>
      </w:r>
      <w:r w:rsidR="008468AC">
        <w:t>S</w:t>
      </w:r>
      <w:r>
        <w:t>tatistics</w:t>
      </w:r>
      <w:bookmarkEnd w:id="499"/>
      <w:bookmarkEnd w:id="500"/>
      <w:bookmarkEnd w:id="501"/>
    </w:p>
    <w:p w14:paraId="59E1F52D" w14:textId="154DCB58" w:rsidR="00111E4D" w:rsidRDefault="00111E4D" w:rsidP="00111E4D">
      <w:r w:rsidRPr="009E3A16">
        <w:t xml:space="preserve">A total of 63 participants (18 males) aged 52-85 (M = 65.9) </w:t>
      </w:r>
      <w:r w:rsidRPr="00E263B8">
        <w:rPr>
          <w:noProof/>
        </w:rPr>
        <w:t>were included</w:t>
      </w:r>
      <w:r w:rsidRPr="009E3A16">
        <w:t xml:space="preserve"> in the analysis.  There were 23 participants in the MYLO condition (7 Male), 19 in the MYLO Guided condition (5 male) and 21 in the MYLO Guided with Speech condition (6 Male).  </w:t>
      </w:r>
      <w:r w:rsidRPr="00AC3A07">
        <w:rPr>
          <w:noProof/>
        </w:rPr>
        <w:t>All analyses were conducted using SPSS for Windows (Version</w:t>
      </w:r>
      <w:r w:rsidRPr="009E3A16">
        <w:t xml:space="preserve"> 24).  Descriptive statistics for distress, resolution, PHQ-9, GAD-7, CEQ, CS, </w:t>
      </w:r>
      <w:proofErr w:type="spellStart"/>
      <w:r w:rsidRPr="009E3A16">
        <w:t>RoC</w:t>
      </w:r>
      <w:proofErr w:type="spellEnd"/>
      <w:r w:rsidRPr="009E3A16">
        <w:t xml:space="preserve"> baseline and </w:t>
      </w:r>
      <w:r w:rsidRPr="00B356A7">
        <w:rPr>
          <w:noProof/>
        </w:rPr>
        <w:t>post</w:t>
      </w:r>
      <w:r>
        <w:rPr>
          <w:noProof/>
        </w:rPr>
        <w:t>-</w:t>
      </w:r>
      <w:r w:rsidRPr="00B356A7">
        <w:rPr>
          <w:noProof/>
        </w:rPr>
        <w:t>intervention</w:t>
      </w:r>
      <w:r w:rsidRPr="009E3A16">
        <w:t xml:space="preserve"> and follow-up </w:t>
      </w:r>
      <w:r w:rsidRPr="00E263B8">
        <w:rPr>
          <w:noProof/>
        </w:rPr>
        <w:t>are presented</w:t>
      </w:r>
      <w:r w:rsidRPr="009E3A16">
        <w:t xml:space="preserve"> in</w:t>
      </w:r>
      <w:r>
        <w:t xml:space="preserve"> </w:t>
      </w:r>
      <w:r>
        <w:fldChar w:fldCharType="begin"/>
      </w:r>
      <w:r>
        <w:instrText xml:space="preserve"> REF _Ref523826565 \h </w:instrText>
      </w:r>
      <w:r>
        <w:fldChar w:fldCharType="separate"/>
      </w:r>
      <w:r w:rsidR="002D43A8">
        <w:t xml:space="preserve">Table </w:t>
      </w:r>
      <w:r w:rsidR="002D43A8">
        <w:rPr>
          <w:noProof/>
        </w:rPr>
        <w:t>6</w:t>
      </w:r>
      <w:r w:rsidR="002D43A8">
        <w:t>.</w:t>
      </w:r>
      <w:r w:rsidR="002D43A8">
        <w:rPr>
          <w:noProof/>
        </w:rPr>
        <w:t>3</w:t>
      </w:r>
      <w:r>
        <w:fldChar w:fldCharType="end"/>
      </w:r>
      <w:r w:rsidRPr="009E3A16">
        <w:t>.</w:t>
      </w:r>
    </w:p>
    <w:p w14:paraId="4C879331" w14:textId="1D164564" w:rsidR="00111E4D" w:rsidRDefault="00111E4D" w:rsidP="00111E4D">
      <w:pPr>
        <w:pStyle w:val="Caption"/>
        <w:keepNext/>
      </w:pPr>
      <w:bookmarkStart w:id="502" w:name="_Ref523826565"/>
      <w:bookmarkStart w:id="503" w:name="_Toc530759495"/>
      <w:proofErr w:type="gramStart"/>
      <w:r>
        <w:t xml:space="preserve">Table </w:t>
      </w:r>
      <w:r w:rsidR="007E7BB7">
        <w:fldChar w:fldCharType="begin"/>
      </w:r>
      <w:r w:rsidR="007E7BB7">
        <w:instrText xml:space="preserve"> STYLEREF 1 \s </w:instrText>
      </w:r>
      <w:r w:rsidR="007E7BB7">
        <w:fldChar w:fldCharType="separate"/>
      </w:r>
      <w:r w:rsidR="00574650">
        <w:rPr>
          <w:noProof/>
        </w:rPr>
        <w:t>6</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r w:rsidR="002D43A8">
        <w:rPr>
          <w:noProof/>
        </w:rPr>
        <w:t>3</w:t>
      </w:r>
      <w:r w:rsidR="007E7BB7">
        <w:fldChar w:fldCharType="end"/>
      </w:r>
      <w:bookmarkEnd w:id="502"/>
      <w:r>
        <w:t xml:space="preserve">. </w:t>
      </w:r>
      <w:r w:rsidRPr="00A6094C">
        <w:t xml:space="preserve">Means and standard deviations for </w:t>
      </w:r>
      <w:r w:rsidR="00973721">
        <w:t>baseline</w:t>
      </w:r>
      <w:r w:rsidR="006441A6">
        <w:t xml:space="preserve">, </w:t>
      </w:r>
      <w:r w:rsidRPr="00A6094C">
        <w:t>post-intervention and follow-up</w:t>
      </w:r>
      <w:r w:rsidR="006441A6">
        <w:t xml:space="preserve"> </w:t>
      </w:r>
      <w:r w:rsidR="006441A6" w:rsidRPr="00A6094C">
        <w:t>measures</w:t>
      </w:r>
      <w:bookmarkEnd w:id="503"/>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5"/>
        <w:gridCol w:w="890"/>
        <w:gridCol w:w="1196"/>
        <w:gridCol w:w="890"/>
        <w:gridCol w:w="1529"/>
        <w:gridCol w:w="890"/>
        <w:gridCol w:w="1697"/>
      </w:tblGrid>
      <w:tr w:rsidR="00111E4D" w14:paraId="7A0F1DEC" w14:textId="77777777" w:rsidTr="008468AC">
        <w:tc>
          <w:tcPr>
            <w:tcW w:w="1502" w:type="pct"/>
            <w:tcBorders>
              <w:top w:val="single" w:sz="4" w:space="0" w:color="auto"/>
            </w:tcBorders>
          </w:tcPr>
          <w:p w14:paraId="0826A276" w14:textId="77777777" w:rsidR="00111E4D" w:rsidRDefault="00111E4D" w:rsidP="00111E4D">
            <w:pPr>
              <w:pStyle w:val="NoSpacing"/>
            </w:pPr>
            <w:r w:rsidRPr="00123335">
              <w:t>Measure</w:t>
            </w:r>
          </w:p>
        </w:tc>
        <w:tc>
          <w:tcPr>
            <w:tcW w:w="1029" w:type="pct"/>
            <w:gridSpan w:val="2"/>
            <w:tcBorders>
              <w:top w:val="single" w:sz="4" w:space="0" w:color="auto"/>
            </w:tcBorders>
          </w:tcPr>
          <w:p w14:paraId="4D332C4F" w14:textId="77777777" w:rsidR="00111E4D" w:rsidRPr="003D2B74" w:rsidRDefault="00111E4D" w:rsidP="00111E4D">
            <w:pPr>
              <w:pStyle w:val="NoSpacing"/>
            </w:pPr>
            <w:r w:rsidRPr="003D2B74">
              <w:rPr>
                <w:bCs/>
              </w:rPr>
              <w:t>M Group</w:t>
            </w:r>
            <w:r>
              <w:rPr>
                <w:bCs/>
              </w:rPr>
              <w:t xml:space="preserve"> (n=23)</w:t>
            </w:r>
          </w:p>
        </w:tc>
        <w:tc>
          <w:tcPr>
            <w:tcW w:w="1193" w:type="pct"/>
            <w:gridSpan w:val="2"/>
            <w:tcBorders>
              <w:top w:val="single" w:sz="4" w:space="0" w:color="auto"/>
            </w:tcBorders>
          </w:tcPr>
          <w:p w14:paraId="3F37A951" w14:textId="77777777" w:rsidR="00111E4D" w:rsidRPr="003D2B74" w:rsidRDefault="00111E4D" w:rsidP="00111E4D">
            <w:pPr>
              <w:pStyle w:val="NoSpacing"/>
            </w:pPr>
            <w:r w:rsidRPr="003D2B74">
              <w:rPr>
                <w:bCs/>
              </w:rPr>
              <w:t>M+G Group</w:t>
            </w:r>
            <w:r>
              <w:rPr>
                <w:bCs/>
              </w:rPr>
              <w:t xml:space="preserve"> (n=19)</w:t>
            </w:r>
          </w:p>
        </w:tc>
        <w:tc>
          <w:tcPr>
            <w:tcW w:w="1276" w:type="pct"/>
            <w:gridSpan w:val="2"/>
            <w:tcBorders>
              <w:top w:val="single" w:sz="4" w:space="0" w:color="auto"/>
            </w:tcBorders>
          </w:tcPr>
          <w:p w14:paraId="5567615D" w14:textId="77777777" w:rsidR="00111E4D" w:rsidRPr="003D2B74" w:rsidRDefault="00111E4D" w:rsidP="00111E4D">
            <w:pPr>
              <w:pStyle w:val="NoSpacing"/>
            </w:pPr>
            <w:r w:rsidRPr="003D2B74">
              <w:rPr>
                <w:bCs/>
              </w:rPr>
              <w:t>M+G+S Group</w:t>
            </w:r>
            <w:r>
              <w:rPr>
                <w:bCs/>
              </w:rPr>
              <w:t xml:space="preserve"> (n=21)</w:t>
            </w:r>
          </w:p>
        </w:tc>
      </w:tr>
      <w:tr w:rsidR="00111E4D" w14:paraId="123A744C" w14:textId="77777777" w:rsidTr="008468AC">
        <w:tc>
          <w:tcPr>
            <w:tcW w:w="1502" w:type="pct"/>
            <w:tcBorders>
              <w:bottom w:val="single" w:sz="4" w:space="0" w:color="auto"/>
            </w:tcBorders>
          </w:tcPr>
          <w:p w14:paraId="30FBF194" w14:textId="77777777" w:rsidR="00111E4D" w:rsidRDefault="00111E4D" w:rsidP="00111E4D">
            <w:pPr>
              <w:pStyle w:val="NoSpacing"/>
            </w:pPr>
          </w:p>
        </w:tc>
        <w:tc>
          <w:tcPr>
            <w:tcW w:w="439" w:type="pct"/>
            <w:tcBorders>
              <w:bottom w:val="single" w:sz="4" w:space="0" w:color="auto"/>
            </w:tcBorders>
          </w:tcPr>
          <w:p w14:paraId="4C6F8492" w14:textId="77777777" w:rsidR="00111E4D" w:rsidRDefault="00111E4D" w:rsidP="00111E4D">
            <w:pPr>
              <w:pStyle w:val="NoSpacing"/>
            </w:pPr>
            <w:r>
              <w:t>Mean</w:t>
            </w:r>
          </w:p>
        </w:tc>
        <w:tc>
          <w:tcPr>
            <w:tcW w:w="590" w:type="pct"/>
            <w:tcBorders>
              <w:bottom w:val="single" w:sz="4" w:space="0" w:color="auto"/>
            </w:tcBorders>
          </w:tcPr>
          <w:p w14:paraId="6D3DABA7" w14:textId="77777777" w:rsidR="00111E4D" w:rsidRDefault="00111E4D" w:rsidP="00111E4D">
            <w:pPr>
              <w:pStyle w:val="NoSpacing"/>
            </w:pPr>
            <w:r>
              <w:t>SD</w:t>
            </w:r>
          </w:p>
        </w:tc>
        <w:tc>
          <w:tcPr>
            <w:tcW w:w="439" w:type="pct"/>
            <w:tcBorders>
              <w:bottom w:val="single" w:sz="4" w:space="0" w:color="auto"/>
            </w:tcBorders>
          </w:tcPr>
          <w:p w14:paraId="71EF24F8" w14:textId="77777777" w:rsidR="00111E4D" w:rsidRDefault="00111E4D" w:rsidP="00111E4D">
            <w:pPr>
              <w:pStyle w:val="NoSpacing"/>
            </w:pPr>
            <w:r>
              <w:t>Mean</w:t>
            </w:r>
          </w:p>
        </w:tc>
        <w:tc>
          <w:tcPr>
            <w:tcW w:w="754" w:type="pct"/>
            <w:tcBorders>
              <w:bottom w:val="single" w:sz="4" w:space="0" w:color="auto"/>
            </w:tcBorders>
          </w:tcPr>
          <w:p w14:paraId="7E6A2F4F" w14:textId="77777777" w:rsidR="00111E4D" w:rsidRDefault="00111E4D" w:rsidP="00111E4D">
            <w:pPr>
              <w:pStyle w:val="NoSpacing"/>
            </w:pPr>
            <w:r>
              <w:t>SD</w:t>
            </w:r>
          </w:p>
        </w:tc>
        <w:tc>
          <w:tcPr>
            <w:tcW w:w="439" w:type="pct"/>
            <w:tcBorders>
              <w:bottom w:val="single" w:sz="4" w:space="0" w:color="auto"/>
            </w:tcBorders>
          </w:tcPr>
          <w:p w14:paraId="4AA5D539" w14:textId="77777777" w:rsidR="00111E4D" w:rsidRDefault="00111E4D" w:rsidP="00111E4D">
            <w:pPr>
              <w:pStyle w:val="NoSpacing"/>
            </w:pPr>
            <w:r>
              <w:t>Mean</w:t>
            </w:r>
          </w:p>
        </w:tc>
        <w:tc>
          <w:tcPr>
            <w:tcW w:w="837" w:type="pct"/>
            <w:tcBorders>
              <w:bottom w:val="single" w:sz="4" w:space="0" w:color="auto"/>
            </w:tcBorders>
          </w:tcPr>
          <w:p w14:paraId="56F1B85C" w14:textId="77777777" w:rsidR="00111E4D" w:rsidRDefault="00111E4D" w:rsidP="00111E4D">
            <w:pPr>
              <w:pStyle w:val="NoSpacing"/>
            </w:pPr>
            <w:r>
              <w:t>SD</w:t>
            </w:r>
          </w:p>
        </w:tc>
      </w:tr>
      <w:tr w:rsidR="00111E4D" w14:paraId="092853A7" w14:textId="77777777" w:rsidTr="00111E4D">
        <w:tc>
          <w:tcPr>
            <w:tcW w:w="5000" w:type="pct"/>
            <w:gridSpan w:val="7"/>
            <w:tcBorders>
              <w:top w:val="single" w:sz="4" w:space="0" w:color="auto"/>
            </w:tcBorders>
          </w:tcPr>
          <w:p w14:paraId="678C3709" w14:textId="77777777" w:rsidR="00111E4D" w:rsidRDefault="00111E4D" w:rsidP="00111E4D">
            <w:pPr>
              <w:pStyle w:val="NoSpacing"/>
            </w:pPr>
            <w:r w:rsidRPr="00302B46">
              <w:rPr>
                <w:b/>
              </w:rPr>
              <w:t>Problem-related Distress</w:t>
            </w:r>
          </w:p>
        </w:tc>
      </w:tr>
      <w:tr w:rsidR="00111E4D" w14:paraId="482E79ED" w14:textId="77777777" w:rsidTr="008468AC">
        <w:tc>
          <w:tcPr>
            <w:tcW w:w="1502" w:type="pct"/>
          </w:tcPr>
          <w:p w14:paraId="6B1DD90D" w14:textId="77777777" w:rsidR="00111E4D" w:rsidRPr="00302B46" w:rsidRDefault="00111E4D" w:rsidP="00111E4D">
            <w:pPr>
              <w:pStyle w:val="NoSpacing"/>
              <w:ind w:left="720"/>
              <w:rPr>
                <w:b/>
              </w:rPr>
            </w:pPr>
            <w:r w:rsidRPr="00123335">
              <w:t>Baseline</w:t>
            </w:r>
          </w:p>
        </w:tc>
        <w:tc>
          <w:tcPr>
            <w:tcW w:w="439" w:type="pct"/>
          </w:tcPr>
          <w:p w14:paraId="731CA814" w14:textId="77777777" w:rsidR="00111E4D" w:rsidRDefault="00111E4D" w:rsidP="00111E4D">
            <w:pPr>
              <w:pStyle w:val="NoSpacing"/>
            </w:pPr>
            <w:r w:rsidRPr="00123335">
              <w:t>6.52</w:t>
            </w:r>
          </w:p>
        </w:tc>
        <w:tc>
          <w:tcPr>
            <w:tcW w:w="590" w:type="pct"/>
          </w:tcPr>
          <w:p w14:paraId="2D68F7E2" w14:textId="77777777" w:rsidR="00111E4D" w:rsidRDefault="00111E4D" w:rsidP="00111E4D">
            <w:pPr>
              <w:pStyle w:val="NoSpacing"/>
            </w:pPr>
            <w:r w:rsidRPr="00123335">
              <w:t>2.04</w:t>
            </w:r>
          </w:p>
        </w:tc>
        <w:tc>
          <w:tcPr>
            <w:tcW w:w="439" w:type="pct"/>
          </w:tcPr>
          <w:p w14:paraId="2EFA733E" w14:textId="77777777" w:rsidR="00111E4D" w:rsidRDefault="00111E4D" w:rsidP="00111E4D">
            <w:pPr>
              <w:pStyle w:val="NoSpacing"/>
            </w:pPr>
            <w:r w:rsidRPr="00123335">
              <w:t>5.95</w:t>
            </w:r>
          </w:p>
        </w:tc>
        <w:tc>
          <w:tcPr>
            <w:tcW w:w="754" w:type="pct"/>
          </w:tcPr>
          <w:p w14:paraId="5923D8B4" w14:textId="77777777" w:rsidR="00111E4D" w:rsidRDefault="00111E4D" w:rsidP="00111E4D">
            <w:pPr>
              <w:pStyle w:val="NoSpacing"/>
            </w:pPr>
            <w:r w:rsidRPr="00123335">
              <w:t>3.15</w:t>
            </w:r>
          </w:p>
        </w:tc>
        <w:tc>
          <w:tcPr>
            <w:tcW w:w="439" w:type="pct"/>
          </w:tcPr>
          <w:p w14:paraId="4F3D60A9" w14:textId="77777777" w:rsidR="00111E4D" w:rsidRDefault="00111E4D" w:rsidP="00111E4D">
            <w:pPr>
              <w:pStyle w:val="NoSpacing"/>
            </w:pPr>
            <w:r w:rsidRPr="00123335">
              <w:t>5.86</w:t>
            </w:r>
          </w:p>
        </w:tc>
        <w:tc>
          <w:tcPr>
            <w:tcW w:w="837" w:type="pct"/>
          </w:tcPr>
          <w:p w14:paraId="00B2031F" w14:textId="77777777" w:rsidR="00111E4D" w:rsidRDefault="00111E4D" w:rsidP="00111E4D">
            <w:pPr>
              <w:pStyle w:val="NoSpacing"/>
            </w:pPr>
            <w:r w:rsidRPr="00123335">
              <w:t>2.37</w:t>
            </w:r>
          </w:p>
        </w:tc>
      </w:tr>
      <w:tr w:rsidR="00111E4D" w14:paraId="449D45CB" w14:textId="77777777" w:rsidTr="008468AC">
        <w:tc>
          <w:tcPr>
            <w:tcW w:w="1502" w:type="pct"/>
          </w:tcPr>
          <w:p w14:paraId="3A0865BF" w14:textId="77777777" w:rsidR="00111E4D" w:rsidRPr="00302B46" w:rsidRDefault="00111E4D" w:rsidP="00111E4D">
            <w:pPr>
              <w:pStyle w:val="NoSpacing"/>
              <w:ind w:left="720"/>
              <w:rPr>
                <w:b/>
              </w:rPr>
            </w:pPr>
            <w:r w:rsidRPr="00123335">
              <w:t>Post</w:t>
            </w:r>
            <w:r>
              <w:t>-Intervention</w:t>
            </w:r>
          </w:p>
        </w:tc>
        <w:tc>
          <w:tcPr>
            <w:tcW w:w="439" w:type="pct"/>
          </w:tcPr>
          <w:p w14:paraId="6F341DDC" w14:textId="77777777" w:rsidR="00111E4D" w:rsidRDefault="00111E4D" w:rsidP="00111E4D">
            <w:pPr>
              <w:pStyle w:val="NoSpacing"/>
            </w:pPr>
            <w:r w:rsidRPr="00123335">
              <w:t>5.26</w:t>
            </w:r>
          </w:p>
        </w:tc>
        <w:tc>
          <w:tcPr>
            <w:tcW w:w="590" w:type="pct"/>
          </w:tcPr>
          <w:p w14:paraId="3D6A7A15" w14:textId="77777777" w:rsidR="00111E4D" w:rsidRDefault="00111E4D" w:rsidP="00111E4D">
            <w:pPr>
              <w:pStyle w:val="NoSpacing"/>
            </w:pPr>
            <w:r w:rsidRPr="00123335">
              <w:t>2.47</w:t>
            </w:r>
          </w:p>
        </w:tc>
        <w:tc>
          <w:tcPr>
            <w:tcW w:w="439" w:type="pct"/>
          </w:tcPr>
          <w:p w14:paraId="38DA4687" w14:textId="77777777" w:rsidR="00111E4D" w:rsidRDefault="00111E4D" w:rsidP="00111E4D">
            <w:pPr>
              <w:pStyle w:val="NoSpacing"/>
            </w:pPr>
            <w:r w:rsidRPr="00123335">
              <w:t>4.53</w:t>
            </w:r>
          </w:p>
        </w:tc>
        <w:tc>
          <w:tcPr>
            <w:tcW w:w="754" w:type="pct"/>
          </w:tcPr>
          <w:p w14:paraId="28D08D26" w14:textId="77777777" w:rsidR="00111E4D" w:rsidRDefault="00111E4D" w:rsidP="00111E4D">
            <w:pPr>
              <w:pStyle w:val="NoSpacing"/>
            </w:pPr>
            <w:r w:rsidRPr="00123335">
              <w:t>3.20</w:t>
            </w:r>
          </w:p>
        </w:tc>
        <w:tc>
          <w:tcPr>
            <w:tcW w:w="439" w:type="pct"/>
          </w:tcPr>
          <w:p w14:paraId="63C3B80E" w14:textId="77777777" w:rsidR="00111E4D" w:rsidRDefault="00111E4D" w:rsidP="00111E4D">
            <w:pPr>
              <w:pStyle w:val="NoSpacing"/>
            </w:pPr>
            <w:r w:rsidRPr="00123335">
              <w:t>4.81</w:t>
            </w:r>
          </w:p>
        </w:tc>
        <w:tc>
          <w:tcPr>
            <w:tcW w:w="837" w:type="pct"/>
          </w:tcPr>
          <w:p w14:paraId="6678D557" w14:textId="77777777" w:rsidR="00111E4D" w:rsidRDefault="00111E4D" w:rsidP="00111E4D">
            <w:pPr>
              <w:pStyle w:val="NoSpacing"/>
            </w:pPr>
            <w:r w:rsidRPr="00123335">
              <w:t>2.62</w:t>
            </w:r>
          </w:p>
        </w:tc>
      </w:tr>
      <w:tr w:rsidR="00111E4D" w14:paraId="16E0085B" w14:textId="77777777" w:rsidTr="008468AC">
        <w:tc>
          <w:tcPr>
            <w:tcW w:w="1502" w:type="pct"/>
          </w:tcPr>
          <w:p w14:paraId="608B58C2" w14:textId="77777777" w:rsidR="00111E4D" w:rsidRPr="00302B46" w:rsidRDefault="00111E4D" w:rsidP="00111E4D">
            <w:pPr>
              <w:pStyle w:val="NoSpacing"/>
              <w:ind w:left="720"/>
              <w:rPr>
                <w:b/>
              </w:rPr>
            </w:pPr>
            <w:r w:rsidRPr="00123335">
              <w:t>Follow-up</w:t>
            </w:r>
          </w:p>
        </w:tc>
        <w:tc>
          <w:tcPr>
            <w:tcW w:w="439" w:type="pct"/>
          </w:tcPr>
          <w:p w14:paraId="5CD8E66A" w14:textId="77777777" w:rsidR="00111E4D" w:rsidRDefault="00111E4D" w:rsidP="00111E4D">
            <w:pPr>
              <w:pStyle w:val="NoSpacing"/>
            </w:pPr>
            <w:r w:rsidRPr="00123335">
              <w:t>4.43</w:t>
            </w:r>
          </w:p>
        </w:tc>
        <w:tc>
          <w:tcPr>
            <w:tcW w:w="590" w:type="pct"/>
          </w:tcPr>
          <w:p w14:paraId="080C457B" w14:textId="77777777" w:rsidR="00111E4D" w:rsidRDefault="00111E4D" w:rsidP="00111E4D">
            <w:pPr>
              <w:pStyle w:val="NoSpacing"/>
            </w:pPr>
            <w:r w:rsidRPr="00123335">
              <w:t>2.47</w:t>
            </w:r>
          </w:p>
        </w:tc>
        <w:tc>
          <w:tcPr>
            <w:tcW w:w="439" w:type="pct"/>
          </w:tcPr>
          <w:p w14:paraId="59D23269" w14:textId="77777777" w:rsidR="00111E4D" w:rsidRDefault="00111E4D" w:rsidP="00111E4D">
            <w:pPr>
              <w:pStyle w:val="NoSpacing"/>
            </w:pPr>
            <w:r w:rsidRPr="00123335">
              <w:t>3.42</w:t>
            </w:r>
          </w:p>
        </w:tc>
        <w:tc>
          <w:tcPr>
            <w:tcW w:w="754" w:type="pct"/>
          </w:tcPr>
          <w:p w14:paraId="6FE4BEDB" w14:textId="77777777" w:rsidR="00111E4D" w:rsidRDefault="00111E4D" w:rsidP="00111E4D">
            <w:pPr>
              <w:pStyle w:val="NoSpacing"/>
            </w:pPr>
            <w:r w:rsidRPr="00123335">
              <w:t>1.95</w:t>
            </w:r>
          </w:p>
        </w:tc>
        <w:tc>
          <w:tcPr>
            <w:tcW w:w="439" w:type="pct"/>
          </w:tcPr>
          <w:p w14:paraId="357ADA29" w14:textId="77777777" w:rsidR="00111E4D" w:rsidRDefault="00111E4D" w:rsidP="00111E4D">
            <w:pPr>
              <w:pStyle w:val="NoSpacing"/>
            </w:pPr>
            <w:r w:rsidRPr="00123335">
              <w:t>3.86</w:t>
            </w:r>
          </w:p>
        </w:tc>
        <w:tc>
          <w:tcPr>
            <w:tcW w:w="837" w:type="pct"/>
          </w:tcPr>
          <w:p w14:paraId="45102173" w14:textId="77777777" w:rsidR="00111E4D" w:rsidRDefault="00111E4D" w:rsidP="00111E4D">
            <w:pPr>
              <w:pStyle w:val="NoSpacing"/>
            </w:pPr>
            <w:r w:rsidRPr="00123335">
              <w:t>2.58</w:t>
            </w:r>
          </w:p>
        </w:tc>
      </w:tr>
      <w:tr w:rsidR="00111E4D" w14:paraId="2FB525E9" w14:textId="77777777" w:rsidTr="00111E4D">
        <w:tc>
          <w:tcPr>
            <w:tcW w:w="5000" w:type="pct"/>
            <w:gridSpan w:val="7"/>
          </w:tcPr>
          <w:p w14:paraId="2BAD3ACA" w14:textId="77777777" w:rsidR="00111E4D" w:rsidRPr="00123335" w:rsidRDefault="00111E4D" w:rsidP="00111E4D">
            <w:pPr>
              <w:pStyle w:val="NoSpacing"/>
            </w:pPr>
            <w:r w:rsidRPr="00302B46">
              <w:rPr>
                <w:b/>
              </w:rPr>
              <w:t>Problem Resolvability</w:t>
            </w:r>
          </w:p>
        </w:tc>
      </w:tr>
      <w:tr w:rsidR="00111E4D" w14:paraId="758C45DF" w14:textId="77777777" w:rsidTr="008468AC">
        <w:tc>
          <w:tcPr>
            <w:tcW w:w="1502" w:type="pct"/>
          </w:tcPr>
          <w:p w14:paraId="537C1CE8" w14:textId="77777777" w:rsidR="00111E4D" w:rsidRPr="00123335" w:rsidRDefault="00111E4D" w:rsidP="00111E4D">
            <w:pPr>
              <w:pStyle w:val="NoSpacing"/>
              <w:ind w:left="720"/>
            </w:pPr>
            <w:r w:rsidRPr="00123335">
              <w:t>Baseline</w:t>
            </w:r>
          </w:p>
        </w:tc>
        <w:tc>
          <w:tcPr>
            <w:tcW w:w="439" w:type="pct"/>
          </w:tcPr>
          <w:p w14:paraId="5B6DD223" w14:textId="77777777" w:rsidR="00111E4D" w:rsidRPr="00123335" w:rsidRDefault="00111E4D" w:rsidP="00111E4D">
            <w:pPr>
              <w:pStyle w:val="NoSpacing"/>
            </w:pPr>
            <w:r w:rsidRPr="00123335">
              <w:t>5.87</w:t>
            </w:r>
          </w:p>
        </w:tc>
        <w:tc>
          <w:tcPr>
            <w:tcW w:w="590" w:type="pct"/>
          </w:tcPr>
          <w:p w14:paraId="1F236B19" w14:textId="77777777" w:rsidR="00111E4D" w:rsidRPr="00123335" w:rsidRDefault="00111E4D" w:rsidP="00111E4D">
            <w:pPr>
              <w:pStyle w:val="NoSpacing"/>
            </w:pPr>
            <w:r w:rsidRPr="00123335">
              <w:t>3.15</w:t>
            </w:r>
          </w:p>
        </w:tc>
        <w:tc>
          <w:tcPr>
            <w:tcW w:w="439" w:type="pct"/>
          </w:tcPr>
          <w:p w14:paraId="2CD06484" w14:textId="77777777" w:rsidR="00111E4D" w:rsidRPr="00123335" w:rsidRDefault="00111E4D" w:rsidP="00111E4D">
            <w:pPr>
              <w:pStyle w:val="NoSpacing"/>
            </w:pPr>
            <w:r w:rsidRPr="00123335">
              <w:t>6.47</w:t>
            </w:r>
          </w:p>
        </w:tc>
        <w:tc>
          <w:tcPr>
            <w:tcW w:w="754" w:type="pct"/>
          </w:tcPr>
          <w:p w14:paraId="51ACEBE7" w14:textId="77777777" w:rsidR="00111E4D" w:rsidRPr="00123335" w:rsidRDefault="00111E4D" w:rsidP="00111E4D">
            <w:pPr>
              <w:pStyle w:val="NoSpacing"/>
            </w:pPr>
            <w:r w:rsidRPr="00123335">
              <w:t>3.12</w:t>
            </w:r>
          </w:p>
        </w:tc>
        <w:tc>
          <w:tcPr>
            <w:tcW w:w="439" w:type="pct"/>
          </w:tcPr>
          <w:p w14:paraId="71E2CF7C" w14:textId="77777777" w:rsidR="00111E4D" w:rsidRPr="00123335" w:rsidRDefault="00111E4D" w:rsidP="00111E4D">
            <w:pPr>
              <w:pStyle w:val="NoSpacing"/>
            </w:pPr>
            <w:r w:rsidRPr="00123335">
              <w:t>5.57</w:t>
            </w:r>
          </w:p>
        </w:tc>
        <w:tc>
          <w:tcPr>
            <w:tcW w:w="837" w:type="pct"/>
          </w:tcPr>
          <w:p w14:paraId="253ECEB2" w14:textId="77777777" w:rsidR="00111E4D" w:rsidRPr="00123335" w:rsidRDefault="00111E4D" w:rsidP="00111E4D">
            <w:pPr>
              <w:pStyle w:val="NoSpacing"/>
            </w:pPr>
            <w:r w:rsidRPr="00123335">
              <w:t>3.17</w:t>
            </w:r>
          </w:p>
        </w:tc>
      </w:tr>
      <w:tr w:rsidR="00111E4D" w14:paraId="3382802E" w14:textId="77777777" w:rsidTr="00111E4D">
        <w:tc>
          <w:tcPr>
            <w:tcW w:w="5000" w:type="pct"/>
            <w:gridSpan w:val="7"/>
          </w:tcPr>
          <w:p w14:paraId="21617998" w14:textId="77777777" w:rsidR="00111E4D" w:rsidRPr="00123335" w:rsidRDefault="00111E4D" w:rsidP="00111E4D">
            <w:pPr>
              <w:pStyle w:val="NoSpacing"/>
            </w:pPr>
            <w:r w:rsidRPr="00302B46">
              <w:rPr>
                <w:b/>
              </w:rPr>
              <w:t>Problem Resolution</w:t>
            </w:r>
          </w:p>
        </w:tc>
      </w:tr>
      <w:tr w:rsidR="00111E4D" w14:paraId="3754FF18" w14:textId="77777777" w:rsidTr="008468AC">
        <w:tc>
          <w:tcPr>
            <w:tcW w:w="1502" w:type="pct"/>
          </w:tcPr>
          <w:p w14:paraId="307C34E3" w14:textId="77777777" w:rsidR="00111E4D" w:rsidRPr="00302B46" w:rsidRDefault="00111E4D" w:rsidP="00111E4D">
            <w:pPr>
              <w:pStyle w:val="NoSpacing"/>
              <w:ind w:left="720"/>
              <w:rPr>
                <w:b/>
              </w:rPr>
            </w:pPr>
            <w:r w:rsidRPr="00123335">
              <w:t>Post</w:t>
            </w:r>
            <w:r>
              <w:t>-Intervention</w:t>
            </w:r>
          </w:p>
        </w:tc>
        <w:tc>
          <w:tcPr>
            <w:tcW w:w="439" w:type="pct"/>
          </w:tcPr>
          <w:p w14:paraId="2805A994" w14:textId="77777777" w:rsidR="00111E4D" w:rsidRPr="00123335" w:rsidRDefault="00111E4D" w:rsidP="00111E4D">
            <w:pPr>
              <w:pStyle w:val="NoSpacing"/>
            </w:pPr>
            <w:r w:rsidRPr="00123335">
              <w:t>1.78</w:t>
            </w:r>
          </w:p>
        </w:tc>
        <w:tc>
          <w:tcPr>
            <w:tcW w:w="590" w:type="pct"/>
          </w:tcPr>
          <w:p w14:paraId="7C4766AF" w14:textId="77777777" w:rsidR="00111E4D" w:rsidRPr="00123335" w:rsidRDefault="00111E4D" w:rsidP="00111E4D">
            <w:pPr>
              <w:pStyle w:val="NoSpacing"/>
            </w:pPr>
            <w:r w:rsidRPr="00123335">
              <w:t>2.68</w:t>
            </w:r>
          </w:p>
        </w:tc>
        <w:tc>
          <w:tcPr>
            <w:tcW w:w="439" w:type="pct"/>
          </w:tcPr>
          <w:p w14:paraId="5A3B3232" w14:textId="77777777" w:rsidR="00111E4D" w:rsidRPr="00123335" w:rsidRDefault="00111E4D" w:rsidP="00111E4D">
            <w:pPr>
              <w:pStyle w:val="NoSpacing"/>
            </w:pPr>
            <w:r w:rsidRPr="00123335">
              <w:t>2.84</w:t>
            </w:r>
          </w:p>
        </w:tc>
        <w:tc>
          <w:tcPr>
            <w:tcW w:w="754" w:type="pct"/>
          </w:tcPr>
          <w:p w14:paraId="2C01944A" w14:textId="77777777" w:rsidR="00111E4D" w:rsidRPr="00123335" w:rsidRDefault="00111E4D" w:rsidP="00111E4D">
            <w:pPr>
              <w:pStyle w:val="NoSpacing"/>
            </w:pPr>
            <w:r w:rsidRPr="00123335">
              <w:t>3.35</w:t>
            </w:r>
          </w:p>
        </w:tc>
        <w:tc>
          <w:tcPr>
            <w:tcW w:w="439" w:type="pct"/>
          </w:tcPr>
          <w:p w14:paraId="53A2927B" w14:textId="77777777" w:rsidR="00111E4D" w:rsidRPr="00123335" w:rsidRDefault="00111E4D" w:rsidP="00111E4D">
            <w:pPr>
              <w:pStyle w:val="NoSpacing"/>
            </w:pPr>
            <w:r w:rsidRPr="00123335">
              <w:t>2.10</w:t>
            </w:r>
          </w:p>
        </w:tc>
        <w:tc>
          <w:tcPr>
            <w:tcW w:w="837" w:type="pct"/>
          </w:tcPr>
          <w:p w14:paraId="1EDA49FC" w14:textId="77777777" w:rsidR="00111E4D" w:rsidRPr="00123335" w:rsidRDefault="00111E4D" w:rsidP="00111E4D">
            <w:pPr>
              <w:pStyle w:val="NoSpacing"/>
            </w:pPr>
            <w:r w:rsidRPr="00123335">
              <w:t>3.16</w:t>
            </w:r>
          </w:p>
        </w:tc>
      </w:tr>
      <w:tr w:rsidR="00111E4D" w14:paraId="2E1921E9" w14:textId="77777777" w:rsidTr="008468AC">
        <w:tc>
          <w:tcPr>
            <w:tcW w:w="1502" w:type="pct"/>
          </w:tcPr>
          <w:p w14:paraId="52CB1E8C" w14:textId="77777777" w:rsidR="00111E4D" w:rsidRPr="00123335" w:rsidRDefault="00111E4D" w:rsidP="00111E4D">
            <w:pPr>
              <w:pStyle w:val="NoSpacing"/>
              <w:ind w:left="720"/>
            </w:pPr>
            <w:r w:rsidRPr="00123335">
              <w:t>Follow-up</w:t>
            </w:r>
          </w:p>
        </w:tc>
        <w:tc>
          <w:tcPr>
            <w:tcW w:w="439" w:type="pct"/>
          </w:tcPr>
          <w:p w14:paraId="555FD11A" w14:textId="77777777" w:rsidR="00111E4D" w:rsidRPr="00123335" w:rsidRDefault="00111E4D" w:rsidP="00111E4D">
            <w:pPr>
              <w:pStyle w:val="NoSpacing"/>
            </w:pPr>
            <w:r w:rsidRPr="00123335">
              <w:t>4.13</w:t>
            </w:r>
          </w:p>
        </w:tc>
        <w:tc>
          <w:tcPr>
            <w:tcW w:w="590" w:type="pct"/>
          </w:tcPr>
          <w:p w14:paraId="57E5B008" w14:textId="77777777" w:rsidR="00111E4D" w:rsidRPr="00123335" w:rsidRDefault="00111E4D" w:rsidP="00111E4D">
            <w:pPr>
              <w:pStyle w:val="NoSpacing"/>
            </w:pPr>
            <w:r w:rsidRPr="00123335">
              <w:t>3.07</w:t>
            </w:r>
          </w:p>
        </w:tc>
        <w:tc>
          <w:tcPr>
            <w:tcW w:w="439" w:type="pct"/>
          </w:tcPr>
          <w:p w14:paraId="219EF7BA" w14:textId="77777777" w:rsidR="00111E4D" w:rsidRPr="00123335" w:rsidRDefault="00111E4D" w:rsidP="00111E4D">
            <w:pPr>
              <w:pStyle w:val="NoSpacing"/>
            </w:pPr>
            <w:r w:rsidRPr="00123335">
              <w:t>4.53</w:t>
            </w:r>
          </w:p>
        </w:tc>
        <w:tc>
          <w:tcPr>
            <w:tcW w:w="754" w:type="pct"/>
          </w:tcPr>
          <w:p w14:paraId="6A9265B9" w14:textId="77777777" w:rsidR="00111E4D" w:rsidRPr="00123335" w:rsidRDefault="00111E4D" w:rsidP="00111E4D">
            <w:pPr>
              <w:pStyle w:val="NoSpacing"/>
            </w:pPr>
            <w:r w:rsidRPr="00123335">
              <w:t>3.20</w:t>
            </w:r>
          </w:p>
        </w:tc>
        <w:tc>
          <w:tcPr>
            <w:tcW w:w="439" w:type="pct"/>
          </w:tcPr>
          <w:p w14:paraId="0D554B2B" w14:textId="77777777" w:rsidR="00111E4D" w:rsidRPr="00123335" w:rsidRDefault="00111E4D" w:rsidP="00111E4D">
            <w:pPr>
              <w:pStyle w:val="NoSpacing"/>
            </w:pPr>
            <w:r w:rsidRPr="00123335">
              <w:t>3.33</w:t>
            </w:r>
          </w:p>
        </w:tc>
        <w:tc>
          <w:tcPr>
            <w:tcW w:w="837" w:type="pct"/>
          </w:tcPr>
          <w:p w14:paraId="1C3165BF" w14:textId="77777777" w:rsidR="00111E4D" w:rsidRPr="00123335" w:rsidRDefault="00111E4D" w:rsidP="00111E4D">
            <w:pPr>
              <w:pStyle w:val="NoSpacing"/>
            </w:pPr>
            <w:r w:rsidRPr="00123335">
              <w:t>3.06</w:t>
            </w:r>
          </w:p>
        </w:tc>
      </w:tr>
      <w:tr w:rsidR="00111E4D" w14:paraId="6E819C8C" w14:textId="77777777" w:rsidTr="00111E4D">
        <w:tc>
          <w:tcPr>
            <w:tcW w:w="5000" w:type="pct"/>
            <w:gridSpan w:val="7"/>
          </w:tcPr>
          <w:p w14:paraId="1536B31A" w14:textId="77777777" w:rsidR="00111E4D" w:rsidRPr="00123335" w:rsidRDefault="00111E4D" w:rsidP="00111E4D">
            <w:pPr>
              <w:pStyle w:val="NoSpacing"/>
            </w:pPr>
            <w:r w:rsidRPr="00CA71AB">
              <w:rPr>
                <w:b/>
              </w:rPr>
              <w:t>PHQ-9</w:t>
            </w:r>
          </w:p>
        </w:tc>
      </w:tr>
      <w:tr w:rsidR="00111E4D" w14:paraId="74B21600" w14:textId="77777777" w:rsidTr="008468AC">
        <w:tc>
          <w:tcPr>
            <w:tcW w:w="1502" w:type="pct"/>
          </w:tcPr>
          <w:p w14:paraId="7D5F9839" w14:textId="77777777" w:rsidR="00111E4D" w:rsidRPr="00CA71AB" w:rsidRDefault="00111E4D" w:rsidP="00111E4D">
            <w:pPr>
              <w:pStyle w:val="NoSpacing"/>
              <w:ind w:left="720"/>
              <w:rPr>
                <w:b/>
              </w:rPr>
            </w:pPr>
            <w:r w:rsidRPr="00123335">
              <w:lastRenderedPageBreak/>
              <w:t>Baseline</w:t>
            </w:r>
          </w:p>
        </w:tc>
        <w:tc>
          <w:tcPr>
            <w:tcW w:w="439" w:type="pct"/>
          </w:tcPr>
          <w:p w14:paraId="575FBC2A" w14:textId="77777777" w:rsidR="00111E4D" w:rsidRPr="00123335" w:rsidRDefault="00111E4D" w:rsidP="00111E4D">
            <w:pPr>
              <w:pStyle w:val="NoSpacing"/>
            </w:pPr>
            <w:r w:rsidRPr="00123335">
              <w:t>7.65</w:t>
            </w:r>
          </w:p>
        </w:tc>
        <w:tc>
          <w:tcPr>
            <w:tcW w:w="590" w:type="pct"/>
          </w:tcPr>
          <w:p w14:paraId="0EC28209" w14:textId="77777777" w:rsidR="00111E4D" w:rsidRPr="00123335" w:rsidRDefault="00111E4D" w:rsidP="00111E4D">
            <w:pPr>
              <w:pStyle w:val="NoSpacing"/>
            </w:pPr>
            <w:r w:rsidRPr="00123335">
              <w:t>5.55</w:t>
            </w:r>
          </w:p>
        </w:tc>
        <w:tc>
          <w:tcPr>
            <w:tcW w:w="439" w:type="pct"/>
          </w:tcPr>
          <w:p w14:paraId="57034086" w14:textId="77777777" w:rsidR="00111E4D" w:rsidRPr="00123335" w:rsidRDefault="00111E4D" w:rsidP="00111E4D">
            <w:pPr>
              <w:pStyle w:val="NoSpacing"/>
            </w:pPr>
            <w:r w:rsidRPr="00123335">
              <w:t>6.53</w:t>
            </w:r>
          </w:p>
        </w:tc>
        <w:tc>
          <w:tcPr>
            <w:tcW w:w="754" w:type="pct"/>
          </w:tcPr>
          <w:p w14:paraId="32CF49CB" w14:textId="77777777" w:rsidR="00111E4D" w:rsidRPr="00123335" w:rsidRDefault="00111E4D" w:rsidP="00111E4D">
            <w:pPr>
              <w:pStyle w:val="NoSpacing"/>
            </w:pPr>
            <w:r w:rsidRPr="00123335">
              <w:t>4.23</w:t>
            </w:r>
          </w:p>
        </w:tc>
        <w:tc>
          <w:tcPr>
            <w:tcW w:w="439" w:type="pct"/>
          </w:tcPr>
          <w:p w14:paraId="554EC6EA" w14:textId="77777777" w:rsidR="00111E4D" w:rsidRPr="00123335" w:rsidRDefault="00111E4D" w:rsidP="00111E4D">
            <w:pPr>
              <w:pStyle w:val="NoSpacing"/>
            </w:pPr>
            <w:r w:rsidRPr="00123335">
              <w:t>6.67</w:t>
            </w:r>
          </w:p>
        </w:tc>
        <w:tc>
          <w:tcPr>
            <w:tcW w:w="837" w:type="pct"/>
          </w:tcPr>
          <w:p w14:paraId="4A31D480" w14:textId="77777777" w:rsidR="00111E4D" w:rsidRPr="00123335" w:rsidRDefault="00111E4D" w:rsidP="00111E4D">
            <w:pPr>
              <w:pStyle w:val="NoSpacing"/>
            </w:pPr>
            <w:r w:rsidRPr="00123335">
              <w:t>7.23</w:t>
            </w:r>
          </w:p>
        </w:tc>
      </w:tr>
      <w:tr w:rsidR="00111E4D" w14:paraId="69F7BE1E" w14:textId="77777777" w:rsidTr="008468AC">
        <w:tc>
          <w:tcPr>
            <w:tcW w:w="1502" w:type="pct"/>
          </w:tcPr>
          <w:p w14:paraId="6F030697" w14:textId="77777777" w:rsidR="00111E4D" w:rsidRPr="00CA71AB" w:rsidRDefault="00111E4D" w:rsidP="00111E4D">
            <w:pPr>
              <w:pStyle w:val="NoSpacing"/>
              <w:ind w:left="720"/>
              <w:rPr>
                <w:b/>
              </w:rPr>
            </w:pPr>
            <w:r w:rsidRPr="00123335">
              <w:t>Follow-up</w:t>
            </w:r>
          </w:p>
        </w:tc>
        <w:tc>
          <w:tcPr>
            <w:tcW w:w="439" w:type="pct"/>
          </w:tcPr>
          <w:p w14:paraId="6220D427" w14:textId="77777777" w:rsidR="00111E4D" w:rsidRPr="00123335" w:rsidRDefault="00111E4D" w:rsidP="00111E4D">
            <w:pPr>
              <w:pStyle w:val="NoSpacing"/>
            </w:pPr>
            <w:r w:rsidRPr="00123335">
              <w:t>6.74</w:t>
            </w:r>
          </w:p>
        </w:tc>
        <w:tc>
          <w:tcPr>
            <w:tcW w:w="590" w:type="pct"/>
          </w:tcPr>
          <w:p w14:paraId="2077BB67" w14:textId="77777777" w:rsidR="00111E4D" w:rsidRPr="00123335" w:rsidRDefault="00111E4D" w:rsidP="00111E4D">
            <w:pPr>
              <w:pStyle w:val="NoSpacing"/>
            </w:pPr>
            <w:r w:rsidRPr="00123335">
              <w:t>7.03</w:t>
            </w:r>
          </w:p>
        </w:tc>
        <w:tc>
          <w:tcPr>
            <w:tcW w:w="439" w:type="pct"/>
          </w:tcPr>
          <w:p w14:paraId="2C5D3317" w14:textId="77777777" w:rsidR="00111E4D" w:rsidRPr="00123335" w:rsidRDefault="00111E4D" w:rsidP="00111E4D">
            <w:pPr>
              <w:pStyle w:val="NoSpacing"/>
            </w:pPr>
            <w:r w:rsidRPr="00123335">
              <w:t>4.37</w:t>
            </w:r>
          </w:p>
        </w:tc>
        <w:tc>
          <w:tcPr>
            <w:tcW w:w="754" w:type="pct"/>
          </w:tcPr>
          <w:p w14:paraId="0E7DB693" w14:textId="77777777" w:rsidR="00111E4D" w:rsidRPr="00123335" w:rsidRDefault="00111E4D" w:rsidP="00111E4D">
            <w:pPr>
              <w:pStyle w:val="NoSpacing"/>
            </w:pPr>
            <w:r w:rsidRPr="00123335">
              <w:t>5.40</w:t>
            </w:r>
          </w:p>
        </w:tc>
        <w:tc>
          <w:tcPr>
            <w:tcW w:w="439" w:type="pct"/>
          </w:tcPr>
          <w:p w14:paraId="07D1E83E" w14:textId="77777777" w:rsidR="00111E4D" w:rsidRPr="00123335" w:rsidRDefault="00111E4D" w:rsidP="00111E4D">
            <w:pPr>
              <w:pStyle w:val="NoSpacing"/>
            </w:pPr>
            <w:r w:rsidRPr="00123335">
              <w:t>4.67</w:t>
            </w:r>
          </w:p>
        </w:tc>
        <w:tc>
          <w:tcPr>
            <w:tcW w:w="837" w:type="pct"/>
          </w:tcPr>
          <w:p w14:paraId="1AC746E7" w14:textId="77777777" w:rsidR="00111E4D" w:rsidRPr="00123335" w:rsidRDefault="00111E4D" w:rsidP="00111E4D">
            <w:pPr>
              <w:pStyle w:val="NoSpacing"/>
            </w:pPr>
            <w:r w:rsidRPr="00123335">
              <w:t>6.01</w:t>
            </w:r>
          </w:p>
        </w:tc>
      </w:tr>
      <w:tr w:rsidR="00111E4D" w14:paraId="64555C08" w14:textId="77777777" w:rsidTr="00111E4D">
        <w:tc>
          <w:tcPr>
            <w:tcW w:w="5000" w:type="pct"/>
            <w:gridSpan w:val="7"/>
          </w:tcPr>
          <w:p w14:paraId="6045798F" w14:textId="77777777" w:rsidR="00111E4D" w:rsidRPr="00123335" w:rsidRDefault="00111E4D" w:rsidP="00111E4D">
            <w:pPr>
              <w:pStyle w:val="NoSpacing"/>
            </w:pPr>
            <w:r w:rsidRPr="00CA71AB">
              <w:rPr>
                <w:b/>
              </w:rPr>
              <w:t>GAD-7</w:t>
            </w:r>
          </w:p>
        </w:tc>
      </w:tr>
      <w:tr w:rsidR="00111E4D" w14:paraId="411D9887" w14:textId="77777777" w:rsidTr="008468AC">
        <w:tc>
          <w:tcPr>
            <w:tcW w:w="1502" w:type="pct"/>
          </w:tcPr>
          <w:p w14:paraId="39B88D20" w14:textId="77777777" w:rsidR="00111E4D" w:rsidRPr="00CA71AB" w:rsidRDefault="00111E4D" w:rsidP="00111E4D">
            <w:pPr>
              <w:pStyle w:val="NoSpacing"/>
              <w:ind w:left="720"/>
              <w:rPr>
                <w:b/>
              </w:rPr>
            </w:pPr>
            <w:r w:rsidRPr="00123335">
              <w:t>Baseline</w:t>
            </w:r>
          </w:p>
        </w:tc>
        <w:tc>
          <w:tcPr>
            <w:tcW w:w="439" w:type="pct"/>
          </w:tcPr>
          <w:p w14:paraId="780AE5E1" w14:textId="77777777" w:rsidR="00111E4D" w:rsidRPr="00123335" w:rsidRDefault="00111E4D" w:rsidP="00111E4D">
            <w:pPr>
              <w:pStyle w:val="NoSpacing"/>
            </w:pPr>
            <w:r w:rsidRPr="00123335">
              <w:t>6.00</w:t>
            </w:r>
          </w:p>
        </w:tc>
        <w:tc>
          <w:tcPr>
            <w:tcW w:w="590" w:type="pct"/>
          </w:tcPr>
          <w:p w14:paraId="5521E019" w14:textId="77777777" w:rsidR="00111E4D" w:rsidRPr="00123335" w:rsidRDefault="00111E4D" w:rsidP="00111E4D">
            <w:pPr>
              <w:pStyle w:val="NoSpacing"/>
            </w:pPr>
            <w:r w:rsidRPr="00123335">
              <w:t>5.03</w:t>
            </w:r>
          </w:p>
        </w:tc>
        <w:tc>
          <w:tcPr>
            <w:tcW w:w="439" w:type="pct"/>
          </w:tcPr>
          <w:p w14:paraId="0F9F0690" w14:textId="77777777" w:rsidR="00111E4D" w:rsidRPr="00123335" w:rsidRDefault="00111E4D" w:rsidP="00111E4D">
            <w:pPr>
              <w:pStyle w:val="NoSpacing"/>
            </w:pPr>
            <w:r w:rsidRPr="00123335">
              <w:t>4.37</w:t>
            </w:r>
          </w:p>
        </w:tc>
        <w:tc>
          <w:tcPr>
            <w:tcW w:w="754" w:type="pct"/>
          </w:tcPr>
          <w:p w14:paraId="62CB6FDE" w14:textId="77777777" w:rsidR="00111E4D" w:rsidRPr="00123335" w:rsidRDefault="00111E4D" w:rsidP="00111E4D">
            <w:pPr>
              <w:pStyle w:val="NoSpacing"/>
            </w:pPr>
            <w:r w:rsidRPr="00123335">
              <w:t>3.95</w:t>
            </w:r>
          </w:p>
        </w:tc>
        <w:tc>
          <w:tcPr>
            <w:tcW w:w="439" w:type="pct"/>
          </w:tcPr>
          <w:p w14:paraId="318F8246" w14:textId="77777777" w:rsidR="00111E4D" w:rsidRPr="00123335" w:rsidRDefault="00111E4D" w:rsidP="00111E4D">
            <w:pPr>
              <w:pStyle w:val="NoSpacing"/>
            </w:pPr>
            <w:r w:rsidRPr="00123335">
              <w:t>4.57</w:t>
            </w:r>
          </w:p>
        </w:tc>
        <w:tc>
          <w:tcPr>
            <w:tcW w:w="837" w:type="pct"/>
          </w:tcPr>
          <w:p w14:paraId="69857D1C" w14:textId="77777777" w:rsidR="00111E4D" w:rsidRPr="00123335" w:rsidRDefault="00111E4D" w:rsidP="00111E4D">
            <w:pPr>
              <w:pStyle w:val="NoSpacing"/>
            </w:pPr>
            <w:r w:rsidRPr="00123335">
              <w:t>5.88</w:t>
            </w:r>
          </w:p>
        </w:tc>
      </w:tr>
      <w:tr w:rsidR="00111E4D" w14:paraId="63585F7B" w14:textId="77777777" w:rsidTr="008468AC">
        <w:tc>
          <w:tcPr>
            <w:tcW w:w="1502" w:type="pct"/>
          </w:tcPr>
          <w:p w14:paraId="27714877" w14:textId="77777777" w:rsidR="00111E4D" w:rsidRPr="00CA71AB" w:rsidRDefault="00111E4D" w:rsidP="00111E4D">
            <w:pPr>
              <w:pStyle w:val="NoSpacing"/>
              <w:ind w:left="720"/>
              <w:rPr>
                <w:b/>
              </w:rPr>
            </w:pPr>
            <w:r w:rsidRPr="00123335">
              <w:t>Follow-up</w:t>
            </w:r>
          </w:p>
        </w:tc>
        <w:tc>
          <w:tcPr>
            <w:tcW w:w="439" w:type="pct"/>
          </w:tcPr>
          <w:p w14:paraId="3FF5B367" w14:textId="77777777" w:rsidR="00111E4D" w:rsidRPr="00123335" w:rsidRDefault="00111E4D" w:rsidP="00111E4D">
            <w:pPr>
              <w:pStyle w:val="NoSpacing"/>
            </w:pPr>
            <w:r w:rsidRPr="00123335">
              <w:t>5.09</w:t>
            </w:r>
          </w:p>
        </w:tc>
        <w:tc>
          <w:tcPr>
            <w:tcW w:w="590" w:type="pct"/>
          </w:tcPr>
          <w:p w14:paraId="4FF05CC5" w14:textId="77777777" w:rsidR="00111E4D" w:rsidRPr="00123335" w:rsidRDefault="00111E4D" w:rsidP="00111E4D">
            <w:pPr>
              <w:pStyle w:val="NoSpacing"/>
            </w:pPr>
            <w:r w:rsidRPr="00123335">
              <w:t>5.00</w:t>
            </w:r>
          </w:p>
        </w:tc>
        <w:tc>
          <w:tcPr>
            <w:tcW w:w="439" w:type="pct"/>
          </w:tcPr>
          <w:p w14:paraId="5323D00D" w14:textId="77777777" w:rsidR="00111E4D" w:rsidRPr="00123335" w:rsidRDefault="00111E4D" w:rsidP="00111E4D">
            <w:pPr>
              <w:pStyle w:val="NoSpacing"/>
            </w:pPr>
            <w:r w:rsidRPr="00123335">
              <w:t>3.79</w:t>
            </w:r>
          </w:p>
        </w:tc>
        <w:tc>
          <w:tcPr>
            <w:tcW w:w="754" w:type="pct"/>
          </w:tcPr>
          <w:p w14:paraId="1FF15E70" w14:textId="77777777" w:rsidR="00111E4D" w:rsidRPr="00123335" w:rsidRDefault="00111E4D" w:rsidP="00111E4D">
            <w:pPr>
              <w:pStyle w:val="NoSpacing"/>
            </w:pPr>
            <w:r w:rsidRPr="00123335">
              <w:t>4.74</w:t>
            </w:r>
          </w:p>
        </w:tc>
        <w:tc>
          <w:tcPr>
            <w:tcW w:w="439" w:type="pct"/>
          </w:tcPr>
          <w:p w14:paraId="09C0AEC1" w14:textId="77777777" w:rsidR="00111E4D" w:rsidRPr="00123335" w:rsidRDefault="00111E4D" w:rsidP="00111E4D">
            <w:pPr>
              <w:pStyle w:val="NoSpacing"/>
            </w:pPr>
            <w:r w:rsidRPr="00123335">
              <w:t>3.43</w:t>
            </w:r>
          </w:p>
        </w:tc>
        <w:tc>
          <w:tcPr>
            <w:tcW w:w="837" w:type="pct"/>
          </w:tcPr>
          <w:p w14:paraId="3FFCE134" w14:textId="77777777" w:rsidR="00111E4D" w:rsidRPr="00123335" w:rsidRDefault="00111E4D" w:rsidP="00111E4D">
            <w:pPr>
              <w:pStyle w:val="NoSpacing"/>
            </w:pPr>
            <w:r w:rsidRPr="00123335">
              <w:t>4.93</w:t>
            </w:r>
          </w:p>
        </w:tc>
      </w:tr>
      <w:tr w:rsidR="00111E4D" w14:paraId="3BA4EEFB" w14:textId="77777777" w:rsidTr="00111E4D">
        <w:tc>
          <w:tcPr>
            <w:tcW w:w="5000" w:type="pct"/>
            <w:gridSpan w:val="7"/>
          </w:tcPr>
          <w:p w14:paraId="5053D87C" w14:textId="77777777" w:rsidR="00111E4D" w:rsidRPr="007501C5" w:rsidRDefault="00111E4D" w:rsidP="00111E4D">
            <w:pPr>
              <w:pStyle w:val="NoSpacing"/>
              <w:rPr>
                <w:b/>
              </w:rPr>
            </w:pPr>
            <w:r w:rsidRPr="007501C5">
              <w:rPr>
                <w:b/>
              </w:rPr>
              <w:t>CEQ Pre-Expectancy</w:t>
            </w:r>
          </w:p>
        </w:tc>
      </w:tr>
      <w:tr w:rsidR="00111E4D" w14:paraId="1CAB735B" w14:textId="77777777" w:rsidTr="008468AC">
        <w:tc>
          <w:tcPr>
            <w:tcW w:w="1502" w:type="pct"/>
          </w:tcPr>
          <w:p w14:paraId="4170D62B" w14:textId="77777777" w:rsidR="00111E4D" w:rsidRPr="00123335" w:rsidRDefault="00111E4D" w:rsidP="00111E4D">
            <w:pPr>
              <w:pStyle w:val="NoSpacing"/>
              <w:ind w:left="720"/>
            </w:pPr>
            <w:r w:rsidRPr="00123335">
              <w:t>Baseline</w:t>
            </w:r>
          </w:p>
        </w:tc>
        <w:tc>
          <w:tcPr>
            <w:tcW w:w="439" w:type="pct"/>
          </w:tcPr>
          <w:p w14:paraId="20D5184C" w14:textId="77777777" w:rsidR="00111E4D" w:rsidRPr="00123335" w:rsidRDefault="00111E4D" w:rsidP="00111E4D">
            <w:pPr>
              <w:pStyle w:val="NoSpacing"/>
            </w:pPr>
            <w:r w:rsidRPr="00123335">
              <w:t>9.87</w:t>
            </w:r>
          </w:p>
        </w:tc>
        <w:tc>
          <w:tcPr>
            <w:tcW w:w="590" w:type="pct"/>
          </w:tcPr>
          <w:p w14:paraId="2A11EBEF" w14:textId="77777777" w:rsidR="00111E4D" w:rsidRPr="00123335" w:rsidRDefault="00111E4D" w:rsidP="00111E4D">
            <w:pPr>
              <w:pStyle w:val="NoSpacing"/>
            </w:pPr>
            <w:r w:rsidRPr="00123335">
              <w:t>6.08</w:t>
            </w:r>
          </w:p>
        </w:tc>
        <w:tc>
          <w:tcPr>
            <w:tcW w:w="439" w:type="pct"/>
          </w:tcPr>
          <w:p w14:paraId="0C94FEE1" w14:textId="77777777" w:rsidR="00111E4D" w:rsidRPr="00123335" w:rsidRDefault="00111E4D" w:rsidP="00111E4D">
            <w:pPr>
              <w:pStyle w:val="NoSpacing"/>
            </w:pPr>
            <w:r w:rsidRPr="00123335">
              <w:t>6.89</w:t>
            </w:r>
          </w:p>
        </w:tc>
        <w:tc>
          <w:tcPr>
            <w:tcW w:w="754" w:type="pct"/>
          </w:tcPr>
          <w:p w14:paraId="4B02A30D" w14:textId="77777777" w:rsidR="00111E4D" w:rsidRPr="00123335" w:rsidRDefault="00111E4D" w:rsidP="00111E4D">
            <w:pPr>
              <w:pStyle w:val="NoSpacing"/>
            </w:pPr>
            <w:r w:rsidRPr="00123335">
              <w:t>4.81</w:t>
            </w:r>
          </w:p>
        </w:tc>
        <w:tc>
          <w:tcPr>
            <w:tcW w:w="439" w:type="pct"/>
          </w:tcPr>
          <w:p w14:paraId="3F361518" w14:textId="77777777" w:rsidR="00111E4D" w:rsidRPr="00123335" w:rsidRDefault="00111E4D" w:rsidP="00111E4D">
            <w:pPr>
              <w:pStyle w:val="NoSpacing"/>
            </w:pPr>
            <w:r w:rsidRPr="00123335">
              <w:t>11.05</w:t>
            </w:r>
          </w:p>
        </w:tc>
        <w:tc>
          <w:tcPr>
            <w:tcW w:w="837" w:type="pct"/>
          </w:tcPr>
          <w:p w14:paraId="18D41EBA" w14:textId="77777777" w:rsidR="00111E4D" w:rsidRPr="00123335" w:rsidRDefault="00111E4D" w:rsidP="00111E4D">
            <w:pPr>
              <w:pStyle w:val="NoSpacing"/>
            </w:pPr>
            <w:r w:rsidRPr="00123335">
              <w:t>7.21</w:t>
            </w:r>
          </w:p>
        </w:tc>
      </w:tr>
      <w:tr w:rsidR="00111E4D" w14:paraId="3FE1039B" w14:textId="77777777" w:rsidTr="00111E4D">
        <w:tc>
          <w:tcPr>
            <w:tcW w:w="5000" w:type="pct"/>
            <w:gridSpan w:val="7"/>
          </w:tcPr>
          <w:p w14:paraId="78751CDB" w14:textId="77777777" w:rsidR="00111E4D" w:rsidRPr="007501C5" w:rsidRDefault="00111E4D" w:rsidP="00111E4D">
            <w:pPr>
              <w:pStyle w:val="NoSpacing"/>
              <w:rPr>
                <w:b/>
              </w:rPr>
            </w:pPr>
            <w:r w:rsidRPr="007501C5">
              <w:rPr>
                <w:b/>
              </w:rPr>
              <w:t>CEQ Pre-Credibility</w:t>
            </w:r>
          </w:p>
        </w:tc>
      </w:tr>
      <w:tr w:rsidR="00111E4D" w14:paraId="7DCF9536" w14:textId="77777777" w:rsidTr="008468AC">
        <w:tc>
          <w:tcPr>
            <w:tcW w:w="1502" w:type="pct"/>
          </w:tcPr>
          <w:p w14:paraId="36542980" w14:textId="77777777" w:rsidR="00111E4D" w:rsidRPr="00123335" w:rsidRDefault="00111E4D" w:rsidP="00111E4D">
            <w:pPr>
              <w:pStyle w:val="NoSpacing"/>
              <w:ind w:left="720"/>
            </w:pPr>
            <w:r w:rsidRPr="00123335">
              <w:t>Baseline</w:t>
            </w:r>
          </w:p>
        </w:tc>
        <w:tc>
          <w:tcPr>
            <w:tcW w:w="439" w:type="pct"/>
          </w:tcPr>
          <w:p w14:paraId="55C8E552" w14:textId="77777777" w:rsidR="00111E4D" w:rsidRPr="00123335" w:rsidRDefault="00111E4D" w:rsidP="00111E4D">
            <w:pPr>
              <w:pStyle w:val="NoSpacing"/>
            </w:pPr>
            <w:r w:rsidRPr="00123335">
              <w:t>13.00</w:t>
            </w:r>
          </w:p>
        </w:tc>
        <w:tc>
          <w:tcPr>
            <w:tcW w:w="590" w:type="pct"/>
          </w:tcPr>
          <w:p w14:paraId="1712621E" w14:textId="77777777" w:rsidR="00111E4D" w:rsidRPr="00123335" w:rsidRDefault="00111E4D" w:rsidP="00111E4D">
            <w:pPr>
              <w:pStyle w:val="NoSpacing"/>
            </w:pPr>
            <w:r w:rsidRPr="00123335">
              <w:t>4.35</w:t>
            </w:r>
          </w:p>
        </w:tc>
        <w:tc>
          <w:tcPr>
            <w:tcW w:w="439" w:type="pct"/>
          </w:tcPr>
          <w:p w14:paraId="374ADEE2" w14:textId="77777777" w:rsidR="00111E4D" w:rsidRPr="00123335" w:rsidRDefault="00111E4D" w:rsidP="00111E4D">
            <w:pPr>
              <w:pStyle w:val="NoSpacing"/>
            </w:pPr>
            <w:r w:rsidRPr="00123335">
              <w:t>11.57</w:t>
            </w:r>
          </w:p>
        </w:tc>
        <w:tc>
          <w:tcPr>
            <w:tcW w:w="754" w:type="pct"/>
          </w:tcPr>
          <w:p w14:paraId="4E55509A" w14:textId="77777777" w:rsidR="00111E4D" w:rsidRPr="00123335" w:rsidRDefault="00111E4D" w:rsidP="00111E4D">
            <w:pPr>
              <w:pStyle w:val="NoSpacing"/>
            </w:pPr>
            <w:r w:rsidRPr="00123335">
              <w:t>4.06</w:t>
            </w:r>
          </w:p>
        </w:tc>
        <w:tc>
          <w:tcPr>
            <w:tcW w:w="439" w:type="pct"/>
          </w:tcPr>
          <w:p w14:paraId="3A020F3E" w14:textId="77777777" w:rsidR="00111E4D" w:rsidRPr="00123335" w:rsidRDefault="00111E4D" w:rsidP="00111E4D">
            <w:pPr>
              <w:pStyle w:val="NoSpacing"/>
            </w:pPr>
            <w:r w:rsidRPr="00123335">
              <w:t>13.24</w:t>
            </w:r>
          </w:p>
        </w:tc>
        <w:tc>
          <w:tcPr>
            <w:tcW w:w="837" w:type="pct"/>
          </w:tcPr>
          <w:p w14:paraId="7C0F9B8E" w14:textId="77777777" w:rsidR="00111E4D" w:rsidRPr="00123335" w:rsidRDefault="00111E4D" w:rsidP="00111E4D">
            <w:pPr>
              <w:pStyle w:val="NoSpacing"/>
            </w:pPr>
            <w:r w:rsidRPr="00123335">
              <w:t>4.45</w:t>
            </w:r>
          </w:p>
        </w:tc>
      </w:tr>
      <w:tr w:rsidR="00111E4D" w14:paraId="471A2396" w14:textId="77777777" w:rsidTr="00111E4D">
        <w:tc>
          <w:tcPr>
            <w:tcW w:w="5000" w:type="pct"/>
            <w:gridSpan w:val="7"/>
          </w:tcPr>
          <w:p w14:paraId="1F9C37EC" w14:textId="77777777" w:rsidR="00111E4D" w:rsidRPr="007501C5" w:rsidRDefault="00111E4D" w:rsidP="00111E4D">
            <w:pPr>
              <w:pStyle w:val="NoSpacing"/>
              <w:rPr>
                <w:b/>
              </w:rPr>
            </w:pPr>
            <w:r w:rsidRPr="007501C5">
              <w:rPr>
                <w:b/>
              </w:rPr>
              <w:t>CS Credibility</w:t>
            </w:r>
          </w:p>
        </w:tc>
      </w:tr>
      <w:tr w:rsidR="00111E4D" w14:paraId="7644E716" w14:textId="77777777" w:rsidTr="008468AC">
        <w:tc>
          <w:tcPr>
            <w:tcW w:w="1502" w:type="pct"/>
          </w:tcPr>
          <w:p w14:paraId="50D41CF0" w14:textId="77777777" w:rsidR="00111E4D" w:rsidRPr="00123335" w:rsidRDefault="00111E4D" w:rsidP="00111E4D">
            <w:pPr>
              <w:pStyle w:val="NoSpacing"/>
              <w:ind w:left="720"/>
            </w:pPr>
            <w:r w:rsidRPr="00123335">
              <w:t>Baseline</w:t>
            </w:r>
          </w:p>
        </w:tc>
        <w:tc>
          <w:tcPr>
            <w:tcW w:w="439" w:type="pct"/>
          </w:tcPr>
          <w:p w14:paraId="74670F28" w14:textId="77777777" w:rsidR="00111E4D" w:rsidRPr="00123335" w:rsidRDefault="00111E4D" w:rsidP="00111E4D">
            <w:pPr>
              <w:pStyle w:val="NoSpacing"/>
            </w:pPr>
            <w:r w:rsidRPr="00123335">
              <w:t>17.57</w:t>
            </w:r>
          </w:p>
        </w:tc>
        <w:tc>
          <w:tcPr>
            <w:tcW w:w="590" w:type="pct"/>
          </w:tcPr>
          <w:p w14:paraId="30BD67EB" w14:textId="77777777" w:rsidR="00111E4D" w:rsidRPr="00123335" w:rsidRDefault="00111E4D" w:rsidP="00111E4D">
            <w:pPr>
              <w:pStyle w:val="NoSpacing"/>
            </w:pPr>
            <w:r w:rsidRPr="00123335">
              <w:t>3.46</w:t>
            </w:r>
          </w:p>
        </w:tc>
        <w:tc>
          <w:tcPr>
            <w:tcW w:w="439" w:type="pct"/>
          </w:tcPr>
          <w:p w14:paraId="6D487BE8" w14:textId="77777777" w:rsidR="00111E4D" w:rsidRPr="00123335" w:rsidRDefault="00111E4D" w:rsidP="00111E4D">
            <w:pPr>
              <w:pStyle w:val="NoSpacing"/>
            </w:pPr>
            <w:r w:rsidRPr="00123335">
              <w:t>16.68</w:t>
            </w:r>
          </w:p>
        </w:tc>
        <w:tc>
          <w:tcPr>
            <w:tcW w:w="754" w:type="pct"/>
          </w:tcPr>
          <w:p w14:paraId="10C675CF" w14:textId="77777777" w:rsidR="00111E4D" w:rsidRPr="00123335" w:rsidRDefault="00111E4D" w:rsidP="00111E4D">
            <w:pPr>
              <w:pStyle w:val="NoSpacing"/>
            </w:pPr>
            <w:r w:rsidRPr="00123335">
              <w:t>3.43</w:t>
            </w:r>
          </w:p>
        </w:tc>
        <w:tc>
          <w:tcPr>
            <w:tcW w:w="439" w:type="pct"/>
          </w:tcPr>
          <w:p w14:paraId="28A249DC" w14:textId="77777777" w:rsidR="00111E4D" w:rsidRPr="00123335" w:rsidRDefault="00111E4D" w:rsidP="00111E4D">
            <w:pPr>
              <w:pStyle w:val="NoSpacing"/>
            </w:pPr>
            <w:r w:rsidRPr="00123335">
              <w:t>19.14</w:t>
            </w:r>
          </w:p>
        </w:tc>
        <w:tc>
          <w:tcPr>
            <w:tcW w:w="837" w:type="pct"/>
          </w:tcPr>
          <w:p w14:paraId="74F85795" w14:textId="77777777" w:rsidR="00111E4D" w:rsidRPr="00123335" w:rsidRDefault="00111E4D" w:rsidP="00111E4D">
            <w:pPr>
              <w:pStyle w:val="NoSpacing"/>
            </w:pPr>
            <w:r w:rsidRPr="00123335">
              <w:t>3.41</w:t>
            </w:r>
          </w:p>
        </w:tc>
      </w:tr>
      <w:tr w:rsidR="00111E4D" w14:paraId="471BB033" w14:textId="77777777" w:rsidTr="008468AC">
        <w:tc>
          <w:tcPr>
            <w:tcW w:w="1502" w:type="pct"/>
          </w:tcPr>
          <w:p w14:paraId="4C622FDA" w14:textId="77777777" w:rsidR="00111E4D" w:rsidRPr="00123335" w:rsidRDefault="00111E4D" w:rsidP="00111E4D">
            <w:pPr>
              <w:pStyle w:val="NoSpacing"/>
              <w:ind w:left="720"/>
            </w:pPr>
            <w:r w:rsidRPr="00123335">
              <w:t>Post</w:t>
            </w:r>
            <w:r>
              <w:t>-Intervention</w:t>
            </w:r>
          </w:p>
        </w:tc>
        <w:tc>
          <w:tcPr>
            <w:tcW w:w="439" w:type="pct"/>
          </w:tcPr>
          <w:p w14:paraId="6DD29795" w14:textId="77777777" w:rsidR="00111E4D" w:rsidRPr="00123335" w:rsidRDefault="00111E4D" w:rsidP="00111E4D">
            <w:pPr>
              <w:pStyle w:val="NoSpacing"/>
            </w:pPr>
            <w:r w:rsidRPr="00123335">
              <w:t>12.57</w:t>
            </w:r>
          </w:p>
        </w:tc>
        <w:tc>
          <w:tcPr>
            <w:tcW w:w="590" w:type="pct"/>
          </w:tcPr>
          <w:p w14:paraId="430E23B8" w14:textId="77777777" w:rsidR="00111E4D" w:rsidRPr="00123335" w:rsidRDefault="00111E4D" w:rsidP="00111E4D">
            <w:pPr>
              <w:pStyle w:val="NoSpacing"/>
            </w:pPr>
            <w:r w:rsidRPr="00123335">
              <w:t>5.58</w:t>
            </w:r>
          </w:p>
        </w:tc>
        <w:tc>
          <w:tcPr>
            <w:tcW w:w="439" w:type="pct"/>
          </w:tcPr>
          <w:p w14:paraId="107D1599" w14:textId="77777777" w:rsidR="00111E4D" w:rsidRPr="00123335" w:rsidRDefault="00111E4D" w:rsidP="00111E4D">
            <w:pPr>
              <w:pStyle w:val="NoSpacing"/>
            </w:pPr>
            <w:r w:rsidRPr="00123335">
              <w:t>14.05</w:t>
            </w:r>
          </w:p>
        </w:tc>
        <w:tc>
          <w:tcPr>
            <w:tcW w:w="754" w:type="pct"/>
          </w:tcPr>
          <w:p w14:paraId="29B25A90" w14:textId="77777777" w:rsidR="00111E4D" w:rsidRPr="00123335" w:rsidRDefault="00111E4D" w:rsidP="00111E4D">
            <w:pPr>
              <w:pStyle w:val="NoSpacing"/>
            </w:pPr>
            <w:r w:rsidRPr="00123335">
              <w:t>5.29</w:t>
            </w:r>
          </w:p>
        </w:tc>
        <w:tc>
          <w:tcPr>
            <w:tcW w:w="439" w:type="pct"/>
          </w:tcPr>
          <w:p w14:paraId="3A4900D5" w14:textId="77777777" w:rsidR="00111E4D" w:rsidRPr="00123335" w:rsidRDefault="00111E4D" w:rsidP="00111E4D">
            <w:pPr>
              <w:pStyle w:val="NoSpacing"/>
            </w:pPr>
            <w:r w:rsidRPr="00123335">
              <w:t>13.52</w:t>
            </w:r>
          </w:p>
        </w:tc>
        <w:tc>
          <w:tcPr>
            <w:tcW w:w="837" w:type="pct"/>
          </w:tcPr>
          <w:p w14:paraId="1DB1BFE7" w14:textId="77777777" w:rsidR="00111E4D" w:rsidRPr="00123335" w:rsidRDefault="00111E4D" w:rsidP="00111E4D">
            <w:pPr>
              <w:pStyle w:val="NoSpacing"/>
            </w:pPr>
            <w:r w:rsidRPr="00123335">
              <w:t>6.51</w:t>
            </w:r>
          </w:p>
        </w:tc>
      </w:tr>
      <w:tr w:rsidR="00111E4D" w14:paraId="0FB7974D" w14:textId="77777777" w:rsidTr="00111E4D">
        <w:tc>
          <w:tcPr>
            <w:tcW w:w="5000" w:type="pct"/>
            <w:gridSpan w:val="7"/>
          </w:tcPr>
          <w:p w14:paraId="0C435F9C" w14:textId="77777777" w:rsidR="00111E4D" w:rsidRPr="007501C5" w:rsidRDefault="00111E4D" w:rsidP="00111E4D">
            <w:pPr>
              <w:pStyle w:val="NoSpacing"/>
              <w:rPr>
                <w:b/>
              </w:rPr>
            </w:pPr>
            <w:r w:rsidRPr="007501C5">
              <w:rPr>
                <w:b/>
              </w:rPr>
              <w:t xml:space="preserve">WAI Goal </w:t>
            </w:r>
          </w:p>
        </w:tc>
      </w:tr>
      <w:tr w:rsidR="00111E4D" w14:paraId="1244FF20" w14:textId="77777777" w:rsidTr="008468AC">
        <w:tc>
          <w:tcPr>
            <w:tcW w:w="1502" w:type="pct"/>
          </w:tcPr>
          <w:p w14:paraId="11341E39" w14:textId="77777777" w:rsidR="00111E4D" w:rsidRPr="00123335" w:rsidRDefault="00111E4D" w:rsidP="00111E4D">
            <w:pPr>
              <w:pStyle w:val="NoSpacing"/>
              <w:ind w:left="720"/>
            </w:pPr>
            <w:r w:rsidRPr="00123335">
              <w:t>Post</w:t>
            </w:r>
            <w:r>
              <w:t>-Intervention</w:t>
            </w:r>
          </w:p>
        </w:tc>
        <w:tc>
          <w:tcPr>
            <w:tcW w:w="439" w:type="pct"/>
          </w:tcPr>
          <w:p w14:paraId="17781B7E" w14:textId="77777777" w:rsidR="00111E4D" w:rsidRPr="00123335" w:rsidRDefault="00111E4D" w:rsidP="00111E4D">
            <w:pPr>
              <w:pStyle w:val="NoSpacing"/>
            </w:pPr>
            <w:r w:rsidRPr="00123335">
              <w:t>1.46</w:t>
            </w:r>
          </w:p>
        </w:tc>
        <w:tc>
          <w:tcPr>
            <w:tcW w:w="590" w:type="pct"/>
          </w:tcPr>
          <w:p w14:paraId="75C37FBF" w14:textId="77777777" w:rsidR="00111E4D" w:rsidRPr="00123335" w:rsidRDefault="00111E4D" w:rsidP="00111E4D">
            <w:pPr>
              <w:pStyle w:val="NoSpacing"/>
            </w:pPr>
            <w:r w:rsidRPr="00123335">
              <w:t>.74</w:t>
            </w:r>
          </w:p>
        </w:tc>
        <w:tc>
          <w:tcPr>
            <w:tcW w:w="439" w:type="pct"/>
          </w:tcPr>
          <w:p w14:paraId="6808AD75" w14:textId="77777777" w:rsidR="00111E4D" w:rsidRPr="00123335" w:rsidRDefault="00111E4D" w:rsidP="00111E4D">
            <w:pPr>
              <w:pStyle w:val="NoSpacing"/>
            </w:pPr>
            <w:r w:rsidRPr="00123335">
              <w:t>1.36</w:t>
            </w:r>
          </w:p>
        </w:tc>
        <w:tc>
          <w:tcPr>
            <w:tcW w:w="754" w:type="pct"/>
          </w:tcPr>
          <w:p w14:paraId="2FF35113" w14:textId="77777777" w:rsidR="00111E4D" w:rsidRPr="00123335" w:rsidRDefault="00111E4D" w:rsidP="00111E4D">
            <w:pPr>
              <w:pStyle w:val="NoSpacing"/>
            </w:pPr>
            <w:r w:rsidRPr="00123335">
              <w:t>.56</w:t>
            </w:r>
          </w:p>
        </w:tc>
        <w:tc>
          <w:tcPr>
            <w:tcW w:w="439" w:type="pct"/>
          </w:tcPr>
          <w:p w14:paraId="247A0B23" w14:textId="77777777" w:rsidR="00111E4D" w:rsidRPr="00123335" w:rsidRDefault="00111E4D" w:rsidP="00111E4D">
            <w:pPr>
              <w:pStyle w:val="NoSpacing"/>
            </w:pPr>
            <w:r w:rsidRPr="00123335">
              <w:t>1.52</w:t>
            </w:r>
          </w:p>
        </w:tc>
        <w:tc>
          <w:tcPr>
            <w:tcW w:w="837" w:type="pct"/>
          </w:tcPr>
          <w:p w14:paraId="790A1142" w14:textId="77777777" w:rsidR="00111E4D" w:rsidRPr="00123335" w:rsidRDefault="00111E4D" w:rsidP="00111E4D">
            <w:pPr>
              <w:pStyle w:val="NoSpacing"/>
            </w:pPr>
            <w:r w:rsidRPr="00123335">
              <w:t>.69</w:t>
            </w:r>
          </w:p>
        </w:tc>
      </w:tr>
      <w:tr w:rsidR="00111E4D" w14:paraId="12CC1016" w14:textId="77777777" w:rsidTr="00111E4D">
        <w:tc>
          <w:tcPr>
            <w:tcW w:w="5000" w:type="pct"/>
            <w:gridSpan w:val="7"/>
          </w:tcPr>
          <w:p w14:paraId="7BFC22B2" w14:textId="77777777" w:rsidR="00111E4D" w:rsidRPr="007501C5" w:rsidRDefault="00111E4D" w:rsidP="00111E4D">
            <w:pPr>
              <w:pStyle w:val="NoSpacing"/>
              <w:rPr>
                <w:b/>
              </w:rPr>
            </w:pPr>
            <w:r w:rsidRPr="007501C5">
              <w:rPr>
                <w:b/>
              </w:rPr>
              <w:t xml:space="preserve">WAI Task </w:t>
            </w:r>
          </w:p>
        </w:tc>
      </w:tr>
      <w:tr w:rsidR="00111E4D" w14:paraId="761BE8D5" w14:textId="77777777" w:rsidTr="008468AC">
        <w:tc>
          <w:tcPr>
            <w:tcW w:w="1502" w:type="pct"/>
          </w:tcPr>
          <w:p w14:paraId="3991D490" w14:textId="77777777" w:rsidR="00111E4D" w:rsidRPr="00123335" w:rsidRDefault="00111E4D" w:rsidP="00111E4D">
            <w:pPr>
              <w:pStyle w:val="NoSpacing"/>
              <w:ind w:left="720"/>
            </w:pPr>
            <w:r w:rsidRPr="00123335">
              <w:t>Post</w:t>
            </w:r>
            <w:r>
              <w:t>-Intervention</w:t>
            </w:r>
          </w:p>
        </w:tc>
        <w:tc>
          <w:tcPr>
            <w:tcW w:w="439" w:type="pct"/>
          </w:tcPr>
          <w:p w14:paraId="2A947779" w14:textId="77777777" w:rsidR="00111E4D" w:rsidRPr="00123335" w:rsidRDefault="00111E4D" w:rsidP="00111E4D">
            <w:pPr>
              <w:pStyle w:val="NoSpacing"/>
            </w:pPr>
            <w:r w:rsidRPr="00123335">
              <w:t>1.65</w:t>
            </w:r>
          </w:p>
        </w:tc>
        <w:tc>
          <w:tcPr>
            <w:tcW w:w="590" w:type="pct"/>
          </w:tcPr>
          <w:p w14:paraId="1CB82AA9" w14:textId="77777777" w:rsidR="00111E4D" w:rsidRPr="00123335" w:rsidRDefault="00111E4D" w:rsidP="00111E4D">
            <w:pPr>
              <w:pStyle w:val="NoSpacing"/>
            </w:pPr>
            <w:r w:rsidRPr="00123335">
              <w:t>.94</w:t>
            </w:r>
          </w:p>
        </w:tc>
        <w:tc>
          <w:tcPr>
            <w:tcW w:w="439" w:type="pct"/>
          </w:tcPr>
          <w:p w14:paraId="604956BB" w14:textId="77777777" w:rsidR="00111E4D" w:rsidRPr="00123335" w:rsidRDefault="00111E4D" w:rsidP="00111E4D">
            <w:pPr>
              <w:pStyle w:val="NoSpacing"/>
            </w:pPr>
            <w:r w:rsidRPr="00123335">
              <w:t>1.74</w:t>
            </w:r>
          </w:p>
        </w:tc>
        <w:tc>
          <w:tcPr>
            <w:tcW w:w="754" w:type="pct"/>
          </w:tcPr>
          <w:p w14:paraId="78912CC1" w14:textId="77777777" w:rsidR="00111E4D" w:rsidRPr="00123335" w:rsidRDefault="00111E4D" w:rsidP="00111E4D">
            <w:pPr>
              <w:pStyle w:val="NoSpacing"/>
            </w:pPr>
            <w:r w:rsidRPr="00123335">
              <w:t>.05</w:t>
            </w:r>
          </w:p>
        </w:tc>
        <w:tc>
          <w:tcPr>
            <w:tcW w:w="439" w:type="pct"/>
          </w:tcPr>
          <w:p w14:paraId="746EECBC" w14:textId="77777777" w:rsidR="00111E4D" w:rsidRPr="00123335" w:rsidRDefault="00111E4D" w:rsidP="00111E4D">
            <w:pPr>
              <w:pStyle w:val="NoSpacing"/>
            </w:pPr>
            <w:r w:rsidRPr="00123335">
              <w:t>1.62</w:t>
            </w:r>
          </w:p>
        </w:tc>
        <w:tc>
          <w:tcPr>
            <w:tcW w:w="837" w:type="pct"/>
          </w:tcPr>
          <w:p w14:paraId="5E7CD59E" w14:textId="77777777" w:rsidR="00111E4D" w:rsidRPr="00123335" w:rsidRDefault="00111E4D" w:rsidP="00111E4D">
            <w:pPr>
              <w:pStyle w:val="NoSpacing"/>
            </w:pPr>
            <w:r w:rsidRPr="00123335">
              <w:t>.85</w:t>
            </w:r>
          </w:p>
        </w:tc>
      </w:tr>
      <w:tr w:rsidR="00111E4D" w14:paraId="14E93D0C" w14:textId="77777777" w:rsidTr="00111E4D">
        <w:tc>
          <w:tcPr>
            <w:tcW w:w="5000" w:type="pct"/>
            <w:gridSpan w:val="7"/>
          </w:tcPr>
          <w:p w14:paraId="27C03CCD" w14:textId="77777777" w:rsidR="00111E4D" w:rsidRPr="007501C5" w:rsidRDefault="00111E4D" w:rsidP="00111E4D">
            <w:pPr>
              <w:pStyle w:val="NoSpacing"/>
              <w:rPr>
                <w:b/>
              </w:rPr>
            </w:pPr>
            <w:r w:rsidRPr="007501C5">
              <w:rPr>
                <w:b/>
              </w:rPr>
              <w:t>WAI Bond</w:t>
            </w:r>
          </w:p>
        </w:tc>
      </w:tr>
      <w:tr w:rsidR="00111E4D" w14:paraId="3516E65F" w14:textId="77777777" w:rsidTr="008468AC">
        <w:tc>
          <w:tcPr>
            <w:tcW w:w="1502" w:type="pct"/>
          </w:tcPr>
          <w:p w14:paraId="52D7AE27" w14:textId="77777777" w:rsidR="00111E4D" w:rsidRPr="00123335" w:rsidRDefault="00111E4D" w:rsidP="00111E4D">
            <w:pPr>
              <w:pStyle w:val="NoSpacing"/>
              <w:ind w:left="720"/>
            </w:pPr>
            <w:r w:rsidRPr="00123335">
              <w:t>Post</w:t>
            </w:r>
            <w:r>
              <w:t>-Intervention</w:t>
            </w:r>
          </w:p>
        </w:tc>
        <w:tc>
          <w:tcPr>
            <w:tcW w:w="439" w:type="pct"/>
          </w:tcPr>
          <w:p w14:paraId="3741023C" w14:textId="77777777" w:rsidR="00111E4D" w:rsidRPr="00123335" w:rsidRDefault="00111E4D" w:rsidP="00111E4D">
            <w:pPr>
              <w:pStyle w:val="NoSpacing"/>
            </w:pPr>
            <w:r w:rsidRPr="00123335">
              <w:t>1.75</w:t>
            </w:r>
          </w:p>
        </w:tc>
        <w:tc>
          <w:tcPr>
            <w:tcW w:w="590" w:type="pct"/>
          </w:tcPr>
          <w:p w14:paraId="53FF7922" w14:textId="77777777" w:rsidR="00111E4D" w:rsidRPr="00123335" w:rsidRDefault="00111E4D" w:rsidP="00111E4D">
            <w:pPr>
              <w:pStyle w:val="NoSpacing"/>
            </w:pPr>
            <w:r w:rsidRPr="00123335">
              <w:t>.98</w:t>
            </w:r>
          </w:p>
        </w:tc>
        <w:tc>
          <w:tcPr>
            <w:tcW w:w="439" w:type="pct"/>
          </w:tcPr>
          <w:p w14:paraId="0AD6F62E" w14:textId="77777777" w:rsidR="00111E4D" w:rsidRPr="00123335" w:rsidRDefault="00111E4D" w:rsidP="00111E4D">
            <w:pPr>
              <w:pStyle w:val="NoSpacing"/>
            </w:pPr>
            <w:r w:rsidRPr="00123335">
              <w:t>1.91</w:t>
            </w:r>
          </w:p>
        </w:tc>
        <w:tc>
          <w:tcPr>
            <w:tcW w:w="754" w:type="pct"/>
          </w:tcPr>
          <w:p w14:paraId="73AEFA9B" w14:textId="77777777" w:rsidR="00111E4D" w:rsidRPr="00123335" w:rsidRDefault="00111E4D" w:rsidP="00111E4D">
            <w:pPr>
              <w:pStyle w:val="NoSpacing"/>
            </w:pPr>
            <w:r w:rsidRPr="00123335">
              <w:t>1.07</w:t>
            </w:r>
          </w:p>
        </w:tc>
        <w:tc>
          <w:tcPr>
            <w:tcW w:w="439" w:type="pct"/>
          </w:tcPr>
          <w:p w14:paraId="1AD0F97B" w14:textId="77777777" w:rsidR="00111E4D" w:rsidRPr="00123335" w:rsidRDefault="00111E4D" w:rsidP="00111E4D">
            <w:pPr>
              <w:pStyle w:val="NoSpacing"/>
            </w:pPr>
            <w:r w:rsidRPr="00123335">
              <w:t>1.81</w:t>
            </w:r>
          </w:p>
        </w:tc>
        <w:tc>
          <w:tcPr>
            <w:tcW w:w="837" w:type="pct"/>
          </w:tcPr>
          <w:p w14:paraId="5DFFB02F" w14:textId="77777777" w:rsidR="00111E4D" w:rsidRPr="00123335" w:rsidRDefault="00111E4D" w:rsidP="00111E4D">
            <w:pPr>
              <w:pStyle w:val="NoSpacing"/>
            </w:pPr>
            <w:r w:rsidRPr="00123335">
              <w:t>1.11</w:t>
            </w:r>
          </w:p>
        </w:tc>
      </w:tr>
      <w:tr w:rsidR="00111E4D" w14:paraId="2A9EDB20" w14:textId="77777777" w:rsidTr="00111E4D">
        <w:tc>
          <w:tcPr>
            <w:tcW w:w="5000" w:type="pct"/>
            <w:gridSpan w:val="7"/>
          </w:tcPr>
          <w:p w14:paraId="4A90A88C" w14:textId="77777777" w:rsidR="00111E4D" w:rsidRPr="007501C5" w:rsidRDefault="00111E4D" w:rsidP="00111E4D">
            <w:pPr>
              <w:pStyle w:val="NoSpacing"/>
              <w:rPr>
                <w:b/>
              </w:rPr>
            </w:pPr>
            <w:r w:rsidRPr="007501C5">
              <w:rPr>
                <w:b/>
              </w:rPr>
              <w:t>WAI Overall</w:t>
            </w:r>
          </w:p>
        </w:tc>
      </w:tr>
      <w:tr w:rsidR="00111E4D" w14:paraId="2DC6CABF" w14:textId="77777777" w:rsidTr="008468AC">
        <w:tc>
          <w:tcPr>
            <w:tcW w:w="1502" w:type="pct"/>
          </w:tcPr>
          <w:p w14:paraId="2B49336B" w14:textId="77777777" w:rsidR="00111E4D" w:rsidRPr="00123335" w:rsidRDefault="00111E4D" w:rsidP="00111E4D">
            <w:pPr>
              <w:pStyle w:val="NoSpacing"/>
              <w:ind w:left="720"/>
            </w:pPr>
            <w:r w:rsidRPr="00123335">
              <w:t>Post</w:t>
            </w:r>
            <w:r>
              <w:t>-Intervention</w:t>
            </w:r>
          </w:p>
        </w:tc>
        <w:tc>
          <w:tcPr>
            <w:tcW w:w="439" w:type="pct"/>
          </w:tcPr>
          <w:p w14:paraId="32464CB7" w14:textId="77777777" w:rsidR="00111E4D" w:rsidRPr="00123335" w:rsidRDefault="00111E4D" w:rsidP="00111E4D">
            <w:pPr>
              <w:pStyle w:val="NoSpacing"/>
            </w:pPr>
            <w:r w:rsidRPr="00123335">
              <w:t>1.62</w:t>
            </w:r>
          </w:p>
        </w:tc>
        <w:tc>
          <w:tcPr>
            <w:tcW w:w="590" w:type="pct"/>
          </w:tcPr>
          <w:p w14:paraId="4DF9CED6" w14:textId="77777777" w:rsidR="00111E4D" w:rsidRPr="00123335" w:rsidRDefault="00111E4D" w:rsidP="00111E4D">
            <w:pPr>
              <w:pStyle w:val="NoSpacing"/>
            </w:pPr>
            <w:r w:rsidRPr="00123335">
              <w:t>.80</w:t>
            </w:r>
          </w:p>
        </w:tc>
        <w:tc>
          <w:tcPr>
            <w:tcW w:w="439" w:type="pct"/>
          </w:tcPr>
          <w:p w14:paraId="0380D717" w14:textId="77777777" w:rsidR="00111E4D" w:rsidRPr="00123335" w:rsidRDefault="00111E4D" w:rsidP="00111E4D">
            <w:pPr>
              <w:pStyle w:val="NoSpacing"/>
            </w:pPr>
            <w:r w:rsidRPr="00123335">
              <w:t>1.67</w:t>
            </w:r>
          </w:p>
        </w:tc>
        <w:tc>
          <w:tcPr>
            <w:tcW w:w="754" w:type="pct"/>
          </w:tcPr>
          <w:p w14:paraId="00C83DB0" w14:textId="77777777" w:rsidR="00111E4D" w:rsidRPr="00123335" w:rsidRDefault="00111E4D" w:rsidP="00111E4D">
            <w:pPr>
              <w:pStyle w:val="NoSpacing"/>
            </w:pPr>
            <w:r w:rsidRPr="00123335">
              <w:t>.61</w:t>
            </w:r>
          </w:p>
        </w:tc>
        <w:tc>
          <w:tcPr>
            <w:tcW w:w="439" w:type="pct"/>
          </w:tcPr>
          <w:p w14:paraId="1CF3427C" w14:textId="77777777" w:rsidR="00111E4D" w:rsidRPr="00123335" w:rsidRDefault="00111E4D" w:rsidP="00111E4D">
            <w:pPr>
              <w:pStyle w:val="NoSpacing"/>
            </w:pPr>
            <w:r w:rsidRPr="00123335">
              <w:t>1.65</w:t>
            </w:r>
          </w:p>
        </w:tc>
        <w:tc>
          <w:tcPr>
            <w:tcW w:w="837" w:type="pct"/>
          </w:tcPr>
          <w:p w14:paraId="3B4A55B5" w14:textId="77777777" w:rsidR="00111E4D" w:rsidRPr="00123335" w:rsidRDefault="00111E4D" w:rsidP="00111E4D">
            <w:pPr>
              <w:pStyle w:val="NoSpacing"/>
            </w:pPr>
            <w:r w:rsidRPr="00123335">
              <w:t>.82</w:t>
            </w:r>
          </w:p>
        </w:tc>
      </w:tr>
      <w:tr w:rsidR="00111E4D" w14:paraId="0A927A69" w14:textId="77777777" w:rsidTr="00111E4D">
        <w:tc>
          <w:tcPr>
            <w:tcW w:w="5000" w:type="pct"/>
            <w:gridSpan w:val="7"/>
          </w:tcPr>
          <w:p w14:paraId="3E5CD635" w14:textId="77777777" w:rsidR="00111E4D" w:rsidRPr="007501C5" w:rsidRDefault="00111E4D" w:rsidP="00111E4D">
            <w:pPr>
              <w:pStyle w:val="NoSpacing"/>
              <w:rPr>
                <w:b/>
              </w:rPr>
            </w:pPr>
            <w:r w:rsidRPr="007501C5">
              <w:rPr>
                <w:b/>
              </w:rPr>
              <w:t>NPS</w:t>
            </w:r>
          </w:p>
        </w:tc>
      </w:tr>
      <w:tr w:rsidR="00111E4D" w14:paraId="22174C25" w14:textId="77777777" w:rsidTr="008468AC">
        <w:tc>
          <w:tcPr>
            <w:tcW w:w="1502" w:type="pct"/>
          </w:tcPr>
          <w:p w14:paraId="306EC8BD" w14:textId="77777777" w:rsidR="00111E4D" w:rsidRPr="00123335" w:rsidRDefault="00111E4D" w:rsidP="00111E4D">
            <w:pPr>
              <w:pStyle w:val="NoSpacing"/>
              <w:ind w:left="720"/>
            </w:pPr>
            <w:r w:rsidRPr="00123335">
              <w:t>Post</w:t>
            </w:r>
            <w:r>
              <w:t>-Intervention</w:t>
            </w:r>
          </w:p>
        </w:tc>
        <w:tc>
          <w:tcPr>
            <w:tcW w:w="439" w:type="pct"/>
          </w:tcPr>
          <w:p w14:paraId="2517D626" w14:textId="77777777" w:rsidR="00111E4D" w:rsidRPr="00123335" w:rsidRDefault="00111E4D" w:rsidP="00111E4D">
            <w:pPr>
              <w:pStyle w:val="NoSpacing"/>
            </w:pPr>
            <w:r w:rsidRPr="00123335">
              <w:t>1.87</w:t>
            </w:r>
          </w:p>
        </w:tc>
        <w:tc>
          <w:tcPr>
            <w:tcW w:w="590" w:type="pct"/>
          </w:tcPr>
          <w:p w14:paraId="1E7F4154" w14:textId="77777777" w:rsidR="00111E4D" w:rsidRPr="00123335" w:rsidRDefault="00111E4D" w:rsidP="00111E4D">
            <w:pPr>
              <w:pStyle w:val="NoSpacing"/>
            </w:pPr>
            <w:r w:rsidRPr="00123335">
              <w:t>2.63</w:t>
            </w:r>
          </w:p>
        </w:tc>
        <w:tc>
          <w:tcPr>
            <w:tcW w:w="439" w:type="pct"/>
          </w:tcPr>
          <w:p w14:paraId="12F9FEF9" w14:textId="77777777" w:rsidR="00111E4D" w:rsidRPr="00123335" w:rsidRDefault="00111E4D" w:rsidP="00111E4D">
            <w:pPr>
              <w:pStyle w:val="NoSpacing"/>
            </w:pPr>
            <w:r w:rsidRPr="00123335">
              <w:t>2.42</w:t>
            </w:r>
          </w:p>
        </w:tc>
        <w:tc>
          <w:tcPr>
            <w:tcW w:w="754" w:type="pct"/>
          </w:tcPr>
          <w:p w14:paraId="1BB74690" w14:textId="77777777" w:rsidR="00111E4D" w:rsidRPr="00123335" w:rsidRDefault="00111E4D" w:rsidP="00111E4D">
            <w:pPr>
              <w:pStyle w:val="NoSpacing"/>
            </w:pPr>
            <w:r w:rsidRPr="00123335">
              <w:t>2.91</w:t>
            </w:r>
          </w:p>
        </w:tc>
        <w:tc>
          <w:tcPr>
            <w:tcW w:w="439" w:type="pct"/>
          </w:tcPr>
          <w:p w14:paraId="611ACD50" w14:textId="77777777" w:rsidR="00111E4D" w:rsidRPr="00123335" w:rsidRDefault="00111E4D" w:rsidP="00111E4D">
            <w:pPr>
              <w:pStyle w:val="NoSpacing"/>
            </w:pPr>
            <w:r w:rsidRPr="00123335">
              <w:t>2.14</w:t>
            </w:r>
          </w:p>
        </w:tc>
        <w:tc>
          <w:tcPr>
            <w:tcW w:w="837" w:type="pct"/>
          </w:tcPr>
          <w:p w14:paraId="5C436F72" w14:textId="77777777" w:rsidR="00111E4D" w:rsidRPr="00123335" w:rsidRDefault="00111E4D" w:rsidP="00111E4D">
            <w:pPr>
              <w:pStyle w:val="NoSpacing"/>
            </w:pPr>
            <w:r w:rsidRPr="00123335">
              <w:t>3.02</w:t>
            </w:r>
          </w:p>
        </w:tc>
      </w:tr>
      <w:tr w:rsidR="00111E4D" w14:paraId="3E780786" w14:textId="77777777" w:rsidTr="008468AC">
        <w:tc>
          <w:tcPr>
            <w:tcW w:w="1502" w:type="pct"/>
          </w:tcPr>
          <w:p w14:paraId="72D0F836" w14:textId="77777777" w:rsidR="00111E4D" w:rsidRPr="00123335" w:rsidRDefault="00111E4D" w:rsidP="00111E4D">
            <w:pPr>
              <w:pStyle w:val="NoSpacing"/>
              <w:ind w:left="720"/>
            </w:pPr>
            <w:r w:rsidRPr="00123335">
              <w:t>Follow-up</w:t>
            </w:r>
          </w:p>
        </w:tc>
        <w:tc>
          <w:tcPr>
            <w:tcW w:w="439" w:type="pct"/>
          </w:tcPr>
          <w:p w14:paraId="55CF287A" w14:textId="77777777" w:rsidR="00111E4D" w:rsidRPr="00123335" w:rsidRDefault="00111E4D" w:rsidP="00111E4D">
            <w:pPr>
              <w:pStyle w:val="NoSpacing"/>
            </w:pPr>
            <w:r w:rsidRPr="00123335">
              <w:t>3.65</w:t>
            </w:r>
          </w:p>
        </w:tc>
        <w:tc>
          <w:tcPr>
            <w:tcW w:w="590" w:type="pct"/>
          </w:tcPr>
          <w:p w14:paraId="0750A9B7" w14:textId="77777777" w:rsidR="00111E4D" w:rsidRPr="00123335" w:rsidRDefault="00111E4D" w:rsidP="00111E4D">
            <w:pPr>
              <w:pStyle w:val="NoSpacing"/>
            </w:pPr>
            <w:r w:rsidRPr="00123335">
              <w:t>2.92</w:t>
            </w:r>
          </w:p>
        </w:tc>
        <w:tc>
          <w:tcPr>
            <w:tcW w:w="439" w:type="pct"/>
          </w:tcPr>
          <w:p w14:paraId="3C8B7958" w14:textId="77777777" w:rsidR="00111E4D" w:rsidRPr="00123335" w:rsidRDefault="00111E4D" w:rsidP="00111E4D">
            <w:pPr>
              <w:pStyle w:val="NoSpacing"/>
            </w:pPr>
            <w:r w:rsidRPr="00123335">
              <w:t>3.47</w:t>
            </w:r>
          </w:p>
        </w:tc>
        <w:tc>
          <w:tcPr>
            <w:tcW w:w="754" w:type="pct"/>
          </w:tcPr>
          <w:p w14:paraId="4DBAF0B9" w14:textId="77777777" w:rsidR="00111E4D" w:rsidRPr="00123335" w:rsidRDefault="00111E4D" w:rsidP="00111E4D">
            <w:pPr>
              <w:pStyle w:val="NoSpacing"/>
            </w:pPr>
            <w:r w:rsidRPr="00123335">
              <w:t>3.24</w:t>
            </w:r>
          </w:p>
        </w:tc>
        <w:tc>
          <w:tcPr>
            <w:tcW w:w="439" w:type="pct"/>
          </w:tcPr>
          <w:p w14:paraId="17B1B530" w14:textId="77777777" w:rsidR="00111E4D" w:rsidRPr="00123335" w:rsidRDefault="00111E4D" w:rsidP="00111E4D">
            <w:pPr>
              <w:pStyle w:val="NoSpacing"/>
            </w:pPr>
            <w:r w:rsidRPr="00123335">
              <w:t>3.52</w:t>
            </w:r>
          </w:p>
        </w:tc>
        <w:tc>
          <w:tcPr>
            <w:tcW w:w="837" w:type="pct"/>
          </w:tcPr>
          <w:p w14:paraId="1780ACF6" w14:textId="77777777" w:rsidR="00111E4D" w:rsidRPr="00123335" w:rsidRDefault="00111E4D" w:rsidP="00111E4D">
            <w:pPr>
              <w:pStyle w:val="NoSpacing"/>
            </w:pPr>
            <w:r w:rsidRPr="00123335">
              <w:t>2.94</w:t>
            </w:r>
          </w:p>
        </w:tc>
      </w:tr>
      <w:tr w:rsidR="00111E4D" w14:paraId="3B32BC3B" w14:textId="77777777" w:rsidTr="00111E4D">
        <w:tc>
          <w:tcPr>
            <w:tcW w:w="5000" w:type="pct"/>
            <w:gridSpan w:val="7"/>
          </w:tcPr>
          <w:p w14:paraId="1DC57553" w14:textId="77777777" w:rsidR="00111E4D" w:rsidRPr="007501C5" w:rsidRDefault="00111E4D" w:rsidP="00111E4D">
            <w:pPr>
              <w:pStyle w:val="NoSpacing"/>
              <w:rPr>
                <w:b/>
              </w:rPr>
            </w:pPr>
            <w:r w:rsidRPr="007501C5">
              <w:rPr>
                <w:b/>
              </w:rPr>
              <w:t>SUS</w:t>
            </w:r>
          </w:p>
        </w:tc>
      </w:tr>
      <w:tr w:rsidR="00111E4D" w14:paraId="075A51E4" w14:textId="77777777" w:rsidTr="008468AC">
        <w:tc>
          <w:tcPr>
            <w:tcW w:w="1502" w:type="pct"/>
            <w:tcBorders>
              <w:bottom w:val="single" w:sz="4" w:space="0" w:color="auto"/>
            </w:tcBorders>
          </w:tcPr>
          <w:p w14:paraId="246BFD6D" w14:textId="77777777" w:rsidR="00111E4D" w:rsidRPr="00123335" w:rsidRDefault="00111E4D" w:rsidP="00111E4D">
            <w:pPr>
              <w:pStyle w:val="NoSpacing"/>
              <w:ind w:left="720"/>
            </w:pPr>
            <w:r w:rsidRPr="00123335">
              <w:t>Post</w:t>
            </w:r>
            <w:r>
              <w:t>-Intervention</w:t>
            </w:r>
          </w:p>
        </w:tc>
        <w:tc>
          <w:tcPr>
            <w:tcW w:w="439" w:type="pct"/>
            <w:tcBorders>
              <w:bottom w:val="single" w:sz="4" w:space="0" w:color="auto"/>
            </w:tcBorders>
          </w:tcPr>
          <w:p w14:paraId="5DE5F7D7" w14:textId="77777777" w:rsidR="00111E4D" w:rsidRPr="00123335" w:rsidRDefault="00111E4D" w:rsidP="00111E4D">
            <w:pPr>
              <w:pStyle w:val="NoSpacing"/>
            </w:pPr>
            <w:r w:rsidRPr="00123335">
              <w:t>64.46</w:t>
            </w:r>
          </w:p>
        </w:tc>
        <w:tc>
          <w:tcPr>
            <w:tcW w:w="590" w:type="pct"/>
            <w:tcBorders>
              <w:bottom w:val="single" w:sz="4" w:space="0" w:color="auto"/>
            </w:tcBorders>
          </w:tcPr>
          <w:p w14:paraId="5A61EA9D" w14:textId="77777777" w:rsidR="00111E4D" w:rsidRPr="00123335" w:rsidRDefault="00111E4D" w:rsidP="00111E4D">
            <w:pPr>
              <w:pStyle w:val="NoSpacing"/>
            </w:pPr>
            <w:r w:rsidRPr="00123335">
              <w:t>18.23</w:t>
            </w:r>
          </w:p>
        </w:tc>
        <w:tc>
          <w:tcPr>
            <w:tcW w:w="439" w:type="pct"/>
            <w:tcBorders>
              <w:bottom w:val="single" w:sz="4" w:space="0" w:color="auto"/>
            </w:tcBorders>
          </w:tcPr>
          <w:p w14:paraId="79727E5F" w14:textId="77777777" w:rsidR="00111E4D" w:rsidRPr="00123335" w:rsidRDefault="00111E4D" w:rsidP="00111E4D">
            <w:pPr>
              <w:pStyle w:val="NoSpacing"/>
            </w:pPr>
            <w:r w:rsidRPr="00123335">
              <w:t>64.61</w:t>
            </w:r>
          </w:p>
        </w:tc>
        <w:tc>
          <w:tcPr>
            <w:tcW w:w="754" w:type="pct"/>
            <w:tcBorders>
              <w:bottom w:val="single" w:sz="4" w:space="0" w:color="auto"/>
            </w:tcBorders>
          </w:tcPr>
          <w:p w14:paraId="3866ED96" w14:textId="77777777" w:rsidR="00111E4D" w:rsidRPr="00123335" w:rsidRDefault="00111E4D" w:rsidP="00111E4D">
            <w:pPr>
              <w:pStyle w:val="NoSpacing"/>
            </w:pPr>
            <w:r w:rsidRPr="00123335">
              <w:t>19.95</w:t>
            </w:r>
          </w:p>
        </w:tc>
        <w:tc>
          <w:tcPr>
            <w:tcW w:w="439" w:type="pct"/>
            <w:tcBorders>
              <w:bottom w:val="single" w:sz="4" w:space="0" w:color="auto"/>
            </w:tcBorders>
          </w:tcPr>
          <w:p w14:paraId="5FB55CB2" w14:textId="77777777" w:rsidR="00111E4D" w:rsidRPr="00123335" w:rsidRDefault="00111E4D" w:rsidP="00111E4D">
            <w:pPr>
              <w:pStyle w:val="NoSpacing"/>
            </w:pPr>
            <w:r w:rsidRPr="00123335">
              <w:t>60.24</w:t>
            </w:r>
          </w:p>
        </w:tc>
        <w:tc>
          <w:tcPr>
            <w:tcW w:w="837" w:type="pct"/>
            <w:tcBorders>
              <w:bottom w:val="single" w:sz="4" w:space="0" w:color="auto"/>
            </w:tcBorders>
          </w:tcPr>
          <w:p w14:paraId="4BB20443" w14:textId="77777777" w:rsidR="00111E4D" w:rsidRPr="00123335" w:rsidRDefault="00111E4D" w:rsidP="00111E4D">
            <w:pPr>
              <w:pStyle w:val="NoSpacing"/>
            </w:pPr>
            <w:r w:rsidRPr="00123335">
              <w:t>17.99</w:t>
            </w:r>
          </w:p>
        </w:tc>
      </w:tr>
    </w:tbl>
    <w:p w14:paraId="2F04393F" w14:textId="72F10BE8" w:rsidR="00111E4D" w:rsidRDefault="008468AC" w:rsidP="00111E4D">
      <w:pPr>
        <w:pStyle w:val="Heading3"/>
      </w:pPr>
      <w:bookmarkStart w:id="504" w:name="_Toc3538175"/>
      <w:r w:rsidRPr="008468AC">
        <w:t xml:space="preserve">Do Enhanced Interface Features Make </w:t>
      </w:r>
      <w:r w:rsidR="008F5CAB">
        <w:t>MYLO</w:t>
      </w:r>
      <w:r w:rsidRPr="008468AC">
        <w:t xml:space="preserve"> a More Effective Conversational Agent for Problem-Solving?</w:t>
      </w:r>
      <w:bookmarkEnd w:id="504"/>
    </w:p>
    <w:p w14:paraId="5015002D" w14:textId="4313AC93" w:rsidR="00111E4D" w:rsidRDefault="00111E4D" w:rsidP="00111E4D">
      <w:pPr>
        <w:pStyle w:val="Heading4"/>
      </w:pPr>
      <w:r>
        <w:t>Problem-</w:t>
      </w:r>
      <w:r w:rsidR="00AB537E">
        <w:t>R</w:t>
      </w:r>
      <w:r>
        <w:t xml:space="preserve">elated </w:t>
      </w:r>
      <w:r w:rsidR="00AB537E">
        <w:t>D</w:t>
      </w:r>
      <w:r>
        <w:t>istress</w:t>
      </w:r>
    </w:p>
    <w:p w14:paraId="50B49377" w14:textId="2D178371" w:rsidR="00111E4D" w:rsidRPr="002D3D9C" w:rsidRDefault="00111E4D" w:rsidP="00111E4D">
      <w:r w:rsidRPr="00567E8C">
        <w:rPr>
          <w:noProof/>
        </w:rPr>
        <w:t>A Kruskal-Wallis H test was conducted to determine if there were differences in</w:t>
      </w:r>
      <w:r w:rsidRPr="002D3D9C">
        <w:t xml:space="preserve"> problem-related distress between groups </w:t>
      </w:r>
      <w:r>
        <w:t xml:space="preserve">at baseline </w:t>
      </w:r>
      <w:r w:rsidRPr="00355019">
        <w:t xml:space="preserve">between </w:t>
      </w:r>
      <w:r>
        <w:t>the three</w:t>
      </w:r>
      <w:r w:rsidRPr="00355019">
        <w:t xml:space="preserve"> groups</w:t>
      </w:r>
      <w:r w:rsidRPr="002D3D9C">
        <w:t xml:space="preserve">: </w:t>
      </w:r>
      <w:r>
        <w:t>M</w:t>
      </w:r>
      <w:r w:rsidRPr="002D3D9C">
        <w:t xml:space="preserve"> (n = </w:t>
      </w:r>
      <w:r>
        <w:t>23</w:t>
      </w:r>
      <w:r w:rsidRPr="002D3D9C">
        <w:t xml:space="preserve">), </w:t>
      </w:r>
      <w:r>
        <w:t xml:space="preserve">M+G </w:t>
      </w:r>
      <w:r w:rsidRPr="002D3D9C">
        <w:t xml:space="preserve">(n = </w:t>
      </w:r>
      <w:r>
        <w:t>1</w:t>
      </w:r>
      <w:r w:rsidRPr="002D3D9C">
        <w:t xml:space="preserve">9), and </w:t>
      </w:r>
      <w:r>
        <w:t>M+G+S</w:t>
      </w:r>
      <w:r w:rsidRPr="002D3D9C">
        <w:t xml:space="preserve"> (n = </w:t>
      </w:r>
      <w:r>
        <w:t>21</w:t>
      </w:r>
      <w:r w:rsidRPr="002D3D9C">
        <w:t xml:space="preserve">). Distributions of problem-related distress </w:t>
      </w:r>
      <w:r>
        <w:t xml:space="preserve">at baseline </w:t>
      </w:r>
      <w:r w:rsidRPr="002D3D9C">
        <w:t>were not similar for all groups, as assessed by visual inspection of a boxplot</w:t>
      </w:r>
      <w:r>
        <w:t xml:space="preserve"> (see </w:t>
      </w:r>
      <w:r>
        <w:fldChar w:fldCharType="begin"/>
      </w:r>
      <w:r>
        <w:instrText xml:space="preserve"> REF _Ref525850141 \h </w:instrText>
      </w:r>
      <w:r>
        <w:fldChar w:fldCharType="separate"/>
      </w:r>
      <w:r w:rsidR="00574650">
        <w:t xml:space="preserve">Figure </w:t>
      </w:r>
      <w:r w:rsidR="00574650">
        <w:rPr>
          <w:noProof/>
        </w:rPr>
        <w:t>6</w:t>
      </w:r>
      <w:r w:rsidR="00574650">
        <w:t>.</w:t>
      </w:r>
      <w:r w:rsidR="00574650">
        <w:rPr>
          <w:noProof/>
        </w:rPr>
        <w:t>4</w:t>
      </w:r>
      <w:r>
        <w:fldChar w:fldCharType="end"/>
      </w:r>
      <w:r>
        <w:t>)</w:t>
      </w:r>
      <w:r w:rsidRPr="002D3D9C">
        <w:t xml:space="preserve">. </w:t>
      </w:r>
      <w:r>
        <w:t xml:space="preserve"> </w:t>
      </w:r>
      <w:r w:rsidRPr="009D3AEC">
        <w:t xml:space="preserve">The mean rank of </w:t>
      </w:r>
      <w:r>
        <w:t xml:space="preserve">baseline </w:t>
      </w:r>
      <w:r w:rsidRPr="002D3D9C">
        <w:t xml:space="preserve">problem-related distress </w:t>
      </w:r>
      <w:r w:rsidRPr="009D3AEC">
        <w:t>score</w:t>
      </w:r>
      <w:r>
        <w:t>s</w:t>
      </w:r>
      <w:r w:rsidRPr="009D3AEC">
        <w:t xml:space="preserve"> was not statistically significantly different between groups, </w:t>
      </w:r>
      <w:proofErr w:type="gramStart"/>
      <w:r w:rsidRPr="0009484F">
        <w:rPr>
          <w:i/>
        </w:rPr>
        <w:t>χ</w:t>
      </w:r>
      <w:r w:rsidRPr="0009484F">
        <w:rPr>
          <w:i/>
          <w:vertAlign w:val="superscript"/>
        </w:rPr>
        <w:t>2</w:t>
      </w:r>
      <w:r w:rsidRPr="00355019">
        <w:t>(</w:t>
      </w:r>
      <w:proofErr w:type="gramEnd"/>
      <w:r>
        <w:t>2</w:t>
      </w:r>
      <w:r w:rsidRPr="00355019">
        <w:t xml:space="preserve">) = </w:t>
      </w:r>
      <w:r>
        <w:t>1</w:t>
      </w:r>
      <w:r w:rsidRPr="00355019">
        <w:t>.</w:t>
      </w:r>
      <w:r>
        <w:t>301</w:t>
      </w:r>
      <w:r w:rsidRPr="00355019">
        <w:t>, </w:t>
      </w:r>
      <w:r w:rsidRPr="0009484F">
        <w:rPr>
          <w:i/>
        </w:rPr>
        <w:t>p</w:t>
      </w:r>
      <w:r w:rsidRPr="00355019">
        <w:t> = .</w:t>
      </w:r>
      <w:r>
        <w:t>522</w:t>
      </w:r>
      <w:r w:rsidRPr="00355019">
        <w:t>.</w:t>
      </w:r>
      <w:r w:rsidRPr="00355019" w:rsidDel="00355019">
        <w:t xml:space="preserve"> </w:t>
      </w:r>
    </w:p>
    <w:p w14:paraId="3A8A2342" w14:textId="3B039632" w:rsidR="00111E4D" w:rsidRDefault="00111E4D" w:rsidP="00111E4D">
      <w:pPr>
        <w:pStyle w:val="Caption"/>
        <w:keepNext/>
      </w:pPr>
      <w:bookmarkStart w:id="505" w:name="_Ref525850141"/>
      <w:bookmarkStart w:id="506" w:name="_Toc530684672"/>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4</w:t>
      </w:r>
      <w:r w:rsidR="00371DCC">
        <w:fldChar w:fldCharType="end"/>
      </w:r>
      <w:bookmarkEnd w:id="505"/>
      <w:r>
        <w:t xml:space="preserve"> Baseline problem-related distress boxplot</w:t>
      </w:r>
      <w:bookmarkEnd w:id="506"/>
    </w:p>
    <w:p w14:paraId="60776B73" w14:textId="77777777" w:rsidR="00111E4D" w:rsidRDefault="00111E4D" w:rsidP="00111E4D">
      <w:r w:rsidRPr="00355019">
        <w:rPr>
          <w:noProof/>
          <w:lang w:eastAsia="en-GB"/>
        </w:rPr>
        <w:drawing>
          <wp:inline distT="0" distB="0" distL="0" distR="0" wp14:anchorId="57B51F0C" wp14:editId="5A74FCC1">
            <wp:extent cx="3780000" cy="2244296"/>
            <wp:effectExtent l="0" t="0" r="0" b="381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780000" cy="2244296"/>
                    </a:xfrm>
                    <a:prstGeom prst="rect">
                      <a:avLst/>
                    </a:prstGeom>
                  </pic:spPr>
                </pic:pic>
              </a:graphicData>
            </a:graphic>
          </wp:inline>
        </w:drawing>
      </w:r>
    </w:p>
    <w:p w14:paraId="6061F7C3" w14:textId="4CDCBF0F" w:rsidR="00111E4D" w:rsidRPr="002D3D9C" w:rsidRDefault="00111E4D" w:rsidP="00111E4D">
      <w:r w:rsidRPr="00567E8C">
        <w:rPr>
          <w:noProof/>
        </w:rPr>
        <w:lastRenderedPageBreak/>
        <w:t>A Kruskal-Wallis H test was conducted to determine if there were differences in</w:t>
      </w:r>
      <w:r w:rsidRPr="002D3D9C">
        <w:t xml:space="preserve"> problem-related distress between groups </w:t>
      </w:r>
      <w:r>
        <w:t xml:space="preserve">at post-intervention </w:t>
      </w:r>
      <w:r w:rsidRPr="00355019">
        <w:t xml:space="preserve">between </w:t>
      </w:r>
      <w:r>
        <w:t>the three</w:t>
      </w:r>
      <w:r w:rsidRPr="00355019">
        <w:t xml:space="preserve"> groups</w:t>
      </w:r>
      <w:r w:rsidRPr="002D3D9C">
        <w:t xml:space="preserve">: </w:t>
      </w:r>
      <w:r>
        <w:t>M</w:t>
      </w:r>
      <w:r w:rsidRPr="002D3D9C">
        <w:t xml:space="preserve"> (n = </w:t>
      </w:r>
      <w:r>
        <w:t>23</w:t>
      </w:r>
      <w:r w:rsidRPr="002D3D9C">
        <w:t xml:space="preserve">), </w:t>
      </w:r>
      <w:r>
        <w:t xml:space="preserve">M+G </w:t>
      </w:r>
      <w:r w:rsidRPr="002D3D9C">
        <w:t xml:space="preserve">(n = </w:t>
      </w:r>
      <w:r>
        <w:t>1</w:t>
      </w:r>
      <w:r w:rsidRPr="002D3D9C">
        <w:t xml:space="preserve">9), and </w:t>
      </w:r>
      <w:r>
        <w:t>M+G+S</w:t>
      </w:r>
      <w:r w:rsidRPr="002D3D9C">
        <w:t xml:space="preserve"> (n = </w:t>
      </w:r>
      <w:r>
        <w:t xml:space="preserve">21).  </w:t>
      </w:r>
      <w:r w:rsidRPr="002D3D9C">
        <w:t xml:space="preserve">Distributions of problem-related distress </w:t>
      </w:r>
      <w:r>
        <w:t xml:space="preserve">at post-intervention </w:t>
      </w:r>
      <w:r w:rsidRPr="002D3D9C">
        <w:t>were not similar for all groups, as assessed by visual inspection of a boxplot</w:t>
      </w:r>
      <w:r>
        <w:t xml:space="preserve"> (see </w:t>
      </w:r>
      <w:r>
        <w:fldChar w:fldCharType="begin"/>
      </w:r>
      <w:r>
        <w:instrText xml:space="preserve"> REF _Ref525894913 \h </w:instrText>
      </w:r>
      <w:r>
        <w:fldChar w:fldCharType="separate"/>
      </w:r>
      <w:r w:rsidR="00574650">
        <w:t xml:space="preserve">Figure </w:t>
      </w:r>
      <w:r w:rsidR="00574650">
        <w:rPr>
          <w:noProof/>
        </w:rPr>
        <w:t>6</w:t>
      </w:r>
      <w:r w:rsidR="00574650">
        <w:t>.</w:t>
      </w:r>
      <w:r w:rsidR="00574650">
        <w:rPr>
          <w:noProof/>
        </w:rPr>
        <w:t>5</w:t>
      </w:r>
      <w:r>
        <w:fldChar w:fldCharType="end"/>
      </w:r>
      <w:r>
        <w:t>)</w:t>
      </w:r>
      <w:r w:rsidRPr="002D3D9C">
        <w:t xml:space="preserve">. </w:t>
      </w:r>
      <w:r>
        <w:t xml:space="preserve"> </w:t>
      </w:r>
      <w:r w:rsidRPr="009D3AEC">
        <w:t xml:space="preserve">The mean rank of </w:t>
      </w:r>
      <w:r>
        <w:t>post-intervention</w:t>
      </w:r>
      <w:r w:rsidRPr="002D3D9C">
        <w:t xml:space="preserve"> problem-related distress </w:t>
      </w:r>
      <w:r w:rsidRPr="009D3AEC">
        <w:t>score</w:t>
      </w:r>
      <w:r>
        <w:t>s</w:t>
      </w:r>
      <w:r w:rsidRPr="009D3AEC">
        <w:t xml:space="preserve"> was not statistically significantly different between groups</w:t>
      </w:r>
      <w:r w:rsidRPr="002D3D9C">
        <w:t xml:space="preserve">, </w:t>
      </w:r>
      <w:proofErr w:type="gramStart"/>
      <w:r w:rsidRPr="0009484F">
        <w:rPr>
          <w:i/>
        </w:rPr>
        <w:t>χ</w:t>
      </w:r>
      <w:r w:rsidRPr="0009484F">
        <w:rPr>
          <w:i/>
          <w:vertAlign w:val="superscript"/>
        </w:rPr>
        <w:t>2</w:t>
      </w:r>
      <w:r w:rsidRPr="00355019">
        <w:t>(</w:t>
      </w:r>
      <w:proofErr w:type="gramEnd"/>
      <w:r>
        <w:t>2</w:t>
      </w:r>
      <w:r w:rsidRPr="00355019">
        <w:t>) = .</w:t>
      </w:r>
      <w:r>
        <w:t>915</w:t>
      </w:r>
      <w:r w:rsidRPr="00355019">
        <w:t>, </w:t>
      </w:r>
      <w:r w:rsidRPr="0009484F">
        <w:rPr>
          <w:i/>
        </w:rPr>
        <w:t>p</w:t>
      </w:r>
      <w:r w:rsidRPr="00355019">
        <w:t> = .</w:t>
      </w:r>
      <w:r>
        <w:t>633</w:t>
      </w:r>
      <w:r w:rsidRPr="00355019">
        <w:t>.</w:t>
      </w:r>
    </w:p>
    <w:p w14:paraId="296ADDA4" w14:textId="523D517C" w:rsidR="00111E4D" w:rsidRDefault="00111E4D" w:rsidP="00111E4D">
      <w:pPr>
        <w:pStyle w:val="Caption"/>
        <w:keepNext/>
      </w:pPr>
      <w:bookmarkStart w:id="507" w:name="_Ref525894913"/>
      <w:bookmarkStart w:id="508" w:name="_Toc530684673"/>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5</w:t>
      </w:r>
      <w:r w:rsidR="00371DCC">
        <w:fldChar w:fldCharType="end"/>
      </w:r>
      <w:bookmarkEnd w:id="507"/>
      <w:r>
        <w:t xml:space="preserve"> Post-intervention</w:t>
      </w:r>
      <w:r w:rsidRPr="00E12F16">
        <w:t xml:space="preserve"> problem-related distress boxplot</w:t>
      </w:r>
      <w:bookmarkEnd w:id="508"/>
    </w:p>
    <w:p w14:paraId="03C5A257" w14:textId="77777777" w:rsidR="00111E4D" w:rsidRDefault="00111E4D" w:rsidP="00111E4D">
      <w:r w:rsidRPr="00CC40EF">
        <w:rPr>
          <w:noProof/>
          <w:lang w:eastAsia="en-GB"/>
        </w:rPr>
        <w:drawing>
          <wp:inline distT="0" distB="0" distL="0" distR="0" wp14:anchorId="55115972" wp14:editId="15A14262">
            <wp:extent cx="3559495" cy="2117286"/>
            <wp:effectExtent l="0" t="0" r="3175"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59495" cy="2117286"/>
                    </a:xfrm>
                    <a:prstGeom prst="rect">
                      <a:avLst/>
                    </a:prstGeom>
                  </pic:spPr>
                </pic:pic>
              </a:graphicData>
            </a:graphic>
          </wp:inline>
        </w:drawing>
      </w:r>
    </w:p>
    <w:p w14:paraId="4FF19B34" w14:textId="4BA63706" w:rsidR="00111E4D" w:rsidRDefault="00111E4D" w:rsidP="00111E4D">
      <w:r w:rsidRPr="00567E8C">
        <w:rPr>
          <w:noProof/>
        </w:rPr>
        <w:t>A Kruskal-Wallis H test was conducted to determine if there were differences in</w:t>
      </w:r>
      <w:r w:rsidRPr="002D3D9C">
        <w:t xml:space="preserve"> problem-related distress between groups </w:t>
      </w:r>
      <w:r>
        <w:t xml:space="preserve">at follow-up </w:t>
      </w:r>
      <w:r w:rsidRPr="00355019">
        <w:t xml:space="preserve">between </w:t>
      </w:r>
      <w:r>
        <w:t>the three</w:t>
      </w:r>
      <w:r w:rsidRPr="00355019">
        <w:t xml:space="preserve"> groups</w:t>
      </w:r>
      <w:r w:rsidRPr="002D3D9C">
        <w:t xml:space="preserve">: </w:t>
      </w:r>
      <w:r>
        <w:t>M</w:t>
      </w:r>
      <w:r w:rsidRPr="002D3D9C">
        <w:t xml:space="preserve"> (n = </w:t>
      </w:r>
      <w:r>
        <w:t>23</w:t>
      </w:r>
      <w:r w:rsidRPr="002D3D9C">
        <w:t xml:space="preserve">), </w:t>
      </w:r>
      <w:r>
        <w:t xml:space="preserve">M+G </w:t>
      </w:r>
      <w:r w:rsidRPr="002D3D9C">
        <w:t xml:space="preserve">(n = </w:t>
      </w:r>
      <w:r>
        <w:t>1</w:t>
      </w:r>
      <w:r w:rsidRPr="002D3D9C">
        <w:t xml:space="preserve">9), and </w:t>
      </w:r>
      <w:r>
        <w:t>M+G+S</w:t>
      </w:r>
      <w:r w:rsidRPr="002D3D9C">
        <w:t xml:space="preserve"> (n = </w:t>
      </w:r>
      <w:r>
        <w:t>21</w:t>
      </w:r>
      <w:r w:rsidRPr="002D3D9C">
        <w:t xml:space="preserve">). Distributions of problem-related distress </w:t>
      </w:r>
      <w:r>
        <w:t xml:space="preserve">at follow-up </w:t>
      </w:r>
      <w:r w:rsidRPr="002D3D9C">
        <w:t>were not similar for all groups, as assessed by visual inspection of a boxplot</w:t>
      </w:r>
      <w:r>
        <w:t xml:space="preserve"> (see </w:t>
      </w:r>
      <w:r>
        <w:fldChar w:fldCharType="begin"/>
      </w:r>
      <w:r>
        <w:instrText xml:space="preserve"> REF _Ref525895431 \h </w:instrText>
      </w:r>
      <w:r>
        <w:fldChar w:fldCharType="separate"/>
      </w:r>
      <w:r w:rsidR="00574650">
        <w:t xml:space="preserve">Figure </w:t>
      </w:r>
      <w:r w:rsidR="00574650">
        <w:rPr>
          <w:noProof/>
        </w:rPr>
        <w:t>6</w:t>
      </w:r>
      <w:r w:rsidR="00574650">
        <w:t>.</w:t>
      </w:r>
      <w:r w:rsidR="00574650">
        <w:rPr>
          <w:noProof/>
        </w:rPr>
        <w:t>6</w:t>
      </w:r>
      <w:r>
        <w:fldChar w:fldCharType="end"/>
      </w:r>
      <w:r>
        <w:t>)</w:t>
      </w:r>
      <w:r w:rsidRPr="002D3D9C">
        <w:t>.</w:t>
      </w:r>
      <w:r>
        <w:t xml:space="preserve">  </w:t>
      </w:r>
      <w:r w:rsidRPr="009D3AEC">
        <w:t xml:space="preserve">The mean rank of </w:t>
      </w:r>
      <w:r>
        <w:t>follow-up</w:t>
      </w:r>
      <w:r w:rsidRPr="002D3D9C">
        <w:t xml:space="preserve"> problem-related distress </w:t>
      </w:r>
      <w:r w:rsidRPr="009D3AEC">
        <w:t>score</w:t>
      </w:r>
      <w:r>
        <w:t>s</w:t>
      </w:r>
      <w:r w:rsidRPr="009D3AEC">
        <w:t xml:space="preserve"> was not statistically significantly different between groups</w:t>
      </w:r>
      <w:r w:rsidRPr="002D3D9C">
        <w:t xml:space="preserve">, </w:t>
      </w:r>
      <w:proofErr w:type="gramStart"/>
      <w:r w:rsidRPr="0009484F">
        <w:rPr>
          <w:i/>
        </w:rPr>
        <w:t>χ</w:t>
      </w:r>
      <w:r w:rsidRPr="0009484F">
        <w:rPr>
          <w:i/>
          <w:vertAlign w:val="superscript"/>
        </w:rPr>
        <w:t>2</w:t>
      </w:r>
      <w:r w:rsidRPr="00355019">
        <w:t>(</w:t>
      </w:r>
      <w:proofErr w:type="gramEnd"/>
      <w:r>
        <w:t>2</w:t>
      </w:r>
      <w:r w:rsidRPr="00355019">
        <w:t xml:space="preserve">) = </w:t>
      </w:r>
      <w:r>
        <w:t>1</w:t>
      </w:r>
      <w:r w:rsidRPr="00355019">
        <w:t>.</w:t>
      </w:r>
      <w:r>
        <w:t>548</w:t>
      </w:r>
      <w:r w:rsidRPr="00355019">
        <w:t>, </w:t>
      </w:r>
      <w:r w:rsidRPr="0009484F">
        <w:rPr>
          <w:i/>
        </w:rPr>
        <w:t>p</w:t>
      </w:r>
      <w:r w:rsidRPr="00355019">
        <w:t> = .</w:t>
      </w:r>
      <w:r>
        <w:t>461</w:t>
      </w:r>
      <w:r w:rsidRPr="00355019">
        <w:t>.</w:t>
      </w:r>
    </w:p>
    <w:p w14:paraId="02DBEB31" w14:textId="71B93B37" w:rsidR="00111E4D" w:rsidRDefault="00111E4D" w:rsidP="00111E4D">
      <w:pPr>
        <w:pStyle w:val="Caption"/>
        <w:keepNext/>
      </w:pPr>
      <w:bookmarkStart w:id="509" w:name="_Ref525895431"/>
      <w:bookmarkStart w:id="510" w:name="_Toc530684674"/>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6</w:t>
      </w:r>
      <w:r w:rsidR="00371DCC">
        <w:fldChar w:fldCharType="end"/>
      </w:r>
      <w:bookmarkEnd w:id="509"/>
      <w:r>
        <w:t xml:space="preserve"> Follow-up</w:t>
      </w:r>
      <w:r w:rsidRPr="00EF532E">
        <w:t xml:space="preserve"> problem-related distress boxplot</w:t>
      </w:r>
      <w:bookmarkEnd w:id="510"/>
    </w:p>
    <w:p w14:paraId="49DA6D59" w14:textId="77777777" w:rsidR="00111E4D" w:rsidRDefault="00111E4D" w:rsidP="00111E4D">
      <w:r w:rsidRPr="00CC40EF">
        <w:rPr>
          <w:noProof/>
          <w:lang w:eastAsia="en-GB"/>
        </w:rPr>
        <w:drawing>
          <wp:inline distT="0" distB="0" distL="0" distR="0" wp14:anchorId="667C6684" wp14:editId="4D75C9A4">
            <wp:extent cx="3780000" cy="225101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780000" cy="2251010"/>
                    </a:xfrm>
                    <a:prstGeom prst="rect">
                      <a:avLst/>
                    </a:prstGeom>
                  </pic:spPr>
                </pic:pic>
              </a:graphicData>
            </a:graphic>
          </wp:inline>
        </w:drawing>
      </w:r>
    </w:p>
    <w:p w14:paraId="5BA1D22A" w14:textId="00D26FF9" w:rsidR="00111E4D" w:rsidRDefault="00111E4D" w:rsidP="00111E4D">
      <w:r w:rsidRPr="00567E8C">
        <w:rPr>
          <w:noProof/>
        </w:rPr>
        <w:t>A Friedman test was run to determine if there were differences in</w:t>
      </w:r>
      <w:r>
        <w:t xml:space="preserve"> problem-related distress between baseline, post-intervention and follow-up for M group</w:t>
      </w:r>
      <w:r w:rsidR="00554CB4">
        <w:t xml:space="preserve">.  </w:t>
      </w:r>
      <w:r>
        <w:t>Pairwise comparisons were performed (SPSS Statistics, 2012) with a Bonferroni correction for multiple comparisons</w:t>
      </w:r>
      <w:r w:rsidR="00554CB4">
        <w:t xml:space="preserve">.  </w:t>
      </w:r>
      <w:r>
        <w:t xml:space="preserve">Problem-related distress was statistically significantly different at the different time points during the M group, </w:t>
      </w:r>
      <w:proofErr w:type="gramStart"/>
      <w:r w:rsidRPr="0009484F">
        <w:rPr>
          <w:i/>
        </w:rPr>
        <w:t>χ</w:t>
      </w:r>
      <w:r w:rsidRPr="0009484F">
        <w:rPr>
          <w:i/>
          <w:vertAlign w:val="superscript"/>
        </w:rPr>
        <w:t>2</w:t>
      </w:r>
      <w:r>
        <w:t>(</w:t>
      </w:r>
      <w:proofErr w:type="gramEnd"/>
      <w:r>
        <w:t>2) = 13.053, </w:t>
      </w:r>
      <w:r w:rsidRPr="0009484F">
        <w:rPr>
          <w:i/>
        </w:rPr>
        <w:t>p</w:t>
      </w:r>
      <w:r>
        <w:t xml:space="preserve"> &lt; .001.  </w:t>
      </w:r>
      <w:r w:rsidRPr="00567E8C">
        <w:rPr>
          <w:noProof/>
        </w:rPr>
        <w:t>Post hoc analysis revealed statistically significant differences in</w:t>
      </w:r>
      <w:r>
        <w:t xml:space="preserve"> problem-related distress from baseline (</w:t>
      </w:r>
      <w:proofErr w:type="spellStart"/>
      <w:r w:rsidRPr="0009484F">
        <w:rPr>
          <w:i/>
        </w:rPr>
        <w:t>Mdn</w:t>
      </w:r>
      <w:proofErr w:type="spellEnd"/>
      <w:r>
        <w:t> = 7.00) to follow-up (</w:t>
      </w:r>
      <w:proofErr w:type="spellStart"/>
      <w:r w:rsidRPr="0009484F">
        <w:rPr>
          <w:i/>
        </w:rPr>
        <w:t>Mdn</w:t>
      </w:r>
      <w:proofErr w:type="spellEnd"/>
      <w:r>
        <w:t> = 4.00) (</w:t>
      </w:r>
      <w:r w:rsidRPr="0009484F">
        <w:rPr>
          <w:i/>
        </w:rPr>
        <w:t>p</w:t>
      </w:r>
      <w:r>
        <w:t> &lt; .001), but not for baseline to post-intervention and post-intervention to follow-up.</w:t>
      </w:r>
    </w:p>
    <w:p w14:paraId="6A087623" w14:textId="3D0508F6" w:rsidR="00111E4D" w:rsidRDefault="00111E4D" w:rsidP="00111E4D">
      <w:r w:rsidRPr="00567E8C">
        <w:rPr>
          <w:noProof/>
        </w:rPr>
        <w:lastRenderedPageBreak/>
        <w:t>A Friedman test was run to determine if there were differences in</w:t>
      </w:r>
      <w:r>
        <w:t xml:space="preserve"> problem-related distress between baseline, post-intervention and follow-up for M+G group.  Problem-related distress was statistically significantly different at the different time points during the M+G group, </w:t>
      </w:r>
      <w:proofErr w:type="gramStart"/>
      <w:r w:rsidRPr="00F50C0C">
        <w:rPr>
          <w:i/>
        </w:rPr>
        <w:t>χ</w:t>
      </w:r>
      <w:r w:rsidRPr="00F50C0C">
        <w:rPr>
          <w:i/>
          <w:vertAlign w:val="superscript"/>
        </w:rPr>
        <w:t>2</w:t>
      </w:r>
      <w:r>
        <w:t>(</w:t>
      </w:r>
      <w:proofErr w:type="gramEnd"/>
      <w:r>
        <w:t>2) = 9.806, </w:t>
      </w:r>
      <w:r w:rsidRPr="00F50C0C">
        <w:rPr>
          <w:i/>
        </w:rPr>
        <w:t>p</w:t>
      </w:r>
      <w:r>
        <w:t> &lt; .001</w:t>
      </w:r>
      <w:r w:rsidR="00554CB4">
        <w:t xml:space="preserve">.  </w:t>
      </w:r>
      <w:r w:rsidRPr="00567E8C">
        <w:rPr>
          <w:noProof/>
        </w:rPr>
        <w:t>Post hoc analysis revealed statistically significant differences in</w:t>
      </w:r>
      <w:r>
        <w:t xml:space="preserve"> problem-related distress from baseline (</w:t>
      </w:r>
      <w:proofErr w:type="spellStart"/>
      <w:r w:rsidRPr="003B3B8D">
        <w:rPr>
          <w:i/>
        </w:rPr>
        <w:t>Mdn</w:t>
      </w:r>
      <w:proofErr w:type="spellEnd"/>
      <w:r>
        <w:t> = 7.00) to post-intervention (</w:t>
      </w:r>
      <w:proofErr w:type="spellStart"/>
      <w:r w:rsidRPr="003B3B8D">
        <w:rPr>
          <w:i/>
        </w:rPr>
        <w:t>Mdn</w:t>
      </w:r>
      <w:proofErr w:type="spellEnd"/>
      <w:r>
        <w:t xml:space="preserve"> = 4.00) (</w:t>
      </w:r>
      <w:r w:rsidRPr="003B3B8D">
        <w:rPr>
          <w:i/>
        </w:rPr>
        <w:t>p</w:t>
      </w:r>
      <w:r>
        <w:t xml:space="preserve"> &lt; .001), but not for </w:t>
      </w:r>
      <w:r w:rsidRPr="00296887">
        <w:t>baseline to follow-up</w:t>
      </w:r>
      <w:r>
        <w:t xml:space="preserve"> and </w:t>
      </w:r>
      <w:r w:rsidRPr="00296887">
        <w:t xml:space="preserve">post-intervention </w:t>
      </w:r>
      <w:r>
        <w:t xml:space="preserve">to </w:t>
      </w:r>
      <w:r w:rsidRPr="00296887">
        <w:t>follow-up</w:t>
      </w:r>
      <w:r>
        <w:t>.</w:t>
      </w:r>
    </w:p>
    <w:p w14:paraId="61A91798" w14:textId="73A6E75B" w:rsidR="00111E4D" w:rsidRDefault="00111E4D" w:rsidP="00111E4D">
      <w:r w:rsidRPr="00567E8C">
        <w:rPr>
          <w:noProof/>
        </w:rPr>
        <w:t>A Friedman test was run to determine if there were differences in</w:t>
      </w:r>
      <w:r>
        <w:t xml:space="preserve"> problem-related distress between baseline, post-intervention and follow-up for the M+G+S group.  Problem-related distress was statistically significantly different at the different time points during the M+G+S group, </w:t>
      </w:r>
      <w:r w:rsidRPr="00AC10C6">
        <w:rPr>
          <w:i/>
        </w:rPr>
        <w:t>χ</w:t>
      </w:r>
      <w:r w:rsidRPr="00AC10C6">
        <w:rPr>
          <w:i/>
          <w:vertAlign w:val="superscript"/>
        </w:rPr>
        <w:t>2</w:t>
      </w:r>
      <w:r>
        <w:t>(2) = 9.029, </w:t>
      </w:r>
      <w:r w:rsidRPr="00AC10C6">
        <w:rPr>
          <w:i/>
        </w:rPr>
        <w:t>p</w:t>
      </w:r>
      <w:r>
        <w:t> &lt; .001</w:t>
      </w:r>
      <w:r w:rsidR="00554CB4">
        <w:t xml:space="preserve">.  </w:t>
      </w:r>
      <w:r w:rsidRPr="00567E8C">
        <w:rPr>
          <w:noProof/>
        </w:rPr>
        <w:t>Post hoc analysis revealed statistically significant differences in</w:t>
      </w:r>
      <w:r>
        <w:t xml:space="preserve"> problem-related distress from baseline (</w:t>
      </w:r>
      <w:proofErr w:type="spellStart"/>
      <w:r w:rsidRPr="00AC10C6">
        <w:rPr>
          <w:i/>
        </w:rPr>
        <w:t>Mdn</w:t>
      </w:r>
      <w:proofErr w:type="spellEnd"/>
      <w:r>
        <w:t> = 6.00) to follow-up (</w:t>
      </w:r>
      <w:proofErr w:type="spellStart"/>
      <w:r w:rsidRPr="00AC10C6">
        <w:rPr>
          <w:i/>
        </w:rPr>
        <w:t>Mdn</w:t>
      </w:r>
      <w:proofErr w:type="spellEnd"/>
      <w:r>
        <w:t> = 4.00) (</w:t>
      </w:r>
      <w:r w:rsidRPr="00AC10C6">
        <w:rPr>
          <w:i/>
        </w:rPr>
        <w:t>p</w:t>
      </w:r>
      <w:r>
        <w:t> &lt; .001), but not for post-intervention to baseline and follow-up to post-intervention.</w:t>
      </w:r>
    </w:p>
    <w:p w14:paraId="2EFB1E3A" w14:textId="77777777" w:rsidR="00111E4D" w:rsidRDefault="00111E4D" w:rsidP="00111E4D">
      <w:pPr>
        <w:pStyle w:val="Heading4"/>
      </w:pPr>
      <w:r>
        <w:t>Depression</w:t>
      </w:r>
    </w:p>
    <w:p w14:paraId="72C36225" w14:textId="3EB8A69E" w:rsidR="00111E4D" w:rsidRDefault="00111E4D" w:rsidP="00111E4D">
      <w:r w:rsidRPr="00567E8C">
        <w:rPr>
          <w:noProof/>
        </w:rPr>
        <w:t>A Kruskal-Wallis H test was conducted to determine if there were differences in</w:t>
      </w:r>
      <w:r w:rsidRPr="002D3D9C">
        <w:t xml:space="preserve"> </w:t>
      </w:r>
      <w:r>
        <w:t>depression</w:t>
      </w:r>
      <w:r w:rsidRPr="002D3D9C">
        <w:t xml:space="preserve"> between groups </w:t>
      </w:r>
      <w:r>
        <w:t xml:space="preserve">at baseline </w:t>
      </w:r>
      <w:r w:rsidRPr="00355019">
        <w:t xml:space="preserve">between </w:t>
      </w:r>
      <w:r>
        <w:t>the three</w:t>
      </w:r>
      <w:r w:rsidRPr="00355019">
        <w:t xml:space="preserve"> groups</w:t>
      </w:r>
      <w:r w:rsidRPr="002D3D9C">
        <w:t xml:space="preserve">: </w:t>
      </w:r>
      <w:r>
        <w:t>MYLO</w:t>
      </w:r>
      <w:r w:rsidRPr="002D3D9C">
        <w:t xml:space="preserve"> (n = </w:t>
      </w:r>
      <w:r>
        <w:t>23</w:t>
      </w:r>
      <w:r w:rsidRPr="002D3D9C">
        <w:t xml:space="preserve">), </w:t>
      </w:r>
      <w:r>
        <w:t>MYLO Guided</w:t>
      </w:r>
      <w:r w:rsidRPr="002D3D9C">
        <w:t xml:space="preserve"> (n = </w:t>
      </w:r>
      <w:r>
        <w:t>1</w:t>
      </w:r>
      <w:r w:rsidRPr="002D3D9C">
        <w:t xml:space="preserve">9), and MYLO Guided with Speech (n = </w:t>
      </w:r>
      <w:r>
        <w:t>21</w:t>
      </w:r>
      <w:r w:rsidRPr="002D3D9C">
        <w:t xml:space="preserve">). </w:t>
      </w:r>
      <w:r w:rsidR="00B233DE">
        <w:t xml:space="preserve"> </w:t>
      </w:r>
      <w:r w:rsidRPr="002D3D9C">
        <w:t>Values are mean ranks unless otherwise stated</w:t>
      </w:r>
      <w:r w:rsidR="00554CB4">
        <w:t xml:space="preserve">.  </w:t>
      </w:r>
      <w:r w:rsidRPr="002D3D9C">
        <w:t xml:space="preserve">Distributions of </w:t>
      </w:r>
      <w:r>
        <w:t>depression</w:t>
      </w:r>
      <w:r w:rsidRPr="002D3D9C">
        <w:t xml:space="preserve"> score </w:t>
      </w:r>
      <w:r>
        <w:t xml:space="preserve">at baseline </w:t>
      </w:r>
      <w:r w:rsidRPr="002D3D9C">
        <w:t>were not similar for all groups, as assessed by visual inspection of a boxplot</w:t>
      </w:r>
      <w:r>
        <w:t xml:space="preserve"> (see </w:t>
      </w:r>
      <w:r>
        <w:fldChar w:fldCharType="begin"/>
      </w:r>
      <w:r>
        <w:instrText xml:space="preserve"> REF _Ref525914204 \h </w:instrText>
      </w:r>
      <w:r>
        <w:fldChar w:fldCharType="separate"/>
      </w:r>
      <w:r w:rsidR="00574650">
        <w:t xml:space="preserve">Figure </w:t>
      </w:r>
      <w:r w:rsidR="00574650">
        <w:rPr>
          <w:noProof/>
        </w:rPr>
        <w:t>6</w:t>
      </w:r>
      <w:r w:rsidR="00574650">
        <w:t>.</w:t>
      </w:r>
      <w:r w:rsidR="00574650">
        <w:rPr>
          <w:noProof/>
        </w:rPr>
        <w:t>7</w:t>
      </w:r>
      <w:r>
        <w:fldChar w:fldCharType="end"/>
      </w:r>
      <w:r>
        <w:t>)</w:t>
      </w:r>
      <w:r w:rsidRPr="002D3D9C">
        <w:t xml:space="preserve">. </w:t>
      </w:r>
      <w:r>
        <w:t xml:space="preserve"> MYLO Guided with Speech</w:t>
      </w:r>
      <w:r w:rsidRPr="002D3D9C">
        <w:t xml:space="preserve"> (</w:t>
      </w:r>
      <w:r>
        <w:t>28</w:t>
      </w:r>
      <w:r w:rsidRPr="002D3D9C">
        <w:t>.</w:t>
      </w:r>
      <w:r>
        <w:t xml:space="preserve">69) recorded lower depression </w:t>
      </w:r>
      <w:r w:rsidRPr="002D3D9C">
        <w:t xml:space="preserve">score </w:t>
      </w:r>
      <w:r>
        <w:t>at baseline than</w:t>
      </w:r>
      <w:r w:rsidRPr="002D3D9C">
        <w:t xml:space="preserve"> </w:t>
      </w:r>
      <w:r>
        <w:t>MYLO Guided</w:t>
      </w:r>
      <w:r w:rsidRPr="002D3D9C">
        <w:t xml:space="preserve"> (</w:t>
      </w:r>
      <w:r>
        <w:t>32.66</w:t>
      </w:r>
      <w:r w:rsidRPr="002D3D9C">
        <w:t xml:space="preserve">) and </w:t>
      </w:r>
      <w:r>
        <w:t>MYLO</w:t>
      </w:r>
      <w:r w:rsidRPr="003C4007">
        <w:t xml:space="preserve"> </w:t>
      </w:r>
      <w:r w:rsidRPr="002D3D9C">
        <w:t>(</w:t>
      </w:r>
      <w:r>
        <w:t>34.85</w:t>
      </w:r>
      <w:r w:rsidRPr="002D3D9C">
        <w:t>)</w:t>
      </w:r>
      <w:r>
        <w:t xml:space="preserve"> </w:t>
      </w:r>
      <w:r w:rsidRPr="002D3D9C">
        <w:t xml:space="preserve">groups, but the differences were not statistically significant, </w:t>
      </w:r>
      <w:proofErr w:type="gramStart"/>
      <w:r w:rsidRPr="003D5CF7">
        <w:rPr>
          <w:i/>
        </w:rPr>
        <w:t>χ</w:t>
      </w:r>
      <w:r w:rsidRPr="003D5CF7">
        <w:rPr>
          <w:i/>
          <w:vertAlign w:val="superscript"/>
        </w:rPr>
        <w:t>2</w:t>
      </w:r>
      <w:r w:rsidRPr="00355019">
        <w:t>(</w:t>
      </w:r>
      <w:proofErr w:type="gramEnd"/>
      <w:r>
        <w:t>2</w:t>
      </w:r>
      <w:r w:rsidRPr="00355019">
        <w:t xml:space="preserve">) = </w:t>
      </w:r>
      <w:r>
        <w:t>1</w:t>
      </w:r>
      <w:r w:rsidRPr="00355019">
        <w:t>.</w:t>
      </w:r>
      <w:r>
        <w:t>450</w:t>
      </w:r>
      <w:r w:rsidRPr="00355019">
        <w:t>, </w:t>
      </w:r>
      <w:r w:rsidRPr="003D5CF7">
        <w:rPr>
          <w:i/>
        </w:rPr>
        <w:t>p</w:t>
      </w:r>
      <w:r w:rsidRPr="00355019">
        <w:t> = .</w:t>
      </w:r>
      <w:r>
        <w:t>484</w:t>
      </w:r>
      <w:r w:rsidRPr="00355019">
        <w:t>.</w:t>
      </w:r>
    </w:p>
    <w:p w14:paraId="4C9925CB" w14:textId="0B541513" w:rsidR="00111E4D" w:rsidRDefault="00111E4D" w:rsidP="00111E4D">
      <w:pPr>
        <w:pStyle w:val="Caption"/>
        <w:keepNext/>
      </w:pPr>
      <w:bookmarkStart w:id="511" w:name="_Ref525914204"/>
      <w:bookmarkStart w:id="512" w:name="_Toc530684675"/>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7</w:t>
      </w:r>
      <w:r w:rsidR="00371DCC">
        <w:fldChar w:fldCharType="end"/>
      </w:r>
      <w:bookmarkEnd w:id="511"/>
      <w:r>
        <w:t xml:space="preserve"> Baseline depression boxplot</w:t>
      </w:r>
      <w:bookmarkEnd w:id="512"/>
    </w:p>
    <w:p w14:paraId="2A4BBC6E" w14:textId="77777777" w:rsidR="00111E4D" w:rsidRDefault="00111E4D" w:rsidP="00111E4D">
      <w:r w:rsidRPr="00CC40EF">
        <w:rPr>
          <w:noProof/>
          <w:lang w:eastAsia="en-GB"/>
        </w:rPr>
        <w:drawing>
          <wp:inline distT="0" distB="0" distL="0" distR="0" wp14:anchorId="3AC583CD" wp14:editId="465E268A">
            <wp:extent cx="3780000" cy="2242500"/>
            <wp:effectExtent l="0" t="0" r="0" b="571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780000" cy="2242500"/>
                    </a:xfrm>
                    <a:prstGeom prst="rect">
                      <a:avLst/>
                    </a:prstGeom>
                  </pic:spPr>
                </pic:pic>
              </a:graphicData>
            </a:graphic>
          </wp:inline>
        </w:drawing>
      </w:r>
    </w:p>
    <w:p w14:paraId="3688A014" w14:textId="7D22E503" w:rsidR="00111E4D" w:rsidRDefault="00111E4D" w:rsidP="00111E4D">
      <w:r w:rsidRPr="00567E8C">
        <w:rPr>
          <w:noProof/>
        </w:rPr>
        <w:t>A Kruskal-Wallis H test was conducted to determine if there were differences in</w:t>
      </w:r>
      <w:r w:rsidRPr="002D3D9C">
        <w:t xml:space="preserve"> </w:t>
      </w:r>
      <w:r>
        <w:t>depression</w:t>
      </w:r>
      <w:r w:rsidRPr="002D3D9C">
        <w:t xml:space="preserve"> score between groups </w:t>
      </w:r>
      <w:r>
        <w:t xml:space="preserve">at follow-up </w:t>
      </w:r>
      <w:r w:rsidRPr="00355019">
        <w:t xml:space="preserve">between </w:t>
      </w:r>
      <w:r>
        <w:t>the three</w:t>
      </w:r>
      <w:r w:rsidRPr="00355019">
        <w:t xml:space="preserve"> groups</w:t>
      </w:r>
      <w:r w:rsidRPr="002D3D9C">
        <w:t xml:space="preserve">: </w:t>
      </w:r>
      <w:r>
        <w:t>MYLO</w:t>
      </w:r>
      <w:r w:rsidRPr="002D3D9C">
        <w:t xml:space="preserve"> (n = </w:t>
      </w:r>
      <w:r>
        <w:t>23</w:t>
      </w:r>
      <w:r w:rsidRPr="002D3D9C">
        <w:t xml:space="preserve">), </w:t>
      </w:r>
      <w:r>
        <w:t>MYLO Guided</w:t>
      </w:r>
      <w:r w:rsidRPr="002D3D9C">
        <w:t xml:space="preserve"> (n = </w:t>
      </w:r>
      <w:r>
        <w:t>1</w:t>
      </w:r>
      <w:r w:rsidRPr="002D3D9C">
        <w:t xml:space="preserve">9), and MYLO Guided with Speech (n = </w:t>
      </w:r>
      <w:r>
        <w:t>21</w:t>
      </w:r>
      <w:r w:rsidRPr="002D3D9C">
        <w:t>).</w:t>
      </w:r>
      <w:r w:rsidR="00B233DE">
        <w:t xml:space="preserve"> </w:t>
      </w:r>
      <w:r w:rsidRPr="002D3D9C">
        <w:t xml:space="preserve"> Values are mean ranks unless otherwise stated</w:t>
      </w:r>
      <w:r w:rsidR="00554CB4">
        <w:t xml:space="preserve">.  </w:t>
      </w:r>
      <w:r w:rsidRPr="002D3D9C">
        <w:t xml:space="preserve">Distributions of </w:t>
      </w:r>
      <w:r>
        <w:t>depression</w:t>
      </w:r>
      <w:r w:rsidRPr="002D3D9C">
        <w:t xml:space="preserve"> score </w:t>
      </w:r>
      <w:r>
        <w:t xml:space="preserve">at follow-up </w:t>
      </w:r>
      <w:r w:rsidRPr="002D3D9C">
        <w:t>were not similar for all groups, as assessed by visual inspection of a boxplot</w:t>
      </w:r>
      <w:r>
        <w:t xml:space="preserve"> (see </w:t>
      </w:r>
      <w:r>
        <w:fldChar w:fldCharType="begin"/>
      </w:r>
      <w:r>
        <w:instrText xml:space="preserve"> REF _Ref525914924 \h </w:instrText>
      </w:r>
      <w:r>
        <w:fldChar w:fldCharType="separate"/>
      </w:r>
      <w:r w:rsidR="00574650">
        <w:t xml:space="preserve">Figure </w:t>
      </w:r>
      <w:r w:rsidR="00574650">
        <w:rPr>
          <w:noProof/>
        </w:rPr>
        <w:t>6</w:t>
      </w:r>
      <w:r w:rsidR="00574650">
        <w:t>.</w:t>
      </w:r>
      <w:r w:rsidR="00574650">
        <w:rPr>
          <w:noProof/>
        </w:rPr>
        <w:t>8</w:t>
      </w:r>
      <w:r>
        <w:fldChar w:fldCharType="end"/>
      </w:r>
      <w:r>
        <w:t>)</w:t>
      </w:r>
      <w:r w:rsidRPr="002D3D9C">
        <w:t xml:space="preserve">. </w:t>
      </w:r>
      <w:r w:rsidR="00B233DE">
        <w:t xml:space="preserve"> </w:t>
      </w:r>
      <w:r>
        <w:t>MYLO Guided with Speech</w:t>
      </w:r>
      <w:r w:rsidRPr="002D3D9C">
        <w:t xml:space="preserve"> (</w:t>
      </w:r>
      <w:r>
        <w:t>29</w:t>
      </w:r>
      <w:r w:rsidRPr="002D3D9C">
        <w:t>.</w:t>
      </w:r>
      <w:r>
        <w:t xml:space="preserve">60) recorded lower depression </w:t>
      </w:r>
      <w:r w:rsidRPr="002D3D9C">
        <w:t xml:space="preserve">score </w:t>
      </w:r>
      <w:r>
        <w:t>at follow-up than</w:t>
      </w:r>
      <w:r w:rsidRPr="002D3D9C">
        <w:t xml:space="preserve"> </w:t>
      </w:r>
      <w:r>
        <w:t>MYLO Guided</w:t>
      </w:r>
      <w:r w:rsidRPr="002D3D9C">
        <w:t xml:space="preserve"> (</w:t>
      </w:r>
      <w:r>
        <w:t>30.00</w:t>
      </w:r>
      <w:r w:rsidRPr="002D3D9C">
        <w:t xml:space="preserve">) and </w:t>
      </w:r>
      <w:r>
        <w:t>MYLO</w:t>
      </w:r>
      <w:r w:rsidRPr="003C4007">
        <w:t xml:space="preserve"> </w:t>
      </w:r>
      <w:r w:rsidRPr="002D3D9C">
        <w:t>(</w:t>
      </w:r>
      <w:r>
        <w:t>35.85</w:t>
      </w:r>
      <w:r w:rsidRPr="002D3D9C">
        <w:t>)</w:t>
      </w:r>
      <w:r>
        <w:t xml:space="preserve"> </w:t>
      </w:r>
      <w:r w:rsidRPr="002D3D9C">
        <w:t xml:space="preserve">groups, but the differences were not statistically significant, </w:t>
      </w:r>
      <w:proofErr w:type="gramStart"/>
      <w:r w:rsidRPr="003D5CF7">
        <w:rPr>
          <w:i/>
        </w:rPr>
        <w:t>χ</w:t>
      </w:r>
      <w:r w:rsidRPr="003D5CF7">
        <w:rPr>
          <w:i/>
          <w:vertAlign w:val="superscript"/>
        </w:rPr>
        <w:t>2</w:t>
      </w:r>
      <w:r w:rsidRPr="00355019">
        <w:t>(</w:t>
      </w:r>
      <w:proofErr w:type="gramEnd"/>
      <w:r>
        <w:t>2</w:t>
      </w:r>
      <w:r w:rsidRPr="00355019">
        <w:t xml:space="preserve">) = </w:t>
      </w:r>
      <w:r>
        <w:t>1</w:t>
      </w:r>
      <w:r w:rsidRPr="00355019">
        <w:t>.</w:t>
      </w:r>
      <w:r>
        <w:t>633</w:t>
      </w:r>
      <w:r w:rsidRPr="00355019">
        <w:t>, </w:t>
      </w:r>
      <w:r w:rsidRPr="003D5CF7">
        <w:rPr>
          <w:i/>
        </w:rPr>
        <w:t>p</w:t>
      </w:r>
      <w:r w:rsidRPr="00355019">
        <w:t> = .</w:t>
      </w:r>
      <w:r>
        <w:t>442</w:t>
      </w:r>
      <w:r w:rsidRPr="00355019">
        <w:t>.</w:t>
      </w:r>
    </w:p>
    <w:p w14:paraId="3271EA1F" w14:textId="7929FF04" w:rsidR="00111E4D" w:rsidRDefault="00111E4D" w:rsidP="00111E4D">
      <w:pPr>
        <w:pStyle w:val="Caption"/>
        <w:keepNext/>
      </w:pPr>
      <w:bookmarkStart w:id="513" w:name="_Ref525914924"/>
      <w:bookmarkStart w:id="514" w:name="_Toc530684676"/>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8</w:t>
      </w:r>
      <w:r w:rsidR="00371DCC">
        <w:fldChar w:fldCharType="end"/>
      </w:r>
      <w:bookmarkEnd w:id="513"/>
      <w:r>
        <w:t xml:space="preserve"> Follow-up</w:t>
      </w:r>
      <w:r w:rsidRPr="00136E55">
        <w:t xml:space="preserve"> depression boxplot</w:t>
      </w:r>
      <w:bookmarkEnd w:id="514"/>
    </w:p>
    <w:p w14:paraId="572F6C58" w14:textId="77777777" w:rsidR="00111E4D" w:rsidRDefault="00111E4D" w:rsidP="00111E4D">
      <w:r w:rsidRPr="00CC40EF">
        <w:rPr>
          <w:noProof/>
          <w:lang w:eastAsia="en-GB"/>
        </w:rPr>
        <w:drawing>
          <wp:inline distT="0" distB="0" distL="0" distR="0" wp14:anchorId="24F95885" wp14:editId="0CC5BEBC">
            <wp:extent cx="3780000" cy="2251624"/>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780000" cy="2251624"/>
                    </a:xfrm>
                    <a:prstGeom prst="rect">
                      <a:avLst/>
                    </a:prstGeom>
                  </pic:spPr>
                </pic:pic>
              </a:graphicData>
            </a:graphic>
          </wp:inline>
        </w:drawing>
      </w:r>
    </w:p>
    <w:p w14:paraId="515C57F1" w14:textId="77777777" w:rsidR="00111E4D" w:rsidRDefault="00111E4D" w:rsidP="00111E4D">
      <w:pPr>
        <w:rPr>
          <w:noProof/>
        </w:rPr>
      </w:pPr>
      <w:r>
        <w:rPr>
          <w:noProof/>
        </w:rPr>
        <w:t xml:space="preserve">A series of sign tests were </w:t>
      </w:r>
      <w:r w:rsidRPr="00567E8C">
        <w:rPr>
          <w:noProof/>
        </w:rPr>
        <w:t>conducted</w:t>
      </w:r>
      <w:r>
        <w:rPr>
          <w:noProof/>
        </w:rPr>
        <w:t xml:space="preserve"> to determine if there were differences in depression scores between baseline, post-intervention and follow-up time points for each of the three groups.</w:t>
      </w:r>
    </w:p>
    <w:p w14:paraId="5EA68893" w14:textId="7F66750A" w:rsidR="00111E4D" w:rsidRDefault="00111E4D" w:rsidP="00111E4D">
      <w:r w:rsidRPr="00567E8C">
        <w:rPr>
          <w:noProof/>
        </w:rPr>
        <w:t>A sign test with continuity correction was used to</w:t>
      </w:r>
      <w:r w:rsidRPr="005C36F4">
        <w:t xml:space="preserve"> compare the differences in </w:t>
      </w:r>
      <w:r>
        <w:t>depression between baseline and follow-up for the M group</w:t>
      </w:r>
      <w:r w:rsidRPr="005C36F4">
        <w:t xml:space="preserve">. </w:t>
      </w:r>
      <w:r>
        <w:t xml:space="preserve"> </w:t>
      </w:r>
      <w:r w:rsidRPr="00F378B6">
        <w:t xml:space="preserve">Of the </w:t>
      </w:r>
      <w:r>
        <w:t>23</w:t>
      </w:r>
      <w:r w:rsidRPr="00F378B6">
        <w:t xml:space="preserve"> participants recruited</w:t>
      </w:r>
      <w:r>
        <w:t>,</w:t>
      </w:r>
      <w:r w:rsidRPr="00F378B6">
        <w:t xml:space="preserve"> </w:t>
      </w:r>
      <w:r>
        <w:t>13</w:t>
      </w:r>
      <w:r w:rsidRPr="00F378B6">
        <w:t xml:space="preserve"> </w:t>
      </w:r>
      <w:r>
        <w:t>decreased in depression score</w:t>
      </w:r>
      <w:r w:rsidRPr="00F378B6">
        <w:t>,</w:t>
      </w:r>
      <w:r>
        <w:t xml:space="preserve"> six increased in depression score and four participants had no change</w:t>
      </w:r>
      <w:r w:rsidR="00554CB4">
        <w:t xml:space="preserve">.  </w:t>
      </w:r>
      <w:r w:rsidRPr="005C36F4">
        <w:t xml:space="preserve">Overall, participants </w:t>
      </w:r>
      <w:r>
        <w:t>decreased in depression from baseline (</w:t>
      </w:r>
      <w:proofErr w:type="spellStart"/>
      <w:r>
        <w:rPr>
          <w:i/>
        </w:rPr>
        <w:t>Mdn</w:t>
      </w:r>
      <w:proofErr w:type="spellEnd"/>
      <w:r>
        <w:rPr>
          <w:i/>
        </w:rPr>
        <w:t xml:space="preserve"> = </w:t>
      </w:r>
      <w:r>
        <w:t>7</w:t>
      </w:r>
      <w:r w:rsidRPr="005C36F4">
        <w:t>.</w:t>
      </w:r>
      <w:r>
        <w:t>00</w:t>
      </w:r>
      <w:r w:rsidRPr="005C36F4">
        <w:t xml:space="preserve">) </w:t>
      </w:r>
      <w:r>
        <w:t>to follow-up</w:t>
      </w:r>
      <w:r w:rsidRPr="005C36F4">
        <w:t xml:space="preserve"> (</w:t>
      </w:r>
      <w:proofErr w:type="spellStart"/>
      <w:r>
        <w:rPr>
          <w:i/>
        </w:rPr>
        <w:t>Mdn</w:t>
      </w:r>
      <w:proofErr w:type="spellEnd"/>
      <w:r>
        <w:rPr>
          <w:i/>
        </w:rPr>
        <w:t xml:space="preserve"> = </w:t>
      </w:r>
      <w:r>
        <w:t>4</w:t>
      </w:r>
      <w:r w:rsidRPr="005C36F4">
        <w:t>.</w:t>
      </w:r>
      <w:r>
        <w:t>00</w:t>
      </w:r>
      <w:r w:rsidRPr="005C36F4">
        <w:t xml:space="preserve">), a </w:t>
      </w:r>
      <w:r>
        <w:t>non-</w:t>
      </w:r>
      <w:r w:rsidRPr="005C36F4">
        <w:t xml:space="preserve">significant </w:t>
      </w:r>
      <w:r>
        <w:t>decrease</w:t>
      </w:r>
      <w:r w:rsidRPr="005C36F4">
        <w:t xml:space="preserve"> in the median of the differences of </w:t>
      </w:r>
      <w:r>
        <w:t>-1.00</w:t>
      </w:r>
      <w:r w:rsidRPr="005C36F4">
        <w:t>, </w:t>
      </w:r>
      <w:r w:rsidRPr="003D5CF7">
        <w:rPr>
          <w:i/>
        </w:rPr>
        <w:t>z</w:t>
      </w:r>
      <w:r w:rsidRPr="005C36F4">
        <w:t xml:space="preserve"> = </w:t>
      </w:r>
      <w:r>
        <w:t>-1</w:t>
      </w:r>
      <w:r w:rsidRPr="005C36F4">
        <w:t>.</w:t>
      </w:r>
      <w:r>
        <w:t>273</w:t>
      </w:r>
      <w:r w:rsidRPr="005C36F4">
        <w:t>, </w:t>
      </w:r>
      <w:r w:rsidRPr="003D5CF7">
        <w:rPr>
          <w:i/>
        </w:rPr>
        <w:t>p</w:t>
      </w:r>
      <w:r w:rsidRPr="005C36F4">
        <w:t> = .</w:t>
      </w:r>
      <w:r>
        <w:t>203</w:t>
      </w:r>
      <w:r w:rsidRPr="005C36F4">
        <w:t>.</w:t>
      </w:r>
    </w:p>
    <w:p w14:paraId="35D248F1" w14:textId="77777777" w:rsidR="00111E4D" w:rsidRPr="002D0140" w:rsidRDefault="00111E4D" w:rsidP="00111E4D">
      <w:r w:rsidRPr="00567E8C">
        <w:rPr>
          <w:noProof/>
        </w:rPr>
        <w:t>A sign test with continuity correction was used to</w:t>
      </w:r>
      <w:r w:rsidRPr="002D0140">
        <w:t xml:space="preserve"> </w:t>
      </w:r>
      <w:r w:rsidRPr="005C36F4">
        <w:t xml:space="preserve">compare the differences in </w:t>
      </w:r>
      <w:r>
        <w:t>depression between baseline and follow-up for the M+G group</w:t>
      </w:r>
      <w:r w:rsidRPr="002D0140">
        <w:t>.</w:t>
      </w:r>
      <w:r>
        <w:t xml:space="preserve"> </w:t>
      </w:r>
      <w:r w:rsidRPr="002D0140">
        <w:t xml:space="preserve"> Of the 19 participants recruited, 14 decreased in depression</w:t>
      </w:r>
      <w:r>
        <w:t xml:space="preserve"> score</w:t>
      </w:r>
      <w:r w:rsidRPr="002D0140">
        <w:t>, two increased in depression</w:t>
      </w:r>
      <w:r>
        <w:t xml:space="preserve"> </w:t>
      </w:r>
      <w:r w:rsidRPr="002D0140">
        <w:t xml:space="preserve">and three </w:t>
      </w:r>
      <w:r>
        <w:t>had</w:t>
      </w:r>
      <w:r w:rsidRPr="002D0140">
        <w:t xml:space="preserve"> no change.  Overall, participants decreased in depression from baseline (</w:t>
      </w:r>
      <w:proofErr w:type="spellStart"/>
      <w:r>
        <w:rPr>
          <w:i/>
        </w:rPr>
        <w:t>Mdn</w:t>
      </w:r>
      <w:proofErr w:type="spellEnd"/>
      <w:r>
        <w:rPr>
          <w:i/>
        </w:rPr>
        <w:t xml:space="preserve"> = </w:t>
      </w:r>
      <w:r w:rsidRPr="002D0140">
        <w:t>6.00) to follow-up (</w:t>
      </w:r>
      <w:proofErr w:type="spellStart"/>
      <w:r>
        <w:rPr>
          <w:i/>
        </w:rPr>
        <w:t>Mdn</w:t>
      </w:r>
      <w:proofErr w:type="spellEnd"/>
      <w:r>
        <w:rPr>
          <w:i/>
        </w:rPr>
        <w:t xml:space="preserve"> = </w:t>
      </w:r>
      <w:r w:rsidRPr="002D0140">
        <w:t xml:space="preserve">3.00), a statistically significant </w:t>
      </w:r>
      <w:r>
        <w:t>decrease</w:t>
      </w:r>
      <w:r w:rsidRPr="002D0140">
        <w:t xml:space="preserve"> in the median of the differences of -2.00, </w:t>
      </w:r>
      <w:r w:rsidRPr="003D5CF7">
        <w:rPr>
          <w:i/>
        </w:rPr>
        <w:t>z</w:t>
      </w:r>
      <w:r w:rsidRPr="002D0140">
        <w:t xml:space="preserve"> = </w:t>
      </w:r>
      <w:r>
        <w:t>-</w:t>
      </w:r>
      <w:r w:rsidRPr="002D0140">
        <w:t>2.7</w:t>
      </w:r>
      <w:r>
        <w:t>31</w:t>
      </w:r>
      <w:r w:rsidRPr="002D0140">
        <w:t>, </w:t>
      </w:r>
      <w:r w:rsidRPr="003D5CF7">
        <w:rPr>
          <w:i/>
        </w:rPr>
        <w:t>p</w:t>
      </w:r>
      <w:r w:rsidRPr="002D0140">
        <w:t> = .006.</w:t>
      </w:r>
    </w:p>
    <w:p w14:paraId="5F4521B6" w14:textId="0C23CEAB" w:rsidR="00111E4D" w:rsidRDefault="00111E4D" w:rsidP="00111E4D">
      <w:r w:rsidRPr="00567E8C">
        <w:rPr>
          <w:noProof/>
        </w:rPr>
        <w:t>A sign test with continuity correction was used to</w:t>
      </w:r>
      <w:r w:rsidRPr="002D0140">
        <w:t xml:space="preserve"> </w:t>
      </w:r>
      <w:r w:rsidRPr="005C36F4">
        <w:t xml:space="preserve">compare the differences in </w:t>
      </w:r>
      <w:r>
        <w:t>depression between baseline and follow-up for the M+G+S</w:t>
      </w:r>
      <w:r w:rsidRPr="002D0140">
        <w:t xml:space="preserve"> </w:t>
      </w:r>
      <w:r>
        <w:t>group</w:t>
      </w:r>
      <w:r w:rsidR="00554CB4">
        <w:t xml:space="preserve">.  </w:t>
      </w:r>
      <w:r w:rsidRPr="002D0140">
        <w:t>Of the 21 participants recruited, 14 decreased in depression, two increased in depression and three had no change at all.  Overall, participants decreased in depression from baseline (</w:t>
      </w:r>
      <w:proofErr w:type="spellStart"/>
      <w:r>
        <w:rPr>
          <w:i/>
        </w:rPr>
        <w:t>Mdn</w:t>
      </w:r>
      <w:proofErr w:type="spellEnd"/>
      <w:r>
        <w:rPr>
          <w:i/>
        </w:rPr>
        <w:t xml:space="preserve"> = </w:t>
      </w:r>
      <w:r w:rsidRPr="002D0140">
        <w:t>5.00) to follow-up (</w:t>
      </w:r>
      <w:proofErr w:type="spellStart"/>
      <w:r>
        <w:rPr>
          <w:i/>
        </w:rPr>
        <w:t>Mdn</w:t>
      </w:r>
      <w:proofErr w:type="spellEnd"/>
      <w:r>
        <w:rPr>
          <w:i/>
        </w:rPr>
        <w:t xml:space="preserve"> = </w:t>
      </w:r>
      <w:r w:rsidRPr="002D0140">
        <w:t xml:space="preserve">2.00), a statistically significant </w:t>
      </w:r>
      <w:r>
        <w:t>decrease</w:t>
      </w:r>
      <w:r w:rsidRPr="002D0140">
        <w:t xml:space="preserve"> in the median of the differences of -1.00, </w:t>
      </w:r>
      <w:r w:rsidRPr="003D5CF7">
        <w:rPr>
          <w:i/>
        </w:rPr>
        <w:t>z</w:t>
      </w:r>
      <w:r w:rsidRPr="002D0140">
        <w:t xml:space="preserve"> = </w:t>
      </w:r>
      <w:r>
        <w:t>-</w:t>
      </w:r>
      <w:r w:rsidRPr="002D0140">
        <w:t>2.</w:t>
      </w:r>
      <w:r>
        <w:t>168</w:t>
      </w:r>
      <w:r w:rsidRPr="002D0140">
        <w:t>, </w:t>
      </w:r>
      <w:r w:rsidRPr="003D5CF7">
        <w:rPr>
          <w:i/>
        </w:rPr>
        <w:t>p</w:t>
      </w:r>
      <w:r w:rsidRPr="002D0140">
        <w:t> = .</w:t>
      </w:r>
      <w:r>
        <w:t>030</w:t>
      </w:r>
      <w:r w:rsidRPr="002D0140">
        <w:t>.</w:t>
      </w:r>
    </w:p>
    <w:p w14:paraId="7A2B2CFD" w14:textId="77777777" w:rsidR="00111E4D" w:rsidRDefault="00111E4D" w:rsidP="00111E4D">
      <w:pPr>
        <w:pStyle w:val="Heading4"/>
      </w:pPr>
      <w:r>
        <w:t>Anxiety</w:t>
      </w:r>
    </w:p>
    <w:p w14:paraId="6569D900" w14:textId="7545A0EB" w:rsidR="00111E4D" w:rsidRDefault="00111E4D" w:rsidP="00111E4D">
      <w:r w:rsidRPr="00567E8C">
        <w:rPr>
          <w:noProof/>
        </w:rPr>
        <w:t>A Kruskal-Wallis H test was conducted to determine if there were differences in</w:t>
      </w:r>
      <w:r w:rsidRPr="002D3D9C">
        <w:t xml:space="preserve"> </w:t>
      </w:r>
      <w:r>
        <w:t>anxiety</w:t>
      </w:r>
      <w:r w:rsidRPr="002D3D9C">
        <w:t xml:space="preserve"> between groups </w:t>
      </w:r>
      <w:r>
        <w:t xml:space="preserve">at baseline </w:t>
      </w:r>
      <w:r w:rsidRPr="00355019">
        <w:t xml:space="preserve">between </w:t>
      </w:r>
      <w:r>
        <w:t>the three</w:t>
      </w:r>
      <w:r w:rsidRPr="00355019">
        <w:t xml:space="preserve"> groups</w:t>
      </w:r>
      <w:r w:rsidRPr="002D3D9C">
        <w:t xml:space="preserve">: </w:t>
      </w:r>
      <w:r>
        <w:t>M</w:t>
      </w:r>
      <w:r w:rsidRPr="002D3D9C">
        <w:t xml:space="preserve"> (n = </w:t>
      </w:r>
      <w:r>
        <w:t>23</w:t>
      </w:r>
      <w:r w:rsidRPr="002D3D9C">
        <w:t xml:space="preserve">), </w:t>
      </w:r>
      <w:r>
        <w:t xml:space="preserve">M+G </w:t>
      </w:r>
      <w:r w:rsidRPr="002D3D9C">
        <w:t xml:space="preserve">(n = </w:t>
      </w:r>
      <w:r>
        <w:t>1</w:t>
      </w:r>
      <w:r w:rsidRPr="002D3D9C">
        <w:t xml:space="preserve">9), and </w:t>
      </w:r>
      <w:r>
        <w:t>M+G+S</w:t>
      </w:r>
      <w:r w:rsidRPr="002D3D9C">
        <w:t xml:space="preserve"> (n = </w:t>
      </w:r>
      <w:r>
        <w:t>21</w:t>
      </w:r>
      <w:r w:rsidRPr="002D3D9C">
        <w:t>).</w:t>
      </w:r>
      <w:r w:rsidR="00B233DE">
        <w:t xml:space="preserve"> </w:t>
      </w:r>
      <w:r w:rsidRPr="002D3D9C">
        <w:t xml:space="preserve"> Values are mean ranks unless otherwise stated</w:t>
      </w:r>
      <w:r w:rsidR="00554CB4">
        <w:t xml:space="preserve">.  </w:t>
      </w:r>
      <w:r w:rsidRPr="002D3D9C">
        <w:t xml:space="preserve">Distributions of </w:t>
      </w:r>
      <w:r>
        <w:t>anxiety</w:t>
      </w:r>
      <w:r w:rsidRPr="002D3D9C">
        <w:t xml:space="preserve"> score </w:t>
      </w:r>
      <w:r>
        <w:t xml:space="preserve">at baseline </w:t>
      </w:r>
      <w:r w:rsidRPr="002D3D9C">
        <w:t>were not similar for all groups, as assessed by visual inspection of a boxplot</w:t>
      </w:r>
      <w:r>
        <w:t xml:space="preserve"> (see </w:t>
      </w:r>
      <w:r>
        <w:fldChar w:fldCharType="begin"/>
      </w:r>
      <w:r>
        <w:instrText xml:space="preserve"> REF _Ref526023628 \h </w:instrText>
      </w:r>
      <w:r>
        <w:fldChar w:fldCharType="separate"/>
      </w:r>
      <w:r w:rsidR="00574650">
        <w:t xml:space="preserve">Figure </w:t>
      </w:r>
      <w:r w:rsidR="00574650">
        <w:rPr>
          <w:noProof/>
        </w:rPr>
        <w:t>6</w:t>
      </w:r>
      <w:r w:rsidR="00574650">
        <w:t>.</w:t>
      </w:r>
      <w:r w:rsidR="00574650">
        <w:rPr>
          <w:noProof/>
        </w:rPr>
        <w:t>9</w:t>
      </w:r>
      <w:r>
        <w:fldChar w:fldCharType="end"/>
      </w:r>
      <w:r>
        <w:t>)</w:t>
      </w:r>
      <w:r w:rsidRPr="002D3D9C">
        <w:t>.</w:t>
      </w:r>
      <w:r w:rsidR="00554CB4">
        <w:t xml:space="preserve">  </w:t>
      </w:r>
      <w:bookmarkStart w:id="515" w:name="_Hlk529046402"/>
      <w:r>
        <w:t>The M+G+S</w:t>
      </w:r>
      <w:r w:rsidRPr="002D3D9C">
        <w:t xml:space="preserve"> </w:t>
      </w:r>
      <w:r>
        <w:t xml:space="preserve">group </w:t>
      </w:r>
      <w:r w:rsidRPr="002D3D9C">
        <w:t>(</w:t>
      </w:r>
      <w:r>
        <w:t>28</w:t>
      </w:r>
      <w:r w:rsidRPr="002D3D9C">
        <w:t>.</w:t>
      </w:r>
      <w:r>
        <w:t>31) recorded lower anxiety</w:t>
      </w:r>
      <w:r w:rsidRPr="002D3D9C">
        <w:t xml:space="preserve"> </w:t>
      </w:r>
      <w:r>
        <w:t>at baseline than</w:t>
      </w:r>
      <w:r w:rsidRPr="002D3D9C">
        <w:t xml:space="preserve"> </w:t>
      </w:r>
      <w:r>
        <w:t>M+G</w:t>
      </w:r>
      <w:r w:rsidRPr="002D3D9C">
        <w:t xml:space="preserve"> (</w:t>
      </w:r>
      <w:r>
        <w:t>30.39</w:t>
      </w:r>
      <w:r w:rsidRPr="002D3D9C">
        <w:t xml:space="preserve">) and </w:t>
      </w:r>
      <w:r>
        <w:t>M</w:t>
      </w:r>
      <w:r w:rsidRPr="003C4007">
        <w:t xml:space="preserve"> </w:t>
      </w:r>
      <w:r w:rsidRPr="002D3D9C">
        <w:t>(</w:t>
      </w:r>
      <w:r>
        <w:t>36.70</w:t>
      </w:r>
      <w:r w:rsidRPr="002D3D9C">
        <w:t>)</w:t>
      </w:r>
      <w:r>
        <w:t xml:space="preserve"> </w:t>
      </w:r>
      <w:r w:rsidRPr="002D3D9C">
        <w:t xml:space="preserve">groups, but the differences were not statistically significant, </w:t>
      </w:r>
      <w:r w:rsidRPr="003D5CF7">
        <w:rPr>
          <w:i/>
        </w:rPr>
        <w:t>χ</w:t>
      </w:r>
      <w:r w:rsidRPr="003D5CF7">
        <w:rPr>
          <w:i/>
          <w:vertAlign w:val="superscript"/>
        </w:rPr>
        <w:t>2</w:t>
      </w:r>
      <w:r w:rsidRPr="00355019">
        <w:t>(</w:t>
      </w:r>
      <w:r>
        <w:t>2</w:t>
      </w:r>
      <w:r w:rsidRPr="00355019">
        <w:t xml:space="preserve">) = </w:t>
      </w:r>
      <w:r>
        <w:t>2</w:t>
      </w:r>
      <w:r w:rsidRPr="00355019">
        <w:t>.</w:t>
      </w:r>
      <w:r>
        <w:t>536</w:t>
      </w:r>
      <w:r w:rsidRPr="00355019">
        <w:t>, </w:t>
      </w:r>
      <w:r w:rsidRPr="003D5CF7">
        <w:rPr>
          <w:i/>
        </w:rPr>
        <w:t>p</w:t>
      </w:r>
      <w:r w:rsidRPr="00355019">
        <w:t> = .</w:t>
      </w:r>
      <w:r>
        <w:t>281</w:t>
      </w:r>
      <w:r w:rsidRPr="00355019">
        <w:t>.</w:t>
      </w:r>
    </w:p>
    <w:p w14:paraId="28B6AED7" w14:textId="577F0A60" w:rsidR="00111E4D" w:rsidRDefault="00111E4D" w:rsidP="00111E4D">
      <w:pPr>
        <w:pStyle w:val="Caption"/>
        <w:keepNext/>
      </w:pPr>
      <w:bookmarkStart w:id="516" w:name="_Ref526023628"/>
      <w:bookmarkStart w:id="517" w:name="_Toc530684677"/>
      <w:bookmarkEnd w:id="515"/>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9</w:t>
      </w:r>
      <w:r w:rsidR="00371DCC">
        <w:fldChar w:fldCharType="end"/>
      </w:r>
      <w:bookmarkEnd w:id="516"/>
      <w:r>
        <w:t xml:space="preserve"> Baseline</w:t>
      </w:r>
      <w:r w:rsidRPr="00136E55">
        <w:t xml:space="preserve"> </w:t>
      </w:r>
      <w:r>
        <w:t>anxiety</w:t>
      </w:r>
      <w:r w:rsidRPr="00136E55">
        <w:t xml:space="preserve"> boxplot</w:t>
      </w:r>
      <w:bookmarkEnd w:id="517"/>
    </w:p>
    <w:p w14:paraId="035E3FC8" w14:textId="77777777" w:rsidR="00111E4D" w:rsidRDefault="00111E4D" w:rsidP="00111E4D">
      <w:r w:rsidRPr="000874B4">
        <w:rPr>
          <w:noProof/>
          <w:lang w:eastAsia="en-GB"/>
        </w:rPr>
        <w:drawing>
          <wp:inline distT="0" distB="0" distL="0" distR="0" wp14:anchorId="1932F2AA" wp14:editId="5294185B">
            <wp:extent cx="3780000" cy="2259600"/>
            <wp:effectExtent l="0" t="0" r="0" b="762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780000" cy="2259600"/>
                    </a:xfrm>
                    <a:prstGeom prst="rect">
                      <a:avLst/>
                    </a:prstGeom>
                  </pic:spPr>
                </pic:pic>
              </a:graphicData>
            </a:graphic>
          </wp:inline>
        </w:drawing>
      </w:r>
    </w:p>
    <w:p w14:paraId="51C18EAF" w14:textId="1F0DF390" w:rsidR="00111E4D" w:rsidRDefault="00111E4D" w:rsidP="00111E4D">
      <w:r w:rsidRPr="00567E8C">
        <w:rPr>
          <w:noProof/>
        </w:rPr>
        <w:t>A Kruskal-Wallis H test was conducted to determine if there were differences in</w:t>
      </w:r>
      <w:r w:rsidRPr="002D3D9C">
        <w:t xml:space="preserve"> </w:t>
      </w:r>
      <w:r>
        <w:t>anxiety</w:t>
      </w:r>
      <w:r w:rsidRPr="002D3D9C">
        <w:t xml:space="preserve"> between groups </w:t>
      </w:r>
      <w:r>
        <w:t xml:space="preserve">at follow-up </w:t>
      </w:r>
      <w:r w:rsidRPr="00355019">
        <w:t xml:space="preserve">between </w:t>
      </w:r>
      <w:r>
        <w:t>the three</w:t>
      </w:r>
      <w:r w:rsidRPr="00355019">
        <w:t xml:space="preserve"> groups</w:t>
      </w:r>
      <w:r w:rsidRPr="002D3D9C">
        <w:t xml:space="preserve">: </w:t>
      </w:r>
      <w:r>
        <w:t>M</w:t>
      </w:r>
      <w:r w:rsidRPr="002D3D9C">
        <w:t xml:space="preserve"> (n = </w:t>
      </w:r>
      <w:r>
        <w:t>23</w:t>
      </w:r>
      <w:r w:rsidRPr="002D3D9C">
        <w:t xml:space="preserve">), </w:t>
      </w:r>
      <w:r>
        <w:t xml:space="preserve">M+G </w:t>
      </w:r>
      <w:r w:rsidRPr="002D3D9C">
        <w:t xml:space="preserve">(n = </w:t>
      </w:r>
      <w:r>
        <w:t>1</w:t>
      </w:r>
      <w:r w:rsidRPr="002D3D9C">
        <w:t xml:space="preserve">9), and </w:t>
      </w:r>
      <w:r>
        <w:t>M+G+S</w:t>
      </w:r>
      <w:r w:rsidRPr="002D3D9C">
        <w:t xml:space="preserve"> (n = </w:t>
      </w:r>
      <w:r>
        <w:t>21</w:t>
      </w:r>
      <w:r w:rsidRPr="002D3D9C">
        <w:t xml:space="preserve">). </w:t>
      </w:r>
      <w:r w:rsidR="00B233DE">
        <w:t xml:space="preserve"> </w:t>
      </w:r>
      <w:r w:rsidRPr="002D3D9C">
        <w:t>Values are mean ranks unless otherwise stated</w:t>
      </w:r>
      <w:r w:rsidR="00554CB4">
        <w:t xml:space="preserve">.  </w:t>
      </w:r>
      <w:r w:rsidRPr="002D3D9C">
        <w:t xml:space="preserve">Distributions of </w:t>
      </w:r>
      <w:r>
        <w:t>anxiety</w:t>
      </w:r>
      <w:r w:rsidRPr="002D3D9C">
        <w:t xml:space="preserve"> score </w:t>
      </w:r>
      <w:r>
        <w:t xml:space="preserve">at follow-up </w:t>
      </w:r>
      <w:r w:rsidRPr="002D3D9C">
        <w:t>were not similar for all groups, as assessed by visual inspection of a boxplot</w:t>
      </w:r>
      <w:r>
        <w:t xml:space="preserve"> (see </w:t>
      </w:r>
      <w:r>
        <w:fldChar w:fldCharType="begin"/>
      </w:r>
      <w:r>
        <w:instrText xml:space="preserve"> REF _Ref526023605 \h </w:instrText>
      </w:r>
      <w:r>
        <w:fldChar w:fldCharType="separate"/>
      </w:r>
      <w:r w:rsidR="00574650">
        <w:t xml:space="preserve">Figure </w:t>
      </w:r>
      <w:r w:rsidR="00574650">
        <w:rPr>
          <w:noProof/>
        </w:rPr>
        <w:t>6</w:t>
      </w:r>
      <w:r w:rsidR="00574650">
        <w:t>.</w:t>
      </w:r>
      <w:r w:rsidR="00574650">
        <w:rPr>
          <w:noProof/>
        </w:rPr>
        <w:t>10</w:t>
      </w:r>
      <w:r>
        <w:fldChar w:fldCharType="end"/>
      </w:r>
      <w:r>
        <w:t>)</w:t>
      </w:r>
      <w:r w:rsidRPr="002D3D9C">
        <w:t xml:space="preserve">. </w:t>
      </w:r>
      <w:r>
        <w:t xml:space="preserve"> The M+G+S group</w:t>
      </w:r>
      <w:r w:rsidRPr="002D3D9C">
        <w:t xml:space="preserve"> (</w:t>
      </w:r>
      <w:r>
        <w:t>27</w:t>
      </w:r>
      <w:r w:rsidRPr="002D3D9C">
        <w:t>.</w:t>
      </w:r>
      <w:r>
        <w:t>90) recorded lower anxiety</w:t>
      </w:r>
      <w:r w:rsidRPr="002D3D9C">
        <w:t xml:space="preserve"> </w:t>
      </w:r>
      <w:r>
        <w:t>at follow-up than</w:t>
      </w:r>
      <w:r w:rsidRPr="002D3D9C">
        <w:t xml:space="preserve"> </w:t>
      </w:r>
      <w:r>
        <w:t>M+G</w:t>
      </w:r>
      <w:r w:rsidRPr="002D3D9C">
        <w:t xml:space="preserve"> (</w:t>
      </w:r>
      <w:r>
        <w:t>31.18</w:t>
      </w:r>
      <w:r w:rsidRPr="002D3D9C">
        <w:t xml:space="preserve">) and </w:t>
      </w:r>
      <w:r>
        <w:t>M</w:t>
      </w:r>
      <w:r w:rsidRPr="003C4007">
        <w:t xml:space="preserve"> </w:t>
      </w:r>
      <w:r w:rsidRPr="002D3D9C">
        <w:t>(</w:t>
      </w:r>
      <w:r>
        <w:t>36.41</w:t>
      </w:r>
      <w:r w:rsidRPr="002D3D9C">
        <w:t>)</w:t>
      </w:r>
      <w:r>
        <w:t xml:space="preserve"> </w:t>
      </w:r>
      <w:r w:rsidRPr="002D3D9C">
        <w:t xml:space="preserve">groups, but the differences were not statistically significant, </w:t>
      </w:r>
      <w:r w:rsidRPr="003D5CF7">
        <w:rPr>
          <w:i/>
        </w:rPr>
        <w:t>χ</w:t>
      </w:r>
      <w:r w:rsidRPr="003D5CF7">
        <w:rPr>
          <w:i/>
          <w:vertAlign w:val="superscript"/>
        </w:rPr>
        <w:t>2</w:t>
      </w:r>
      <w:r w:rsidRPr="00355019">
        <w:t>(</w:t>
      </w:r>
      <w:r>
        <w:t>2</w:t>
      </w:r>
      <w:r w:rsidRPr="00355019">
        <w:t xml:space="preserve">) = </w:t>
      </w:r>
      <w:r>
        <w:t>2</w:t>
      </w:r>
      <w:r w:rsidRPr="00355019">
        <w:t>.</w:t>
      </w:r>
      <w:r>
        <w:t>491</w:t>
      </w:r>
      <w:r w:rsidRPr="00355019">
        <w:t>, </w:t>
      </w:r>
      <w:r w:rsidRPr="003D5CF7">
        <w:rPr>
          <w:i/>
        </w:rPr>
        <w:t>p</w:t>
      </w:r>
      <w:r w:rsidRPr="00355019">
        <w:t> = .</w:t>
      </w:r>
      <w:r>
        <w:t>288</w:t>
      </w:r>
      <w:r w:rsidRPr="00355019">
        <w:t>.</w:t>
      </w:r>
    </w:p>
    <w:p w14:paraId="098B9DCE" w14:textId="1C03D641" w:rsidR="00111E4D" w:rsidRDefault="00111E4D" w:rsidP="00111E4D">
      <w:pPr>
        <w:pStyle w:val="Caption"/>
        <w:keepNext/>
      </w:pPr>
      <w:bookmarkStart w:id="518" w:name="_Ref526023605"/>
      <w:bookmarkStart w:id="519" w:name="_Toc530684678"/>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10</w:t>
      </w:r>
      <w:r w:rsidR="00371DCC">
        <w:fldChar w:fldCharType="end"/>
      </w:r>
      <w:bookmarkEnd w:id="518"/>
      <w:r w:rsidRPr="00205773">
        <w:t xml:space="preserve"> </w:t>
      </w:r>
      <w:r>
        <w:t>Follow-up</w:t>
      </w:r>
      <w:r w:rsidRPr="00136E55">
        <w:t xml:space="preserve"> </w:t>
      </w:r>
      <w:r>
        <w:t>anxiety</w:t>
      </w:r>
      <w:r w:rsidRPr="00136E55">
        <w:t xml:space="preserve"> boxplot</w:t>
      </w:r>
      <w:bookmarkEnd w:id="519"/>
    </w:p>
    <w:p w14:paraId="4C318D3A" w14:textId="77777777" w:rsidR="00111E4D" w:rsidRDefault="00111E4D" w:rsidP="00111E4D">
      <w:r w:rsidRPr="00205773">
        <w:rPr>
          <w:noProof/>
          <w:lang w:eastAsia="en-GB"/>
        </w:rPr>
        <w:drawing>
          <wp:inline distT="0" distB="0" distL="0" distR="0" wp14:anchorId="16774888" wp14:editId="79264B57">
            <wp:extent cx="3780000" cy="2259600"/>
            <wp:effectExtent l="0" t="0" r="0" b="762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780000" cy="2259600"/>
                    </a:xfrm>
                    <a:prstGeom prst="rect">
                      <a:avLst/>
                    </a:prstGeom>
                  </pic:spPr>
                </pic:pic>
              </a:graphicData>
            </a:graphic>
          </wp:inline>
        </w:drawing>
      </w:r>
    </w:p>
    <w:p w14:paraId="2403B60D" w14:textId="77777777" w:rsidR="00111E4D" w:rsidRDefault="00111E4D" w:rsidP="00111E4D">
      <w:pPr>
        <w:rPr>
          <w:noProof/>
        </w:rPr>
      </w:pPr>
      <w:r>
        <w:rPr>
          <w:noProof/>
        </w:rPr>
        <w:t xml:space="preserve">A series of sign tests were </w:t>
      </w:r>
      <w:r w:rsidRPr="00567E8C">
        <w:rPr>
          <w:noProof/>
        </w:rPr>
        <w:t>conducted</w:t>
      </w:r>
      <w:r>
        <w:rPr>
          <w:noProof/>
        </w:rPr>
        <w:t xml:space="preserve"> to determine if there were differences in anxiety scores between baseline, post-intervention and follow-up time points for each of the three groups.</w:t>
      </w:r>
    </w:p>
    <w:p w14:paraId="3D6BCB3E" w14:textId="796A6485" w:rsidR="00111E4D" w:rsidRDefault="00111E4D" w:rsidP="00111E4D">
      <w:r w:rsidRPr="00567E8C">
        <w:rPr>
          <w:noProof/>
        </w:rPr>
        <w:t>A sign test with continuity correction was used to</w:t>
      </w:r>
      <w:r w:rsidRPr="005C36F4">
        <w:t xml:space="preserve"> compare the differences in </w:t>
      </w:r>
      <w:r>
        <w:t>anxiety between baseline and follow-up for the M group</w:t>
      </w:r>
      <w:r w:rsidRPr="005C36F4">
        <w:t>.</w:t>
      </w:r>
      <w:r>
        <w:t xml:space="preserve">  </w:t>
      </w:r>
      <w:r w:rsidRPr="00F378B6">
        <w:t xml:space="preserve">Of the </w:t>
      </w:r>
      <w:r>
        <w:t>23</w:t>
      </w:r>
      <w:r w:rsidRPr="00F378B6">
        <w:t xml:space="preserve"> participants recruited</w:t>
      </w:r>
      <w:r>
        <w:t>,</w:t>
      </w:r>
      <w:r w:rsidRPr="00F378B6">
        <w:t xml:space="preserve"> </w:t>
      </w:r>
      <w:r>
        <w:t>13</w:t>
      </w:r>
      <w:r w:rsidRPr="00F378B6">
        <w:t xml:space="preserve"> </w:t>
      </w:r>
      <w:r>
        <w:t>decreased in anxiety score</w:t>
      </w:r>
      <w:r w:rsidRPr="00F378B6">
        <w:t>,</w:t>
      </w:r>
      <w:r>
        <w:t xml:space="preserve"> seven increased in anxiety score and three participants had no change</w:t>
      </w:r>
      <w:r w:rsidR="00554CB4">
        <w:t xml:space="preserve">.  </w:t>
      </w:r>
      <w:r w:rsidRPr="005C36F4">
        <w:t xml:space="preserve">Overall, participants </w:t>
      </w:r>
      <w:r>
        <w:t>decreased in anxiety from baseline (</w:t>
      </w:r>
      <w:proofErr w:type="spellStart"/>
      <w:r>
        <w:rPr>
          <w:i/>
        </w:rPr>
        <w:t>Mdn</w:t>
      </w:r>
      <w:proofErr w:type="spellEnd"/>
      <w:r>
        <w:rPr>
          <w:i/>
        </w:rPr>
        <w:t xml:space="preserve"> = </w:t>
      </w:r>
      <w:r>
        <w:t>5.00</w:t>
      </w:r>
      <w:r w:rsidRPr="005C36F4">
        <w:t xml:space="preserve">) </w:t>
      </w:r>
      <w:r>
        <w:t>to follow-up</w:t>
      </w:r>
      <w:r w:rsidRPr="005C36F4">
        <w:t xml:space="preserve"> (</w:t>
      </w:r>
      <w:proofErr w:type="spellStart"/>
      <w:r>
        <w:rPr>
          <w:i/>
        </w:rPr>
        <w:t>Mdn</w:t>
      </w:r>
      <w:proofErr w:type="spellEnd"/>
      <w:r>
        <w:rPr>
          <w:i/>
        </w:rPr>
        <w:t xml:space="preserve"> = </w:t>
      </w:r>
      <w:r>
        <w:t>4.00</w:t>
      </w:r>
      <w:r w:rsidRPr="005C36F4">
        <w:t xml:space="preserve">), a </w:t>
      </w:r>
      <w:r w:rsidRPr="002D0140">
        <w:t xml:space="preserve">statistically </w:t>
      </w:r>
      <w:r>
        <w:t>non-</w:t>
      </w:r>
      <w:r w:rsidRPr="005C36F4">
        <w:t xml:space="preserve">significant </w:t>
      </w:r>
      <w:r>
        <w:t>decrease</w:t>
      </w:r>
      <w:r w:rsidRPr="005C36F4">
        <w:t xml:space="preserve"> in the median of the differences of </w:t>
      </w:r>
      <w:r>
        <w:t>-1.00</w:t>
      </w:r>
      <w:r w:rsidRPr="005C36F4">
        <w:t>, </w:t>
      </w:r>
      <w:r w:rsidRPr="003D5CF7">
        <w:rPr>
          <w:i/>
        </w:rPr>
        <w:t>z</w:t>
      </w:r>
      <w:r w:rsidRPr="005C36F4">
        <w:t xml:space="preserve"> = </w:t>
      </w:r>
      <w:r>
        <w:t>-1.118</w:t>
      </w:r>
      <w:r w:rsidRPr="005C36F4">
        <w:t>, </w:t>
      </w:r>
      <w:r w:rsidRPr="003D5CF7">
        <w:rPr>
          <w:i/>
        </w:rPr>
        <w:t>p</w:t>
      </w:r>
      <w:r w:rsidRPr="005C36F4">
        <w:t xml:space="preserve"> = </w:t>
      </w:r>
      <w:r>
        <w:t>.264</w:t>
      </w:r>
      <w:r w:rsidRPr="005C36F4">
        <w:t>.</w:t>
      </w:r>
    </w:p>
    <w:p w14:paraId="6B60DE0A" w14:textId="77777777" w:rsidR="00111E4D" w:rsidRPr="002D0140" w:rsidRDefault="00111E4D" w:rsidP="00111E4D">
      <w:r w:rsidRPr="00567E8C">
        <w:rPr>
          <w:noProof/>
        </w:rPr>
        <w:t>A sign test with continuity correction was used to</w:t>
      </w:r>
      <w:r w:rsidRPr="005C36F4">
        <w:t xml:space="preserve"> compare the differences in </w:t>
      </w:r>
      <w:r>
        <w:t>anxiety between baseline and follow-up for the M+G group</w:t>
      </w:r>
      <w:r w:rsidRPr="005C36F4">
        <w:t xml:space="preserve">. </w:t>
      </w:r>
      <w:r>
        <w:t xml:space="preserve"> </w:t>
      </w:r>
      <w:r w:rsidRPr="002D0140">
        <w:t xml:space="preserve">Of the 19 participants recruited, </w:t>
      </w:r>
      <w:r>
        <w:t>nine</w:t>
      </w:r>
      <w:r w:rsidRPr="002D0140">
        <w:t xml:space="preserve"> decreased in </w:t>
      </w:r>
      <w:r>
        <w:t>anxiety score</w:t>
      </w:r>
      <w:r w:rsidRPr="002D0140">
        <w:t xml:space="preserve">, </w:t>
      </w:r>
      <w:r>
        <w:t>five</w:t>
      </w:r>
      <w:r w:rsidRPr="002D0140">
        <w:t xml:space="preserve"> increased </w:t>
      </w:r>
      <w:r w:rsidRPr="002D0140">
        <w:lastRenderedPageBreak/>
        <w:t xml:space="preserve">in </w:t>
      </w:r>
      <w:r>
        <w:t>anxiety score</w:t>
      </w:r>
      <w:r w:rsidRPr="002D0140">
        <w:t xml:space="preserve"> and </w:t>
      </w:r>
      <w:r>
        <w:t>five</w:t>
      </w:r>
      <w:r w:rsidRPr="002D0140">
        <w:t xml:space="preserve"> </w:t>
      </w:r>
      <w:r>
        <w:t>had</w:t>
      </w:r>
      <w:r w:rsidRPr="002D0140">
        <w:t xml:space="preserve"> no change.  Overall, participants decreased in </w:t>
      </w:r>
      <w:r>
        <w:t xml:space="preserve">anxiety </w:t>
      </w:r>
      <w:r w:rsidRPr="002D0140">
        <w:t>from baseline (</w:t>
      </w:r>
      <w:proofErr w:type="spellStart"/>
      <w:r>
        <w:rPr>
          <w:i/>
        </w:rPr>
        <w:t>Mdn</w:t>
      </w:r>
      <w:proofErr w:type="spellEnd"/>
      <w:r>
        <w:rPr>
          <w:i/>
        </w:rPr>
        <w:t xml:space="preserve"> = </w:t>
      </w:r>
      <w:r>
        <w:t>4.00</w:t>
      </w:r>
      <w:r w:rsidRPr="002D0140">
        <w:t xml:space="preserve">) to follow-up </w:t>
      </w:r>
      <w:r>
        <w:t>(</w:t>
      </w:r>
      <w:proofErr w:type="spellStart"/>
      <w:r>
        <w:rPr>
          <w:i/>
        </w:rPr>
        <w:t>Mdn</w:t>
      </w:r>
      <w:proofErr w:type="spellEnd"/>
      <w:r>
        <w:rPr>
          <w:i/>
        </w:rPr>
        <w:t xml:space="preserve"> = </w:t>
      </w:r>
      <w:r>
        <w:t>2.00</w:t>
      </w:r>
      <w:r w:rsidRPr="002D0140">
        <w:t xml:space="preserve">), a statistically </w:t>
      </w:r>
      <w:r>
        <w:t>non-</w:t>
      </w:r>
      <w:r w:rsidRPr="002D0140">
        <w:t xml:space="preserve">significant </w:t>
      </w:r>
      <w:r>
        <w:t>decrease</w:t>
      </w:r>
      <w:r w:rsidRPr="002D0140">
        <w:t xml:space="preserve"> in the median of the differences of </w:t>
      </w:r>
      <w:r>
        <w:t>.00</w:t>
      </w:r>
      <w:r w:rsidRPr="002D0140">
        <w:t>, </w:t>
      </w:r>
      <w:r w:rsidRPr="003D5CF7">
        <w:rPr>
          <w:i/>
        </w:rPr>
        <w:t>z</w:t>
      </w:r>
      <w:r w:rsidRPr="002D0140">
        <w:t> =</w:t>
      </w:r>
      <w:r>
        <w:t xml:space="preserve"> -.802</w:t>
      </w:r>
      <w:r w:rsidRPr="002D0140">
        <w:t>, </w:t>
      </w:r>
      <w:r w:rsidRPr="003D5CF7">
        <w:rPr>
          <w:i/>
        </w:rPr>
        <w:t>p</w:t>
      </w:r>
      <w:r w:rsidRPr="002D0140">
        <w:t xml:space="preserve"> = </w:t>
      </w:r>
      <w:r>
        <w:t>.424</w:t>
      </w:r>
      <w:r w:rsidRPr="002D0140">
        <w:t>.</w:t>
      </w:r>
    </w:p>
    <w:p w14:paraId="7E3321A3" w14:textId="77777777" w:rsidR="00111E4D" w:rsidRDefault="00111E4D" w:rsidP="00111E4D">
      <w:r w:rsidRPr="00567E8C">
        <w:rPr>
          <w:noProof/>
        </w:rPr>
        <w:t>A sign test with continuity correction was used to</w:t>
      </w:r>
      <w:r w:rsidRPr="005C36F4">
        <w:t xml:space="preserve"> compare the differences in </w:t>
      </w:r>
      <w:r>
        <w:t>anxiety between baseline and follow-up for the M+G+S group</w:t>
      </w:r>
      <w:r w:rsidRPr="005C36F4">
        <w:t xml:space="preserve">. </w:t>
      </w:r>
      <w:r>
        <w:t xml:space="preserve"> </w:t>
      </w:r>
      <w:r w:rsidRPr="002D0140">
        <w:t xml:space="preserve">Of the 21 participants recruited, </w:t>
      </w:r>
      <w:r>
        <w:t>11</w:t>
      </w:r>
      <w:r w:rsidRPr="002D0140">
        <w:t xml:space="preserve"> decreased in </w:t>
      </w:r>
      <w:r>
        <w:t>anxiety</w:t>
      </w:r>
      <w:r w:rsidRPr="002D0140">
        <w:t xml:space="preserve">, </w:t>
      </w:r>
      <w:r>
        <w:t>seven</w:t>
      </w:r>
      <w:r w:rsidRPr="002D0140">
        <w:t xml:space="preserve"> increased in </w:t>
      </w:r>
      <w:r>
        <w:t xml:space="preserve">anxiety </w:t>
      </w:r>
      <w:r w:rsidRPr="002D0140">
        <w:t xml:space="preserve">and three had no change at all.  Overall, participants decreased in </w:t>
      </w:r>
      <w:r>
        <w:t xml:space="preserve">anxiety </w:t>
      </w:r>
      <w:r w:rsidRPr="002D0140">
        <w:t>from baseline (</w:t>
      </w:r>
      <w:proofErr w:type="spellStart"/>
      <w:r>
        <w:rPr>
          <w:i/>
        </w:rPr>
        <w:t>Mdn</w:t>
      </w:r>
      <w:proofErr w:type="spellEnd"/>
      <w:r>
        <w:rPr>
          <w:i/>
        </w:rPr>
        <w:t xml:space="preserve"> = </w:t>
      </w:r>
      <w:r>
        <w:t>2.00</w:t>
      </w:r>
      <w:r w:rsidRPr="002D0140">
        <w:t>) to follow-up (</w:t>
      </w:r>
      <w:proofErr w:type="spellStart"/>
      <w:r>
        <w:rPr>
          <w:i/>
        </w:rPr>
        <w:t>Mdn</w:t>
      </w:r>
      <w:proofErr w:type="spellEnd"/>
      <w:r>
        <w:rPr>
          <w:i/>
        </w:rPr>
        <w:t xml:space="preserve"> = </w:t>
      </w:r>
      <w:r>
        <w:t>1.00</w:t>
      </w:r>
      <w:r w:rsidRPr="002D0140">
        <w:t xml:space="preserve">), a statistically </w:t>
      </w:r>
      <w:r>
        <w:t>non-</w:t>
      </w:r>
      <w:r w:rsidRPr="002D0140">
        <w:t xml:space="preserve">significant </w:t>
      </w:r>
      <w:r>
        <w:t>decrease</w:t>
      </w:r>
      <w:r w:rsidRPr="002D0140">
        <w:t xml:space="preserve"> in the median of the differences of </w:t>
      </w:r>
      <w:r>
        <w:t>-1.00</w:t>
      </w:r>
      <w:r w:rsidRPr="002D0140">
        <w:t>, </w:t>
      </w:r>
      <w:r w:rsidRPr="003D5CF7">
        <w:rPr>
          <w:i/>
        </w:rPr>
        <w:t>z</w:t>
      </w:r>
      <w:r w:rsidRPr="002D0140">
        <w:t xml:space="preserve"> = </w:t>
      </w:r>
      <w:r>
        <w:t>-.707,</w:t>
      </w:r>
      <w:r w:rsidRPr="002D0140">
        <w:t> </w:t>
      </w:r>
      <w:r w:rsidRPr="003D5CF7">
        <w:rPr>
          <w:i/>
        </w:rPr>
        <w:t>p</w:t>
      </w:r>
      <w:r w:rsidRPr="002D0140">
        <w:t xml:space="preserve"> = </w:t>
      </w:r>
      <w:r>
        <w:t>.481</w:t>
      </w:r>
      <w:r w:rsidRPr="002D0140">
        <w:t>.</w:t>
      </w:r>
    </w:p>
    <w:p w14:paraId="0A9E5BBC" w14:textId="4C313D34" w:rsidR="00111E4D" w:rsidRDefault="008468AC" w:rsidP="00111E4D">
      <w:pPr>
        <w:pStyle w:val="Heading3"/>
      </w:pPr>
      <w:bookmarkStart w:id="520" w:name="_Toc3538176"/>
      <w:r w:rsidRPr="008468AC">
        <w:t xml:space="preserve">Do Enhanced User Interface Features Make </w:t>
      </w:r>
      <w:r w:rsidR="008F5CAB">
        <w:t>MYLO</w:t>
      </w:r>
      <w:r w:rsidRPr="008468AC">
        <w:t xml:space="preserve"> a More the Acceptability Conversational Agent for Problem-Solving?</w:t>
      </w:r>
      <w:bookmarkEnd w:id="520"/>
    </w:p>
    <w:p w14:paraId="7831F5F6" w14:textId="77777777" w:rsidR="00111E4D" w:rsidRDefault="00111E4D" w:rsidP="00111E4D">
      <w:pPr>
        <w:pStyle w:val="Heading4"/>
      </w:pPr>
      <w:r>
        <w:t>Ratings of Resolution</w:t>
      </w:r>
    </w:p>
    <w:p w14:paraId="2FB5E730" w14:textId="24DCD7AF" w:rsidR="00111E4D" w:rsidRDefault="00111E4D" w:rsidP="00111E4D">
      <w:r w:rsidRPr="00567E8C">
        <w:rPr>
          <w:noProof/>
        </w:rPr>
        <w:t>A Kruskal-Wallis H test was conducted to determine if there were differences in</w:t>
      </w:r>
      <w:r w:rsidRPr="002D3D9C">
        <w:t xml:space="preserve"> </w:t>
      </w:r>
      <w:bookmarkStart w:id="521" w:name="_Hlk529373978"/>
      <w:r>
        <w:t>rating of resolution</w:t>
      </w:r>
      <w:r w:rsidRPr="002D3D9C">
        <w:t xml:space="preserve"> </w:t>
      </w:r>
      <w:bookmarkEnd w:id="521"/>
      <w:r w:rsidRPr="002D3D9C">
        <w:t xml:space="preserve">between groups </w:t>
      </w:r>
      <w:r>
        <w:t xml:space="preserve">at baseline </w:t>
      </w:r>
      <w:r w:rsidRPr="00355019">
        <w:t xml:space="preserve">between </w:t>
      </w:r>
      <w:r>
        <w:t>the three</w:t>
      </w:r>
      <w:r w:rsidRPr="00355019">
        <w:t xml:space="preserve"> groups</w:t>
      </w:r>
      <w:r w:rsidRPr="002D3D9C">
        <w:t xml:space="preserve">: </w:t>
      </w:r>
      <w:r>
        <w:t>M</w:t>
      </w:r>
      <w:r w:rsidRPr="002D3D9C">
        <w:t xml:space="preserve"> (n = </w:t>
      </w:r>
      <w:r>
        <w:t>23</w:t>
      </w:r>
      <w:r w:rsidRPr="002D3D9C">
        <w:t xml:space="preserve">), </w:t>
      </w:r>
      <w:r>
        <w:t>M+G</w:t>
      </w:r>
      <w:r w:rsidRPr="002D3D9C">
        <w:t xml:space="preserve"> (n = </w:t>
      </w:r>
      <w:r>
        <w:t>1</w:t>
      </w:r>
      <w:r w:rsidRPr="002D3D9C">
        <w:t xml:space="preserve">9), and </w:t>
      </w:r>
      <w:r>
        <w:t>M+G+S</w:t>
      </w:r>
      <w:r w:rsidRPr="002D3D9C">
        <w:t xml:space="preserve"> (n = </w:t>
      </w:r>
      <w:r>
        <w:t>21</w:t>
      </w:r>
      <w:r w:rsidRPr="002D3D9C">
        <w:t xml:space="preserve">). </w:t>
      </w:r>
      <w:r>
        <w:t xml:space="preserve"> </w:t>
      </w:r>
      <w:r w:rsidRPr="002D3D9C">
        <w:t xml:space="preserve">Distributions of </w:t>
      </w:r>
      <w:r>
        <w:t>rating of resolution</w:t>
      </w:r>
      <w:r w:rsidRPr="002D3D9C">
        <w:t xml:space="preserve"> </w:t>
      </w:r>
      <w:r>
        <w:t xml:space="preserve">at post-intervention </w:t>
      </w:r>
      <w:r w:rsidRPr="002D3D9C">
        <w:t>were not similar for all groups, as assessed by visual inspection of a boxplot</w:t>
      </w:r>
      <w:r>
        <w:t xml:space="preserve"> (see </w:t>
      </w:r>
      <w:r>
        <w:fldChar w:fldCharType="begin"/>
      </w:r>
      <w:r>
        <w:instrText xml:space="preserve"> REF _Ref526071530 \h </w:instrText>
      </w:r>
      <w:r>
        <w:fldChar w:fldCharType="separate"/>
      </w:r>
      <w:r w:rsidR="00574650">
        <w:t xml:space="preserve">Figure </w:t>
      </w:r>
      <w:r w:rsidR="00574650">
        <w:rPr>
          <w:noProof/>
        </w:rPr>
        <w:t>6</w:t>
      </w:r>
      <w:r w:rsidR="00574650">
        <w:t>.</w:t>
      </w:r>
      <w:r w:rsidR="00574650">
        <w:rPr>
          <w:noProof/>
        </w:rPr>
        <w:t>11</w:t>
      </w:r>
      <w:r>
        <w:fldChar w:fldCharType="end"/>
      </w:r>
      <w:r>
        <w:t>)</w:t>
      </w:r>
      <w:r w:rsidRPr="002D3D9C">
        <w:t>.</w:t>
      </w:r>
      <w:r w:rsidR="00554CB4">
        <w:t xml:space="preserve">  </w:t>
      </w:r>
      <w:r w:rsidRPr="009D3AEC">
        <w:t xml:space="preserve">The mean rank of </w:t>
      </w:r>
      <w:r>
        <w:t>baseline rating of resolution</w:t>
      </w:r>
      <w:r w:rsidRPr="002D3D9C">
        <w:t xml:space="preserve"> </w:t>
      </w:r>
      <w:r w:rsidRPr="009D3AEC">
        <w:t xml:space="preserve">scores was not statistically significantly different between groups, </w:t>
      </w:r>
      <w:proofErr w:type="gramStart"/>
      <w:r w:rsidRPr="003D5CF7">
        <w:rPr>
          <w:i/>
        </w:rPr>
        <w:t>χ</w:t>
      </w:r>
      <w:r w:rsidRPr="003D5CF7">
        <w:rPr>
          <w:i/>
          <w:vertAlign w:val="superscript"/>
        </w:rPr>
        <w:t>2</w:t>
      </w:r>
      <w:r w:rsidRPr="00355019">
        <w:t>(</w:t>
      </w:r>
      <w:proofErr w:type="gramEnd"/>
      <w:r>
        <w:t>2</w:t>
      </w:r>
      <w:r w:rsidRPr="00355019">
        <w:t xml:space="preserve">) = </w:t>
      </w:r>
      <w:r>
        <w:t>1</w:t>
      </w:r>
      <w:r w:rsidRPr="00355019">
        <w:t>.</w:t>
      </w:r>
      <w:r>
        <w:t>387</w:t>
      </w:r>
      <w:r w:rsidRPr="00355019">
        <w:t>, </w:t>
      </w:r>
      <w:r w:rsidRPr="003D5CF7">
        <w:rPr>
          <w:i/>
        </w:rPr>
        <w:t>p</w:t>
      </w:r>
      <w:r w:rsidRPr="00355019">
        <w:t> = .</w:t>
      </w:r>
      <w:r>
        <w:t>500</w:t>
      </w:r>
      <w:r w:rsidRPr="009D3AEC">
        <w:t>.</w:t>
      </w:r>
    </w:p>
    <w:p w14:paraId="7072E9FC" w14:textId="491C507B" w:rsidR="00111E4D" w:rsidRDefault="00111E4D" w:rsidP="00111E4D">
      <w:pPr>
        <w:pStyle w:val="Caption"/>
        <w:keepNext/>
      </w:pPr>
      <w:bookmarkStart w:id="522" w:name="_Ref526071530"/>
      <w:bookmarkStart w:id="523" w:name="_Toc530684679"/>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11</w:t>
      </w:r>
      <w:r w:rsidR="00371DCC">
        <w:fldChar w:fldCharType="end"/>
      </w:r>
      <w:bookmarkEnd w:id="522"/>
      <w:r>
        <w:t xml:space="preserve"> Post-intervention</w:t>
      </w:r>
      <w:r w:rsidRPr="00011A59">
        <w:t xml:space="preserve"> </w:t>
      </w:r>
      <w:r>
        <w:t xml:space="preserve">rating of resolution </w:t>
      </w:r>
      <w:r w:rsidRPr="00011A59">
        <w:t>boxplot</w:t>
      </w:r>
      <w:bookmarkEnd w:id="523"/>
    </w:p>
    <w:p w14:paraId="038768AE" w14:textId="77777777" w:rsidR="00111E4D" w:rsidRDefault="00111E4D" w:rsidP="00111E4D">
      <w:r w:rsidRPr="00D57837">
        <w:rPr>
          <w:noProof/>
          <w:lang w:eastAsia="en-GB"/>
        </w:rPr>
        <w:drawing>
          <wp:inline distT="0" distB="0" distL="0" distR="0" wp14:anchorId="4D2542D0" wp14:editId="2981094B">
            <wp:extent cx="3780000" cy="2259600"/>
            <wp:effectExtent l="0" t="0" r="0" b="762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780000" cy="2259600"/>
                    </a:xfrm>
                    <a:prstGeom prst="rect">
                      <a:avLst/>
                    </a:prstGeom>
                  </pic:spPr>
                </pic:pic>
              </a:graphicData>
            </a:graphic>
          </wp:inline>
        </w:drawing>
      </w:r>
      <w:r w:rsidRPr="00D57837">
        <w:rPr>
          <w:noProof/>
        </w:rPr>
        <w:t xml:space="preserve"> </w:t>
      </w:r>
    </w:p>
    <w:p w14:paraId="7CC77FB3" w14:textId="6F2D024C" w:rsidR="00111E4D" w:rsidRDefault="00111E4D" w:rsidP="00111E4D">
      <w:r w:rsidRPr="00567E8C">
        <w:rPr>
          <w:noProof/>
        </w:rPr>
        <w:t>A Kruskal-Wallis H test was conducted to determine if there were differences in</w:t>
      </w:r>
      <w:r w:rsidRPr="002D3D9C">
        <w:t xml:space="preserve"> </w:t>
      </w:r>
      <w:r>
        <w:t>rating of resolution</w:t>
      </w:r>
      <w:r w:rsidRPr="002D3D9C">
        <w:t xml:space="preserve"> between groups </w:t>
      </w:r>
      <w:r>
        <w:t xml:space="preserve">at follow-up </w:t>
      </w:r>
      <w:r w:rsidRPr="00355019">
        <w:t xml:space="preserve">between </w:t>
      </w:r>
      <w:r>
        <w:t>the three</w:t>
      </w:r>
      <w:r w:rsidRPr="00355019">
        <w:t xml:space="preserve"> groups</w:t>
      </w:r>
      <w:r w:rsidRPr="002D3D9C">
        <w:t xml:space="preserve">: </w:t>
      </w:r>
      <w:r>
        <w:t>MYLO</w:t>
      </w:r>
      <w:r w:rsidRPr="002D3D9C">
        <w:t xml:space="preserve"> (n = </w:t>
      </w:r>
      <w:r>
        <w:t>23</w:t>
      </w:r>
      <w:r w:rsidRPr="002D3D9C">
        <w:t xml:space="preserve">), </w:t>
      </w:r>
      <w:r>
        <w:t>MYLO Guided</w:t>
      </w:r>
      <w:r w:rsidRPr="002D3D9C">
        <w:t xml:space="preserve"> (n = </w:t>
      </w:r>
      <w:r>
        <w:t>1</w:t>
      </w:r>
      <w:r w:rsidRPr="002D3D9C">
        <w:t xml:space="preserve">9), and MYLO Guided with Speech (n = </w:t>
      </w:r>
      <w:r>
        <w:t>21</w:t>
      </w:r>
      <w:r w:rsidRPr="002D3D9C">
        <w:t xml:space="preserve">). </w:t>
      </w:r>
      <w:r>
        <w:t xml:space="preserve"> </w:t>
      </w:r>
      <w:r w:rsidRPr="002D3D9C">
        <w:t xml:space="preserve">Distributions of </w:t>
      </w:r>
      <w:r>
        <w:t>rating of resolution</w:t>
      </w:r>
      <w:r w:rsidRPr="002D3D9C">
        <w:t xml:space="preserve"> </w:t>
      </w:r>
      <w:r>
        <w:t xml:space="preserve">at follow-up </w:t>
      </w:r>
      <w:r w:rsidRPr="002D3D9C">
        <w:t>were not similar for all groups, as assessed by visual inspection of a boxplot</w:t>
      </w:r>
      <w:r>
        <w:t xml:space="preserve"> (see </w:t>
      </w:r>
      <w:r>
        <w:fldChar w:fldCharType="begin"/>
      </w:r>
      <w:r>
        <w:instrText xml:space="preserve"> REF _Ref526072489 \h </w:instrText>
      </w:r>
      <w:r>
        <w:fldChar w:fldCharType="separate"/>
      </w:r>
      <w:r w:rsidR="00574650">
        <w:t xml:space="preserve">Figure </w:t>
      </w:r>
      <w:r w:rsidR="00574650">
        <w:rPr>
          <w:noProof/>
        </w:rPr>
        <w:t>6</w:t>
      </w:r>
      <w:r w:rsidR="00574650">
        <w:t>.</w:t>
      </w:r>
      <w:r w:rsidR="00574650">
        <w:rPr>
          <w:noProof/>
        </w:rPr>
        <w:t>12</w:t>
      </w:r>
      <w:r>
        <w:fldChar w:fldCharType="end"/>
      </w:r>
      <w:r>
        <w:t>)</w:t>
      </w:r>
      <w:r w:rsidRPr="002D3D9C">
        <w:t xml:space="preserve">. </w:t>
      </w:r>
      <w:r>
        <w:t xml:space="preserve"> </w:t>
      </w:r>
      <w:r w:rsidRPr="009D3AEC">
        <w:t xml:space="preserve">The mean rank of </w:t>
      </w:r>
      <w:r>
        <w:t>follow-up rating of resolution</w:t>
      </w:r>
      <w:r w:rsidRPr="002D3D9C">
        <w:t xml:space="preserve"> </w:t>
      </w:r>
      <w:r w:rsidRPr="009D3AEC">
        <w:t xml:space="preserve">scores was not statistically significantly different between groups, </w:t>
      </w:r>
      <w:proofErr w:type="gramStart"/>
      <w:r w:rsidRPr="002D3D9C">
        <w:t>χ</w:t>
      </w:r>
      <w:r w:rsidRPr="003D5CF7">
        <w:rPr>
          <w:i/>
          <w:vertAlign w:val="superscript"/>
        </w:rPr>
        <w:t>2</w:t>
      </w:r>
      <w:r w:rsidRPr="00355019">
        <w:t>(</w:t>
      </w:r>
      <w:proofErr w:type="gramEnd"/>
      <w:r>
        <w:t>2</w:t>
      </w:r>
      <w:r w:rsidRPr="00355019">
        <w:t xml:space="preserve">) = </w:t>
      </w:r>
      <w:r>
        <w:t>1</w:t>
      </w:r>
      <w:r w:rsidRPr="00355019">
        <w:t>.</w:t>
      </w:r>
      <w:r>
        <w:t>611</w:t>
      </w:r>
      <w:r w:rsidRPr="00355019">
        <w:t>, </w:t>
      </w:r>
      <w:r w:rsidRPr="003D5CF7">
        <w:rPr>
          <w:i/>
        </w:rPr>
        <w:t>p</w:t>
      </w:r>
      <w:r w:rsidRPr="00355019">
        <w:t> = .</w:t>
      </w:r>
      <w:r>
        <w:t>447</w:t>
      </w:r>
      <w:r w:rsidRPr="00355019">
        <w:t>.</w:t>
      </w:r>
    </w:p>
    <w:p w14:paraId="0C7AE17A" w14:textId="5E6CA945" w:rsidR="00111E4D" w:rsidRDefault="00111E4D" w:rsidP="00111E4D">
      <w:pPr>
        <w:pStyle w:val="Caption"/>
        <w:keepNext/>
      </w:pPr>
      <w:bookmarkStart w:id="524" w:name="_Ref526072489"/>
      <w:bookmarkStart w:id="525" w:name="_Toc530684680"/>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12</w:t>
      </w:r>
      <w:r w:rsidR="00371DCC">
        <w:fldChar w:fldCharType="end"/>
      </w:r>
      <w:bookmarkEnd w:id="524"/>
      <w:r>
        <w:t xml:space="preserve"> </w:t>
      </w:r>
      <w:r w:rsidRPr="002864DC">
        <w:t xml:space="preserve">Follow-up </w:t>
      </w:r>
      <w:r>
        <w:t>rating of resolution</w:t>
      </w:r>
      <w:r w:rsidRPr="002864DC">
        <w:t xml:space="preserve"> boxplot</w:t>
      </w:r>
      <w:bookmarkEnd w:id="525"/>
    </w:p>
    <w:p w14:paraId="6128CB14" w14:textId="77777777" w:rsidR="00111E4D" w:rsidRDefault="00111E4D" w:rsidP="00111E4D">
      <w:r w:rsidRPr="00614246">
        <w:rPr>
          <w:noProof/>
          <w:lang w:eastAsia="en-GB"/>
        </w:rPr>
        <w:drawing>
          <wp:inline distT="0" distB="0" distL="0" distR="0" wp14:anchorId="564E5305" wp14:editId="15D3B951">
            <wp:extent cx="3780000" cy="2259600"/>
            <wp:effectExtent l="0" t="0" r="0" b="762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80000" cy="2259600"/>
                    </a:xfrm>
                    <a:prstGeom prst="rect">
                      <a:avLst/>
                    </a:prstGeom>
                  </pic:spPr>
                </pic:pic>
              </a:graphicData>
            </a:graphic>
          </wp:inline>
        </w:drawing>
      </w:r>
    </w:p>
    <w:p w14:paraId="75039C39" w14:textId="77777777" w:rsidR="00111E4D" w:rsidRDefault="00111E4D" w:rsidP="00111E4D">
      <w:pPr>
        <w:rPr>
          <w:noProof/>
        </w:rPr>
      </w:pPr>
      <w:r>
        <w:rPr>
          <w:noProof/>
        </w:rPr>
        <w:t xml:space="preserve">A series of sign tests were </w:t>
      </w:r>
      <w:r w:rsidRPr="00567E8C">
        <w:rPr>
          <w:noProof/>
        </w:rPr>
        <w:t>conducted</w:t>
      </w:r>
      <w:r>
        <w:rPr>
          <w:noProof/>
        </w:rPr>
        <w:t xml:space="preserve"> to determine if there were differences in rating of resolution scores between baseline, post-intervention and follow-up time points for each of the three groups.</w:t>
      </w:r>
    </w:p>
    <w:p w14:paraId="268D2E5F" w14:textId="527AA016" w:rsidR="00111E4D" w:rsidRDefault="00111E4D" w:rsidP="00111E4D">
      <w:r w:rsidRPr="00567E8C">
        <w:rPr>
          <w:noProof/>
        </w:rPr>
        <w:t>A sign test with continuity correction was used to</w:t>
      </w:r>
      <w:r w:rsidRPr="005C36F4">
        <w:t xml:space="preserve"> compare the differences in </w:t>
      </w:r>
      <w:r>
        <w:t>rating of resolution between baseline and follow-up for the M group</w:t>
      </w:r>
      <w:r w:rsidRPr="005C36F4">
        <w:t xml:space="preserve">. </w:t>
      </w:r>
      <w:r>
        <w:t xml:space="preserve"> </w:t>
      </w:r>
      <w:r w:rsidRPr="00F378B6">
        <w:t xml:space="preserve">Of the </w:t>
      </w:r>
      <w:r>
        <w:t>23</w:t>
      </w:r>
      <w:r w:rsidRPr="00F378B6">
        <w:t xml:space="preserve"> participants recruited</w:t>
      </w:r>
      <w:r>
        <w:t>,</w:t>
      </w:r>
      <w:r w:rsidRPr="00F378B6">
        <w:t xml:space="preserve"> </w:t>
      </w:r>
      <w:r>
        <w:t>14 increased in rating of resolution score, one</w:t>
      </w:r>
      <w:r w:rsidRPr="00F378B6">
        <w:t xml:space="preserve"> </w:t>
      </w:r>
      <w:r>
        <w:t>decreased in rating of resolution score</w:t>
      </w:r>
      <w:r w:rsidRPr="00F378B6">
        <w:t>,</w:t>
      </w:r>
      <w:r>
        <w:t xml:space="preserve"> and eight participants had no change</w:t>
      </w:r>
      <w:r w:rsidR="00554CB4">
        <w:t xml:space="preserve">.  </w:t>
      </w:r>
      <w:r w:rsidRPr="005C36F4">
        <w:t xml:space="preserve">Overall, participants </w:t>
      </w:r>
      <w:r>
        <w:t>decreased in rating of resolution from baseline (.00</w:t>
      </w:r>
      <w:r w:rsidRPr="005C36F4">
        <w:t xml:space="preserve">) </w:t>
      </w:r>
      <w:r>
        <w:t>to follow-up</w:t>
      </w:r>
      <w:r w:rsidRPr="005C36F4">
        <w:t xml:space="preserve"> (</w:t>
      </w:r>
      <w:r>
        <w:t>5.00</w:t>
      </w:r>
      <w:r w:rsidRPr="005C36F4">
        <w:t xml:space="preserve">), a significant </w:t>
      </w:r>
      <w:r>
        <w:t>decrease</w:t>
      </w:r>
      <w:r w:rsidRPr="005C36F4">
        <w:t xml:space="preserve"> in the median of the differences of </w:t>
      </w:r>
      <w:r>
        <w:t>2.00</w:t>
      </w:r>
      <w:r w:rsidRPr="005C36F4">
        <w:t>, </w:t>
      </w:r>
      <w:r w:rsidRPr="003D5CF7">
        <w:rPr>
          <w:i/>
        </w:rPr>
        <w:t>z</w:t>
      </w:r>
      <w:r w:rsidRPr="005C36F4">
        <w:t xml:space="preserve"> = </w:t>
      </w:r>
      <w:r>
        <w:t>3.098</w:t>
      </w:r>
      <w:r w:rsidRPr="005C36F4">
        <w:t>, </w:t>
      </w:r>
      <w:r w:rsidRPr="003D5CF7">
        <w:rPr>
          <w:i/>
        </w:rPr>
        <w:t>p</w:t>
      </w:r>
      <w:r w:rsidRPr="005C36F4">
        <w:t xml:space="preserve"> = </w:t>
      </w:r>
      <w:r>
        <w:t>.002</w:t>
      </w:r>
      <w:r w:rsidRPr="005C36F4">
        <w:t>.</w:t>
      </w:r>
    </w:p>
    <w:p w14:paraId="1138A923" w14:textId="77777777" w:rsidR="00111E4D" w:rsidRPr="002D0140" w:rsidRDefault="00111E4D" w:rsidP="00111E4D">
      <w:r w:rsidRPr="00567E8C">
        <w:rPr>
          <w:noProof/>
        </w:rPr>
        <w:t>A sign test with continuity correction was used to</w:t>
      </w:r>
      <w:r w:rsidRPr="005C36F4">
        <w:t xml:space="preserve"> compare the differences in </w:t>
      </w:r>
      <w:r>
        <w:t>rating of resolution between baseline and follow-up for the M+G group</w:t>
      </w:r>
      <w:r w:rsidRPr="005C36F4">
        <w:t>.</w:t>
      </w:r>
      <w:r>
        <w:t xml:space="preserve">  </w:t>
      </w:r>
      <w:r w:rsidRPr="002D0140">
        <w:t xml:space="preserve">Of the 19 participants recruited, </w:t>
      </w:r>
      <w:r>
        <w:t>11</w:t>
      </w:r>
      <w:r w:rsidRPr="002D0140">
        <w:t xml:space="preserve"> increased in </w:t>
      </w:r>
      <w:r>
        <w:t>rating of resolution score,</w:t>
      </w:r>
      <w:r w:rsidRPr="002D0140">
        <w:t xml:space="preserve"> </w:t>
      </w:r>
      <w:r>
        <w:t>three</w:t>
      </w:r>
      <w:r w:rsidRPr="002D0140">
        <w:t xml:space="preserve"> decreased in </w:t>
      </w:r>
      <w:r>
        <w:t>rating of resolution score</w:t>
      </w:r>
      <w:r w:rsidRPr="002D0140">
        <w:t xml:space="preserve">, and </w:t>
      </w:r>
      <w:r>
        <w:t>five</w:t>
      </w:r>
      <w:r w:rsidRPr="002D0140">
        <w:t xml:space="preserve"> </w:t>
      </w:r>
      <w:r>
        <w:t>had</w:t>
      </w:r>
      <w:r w:rsidRPr="002D0140">
        <w:t xml:space="preserve"> no change.  Overall, participants decreased in </w:t>
      </w:r>
      <w:r>
        <w:t xml:space="preserve">rating of resolution </w:t>
      </w:r>
      <w:r w:rsidRPr="002D0140">
        <w:t>from baseline (</w:t>
      </w:r>
      <w:r>
        <w:t>2.00</w:t>
      </w:r>
      <w:r w:rsidRPr="002D0140">
        <w:t xml:space="preserve">) to follow-up </w:t>
      </w:r>
      <w:r>
        <w:t>(5.00</w:t>
      </w:r>
      <w:r w:rsidRPr="002D0140">
        <w:t xml:space="preserve">), a </w:t>
      </w:r>
      <w:r>
        <w:t>non-</w:t>
      </w:r>
      <w:r w:rsidRPr="002D0140">
        <w:t xml:space="preserve">statistically significant </w:t>
      </w:r>
      <w:r>
        <w:t>decrease</w:t>
      </w:r>
      <w:r w:rsidRPr="002D0140">
        <w:t xml:space="preserve"> in the median of the differences of </w:t>
      </w:r>
      <w:r>
        <w:t>1.00</w:t>
      </w:r>
      <w:r w:rsidRPr="002D0140">
        <w:t>, </w:t>
      </w:r>
      <w:r w:rsidRPr="003D5CF7">
        <w:rPr>
          <w:i/>
        </w:rPr>
        <w:t>z</w:t>
      </w:r>
      <w:r w:rsidRPr="002D0140">
        <w:t> </w:t>
      </w:r>
      <w:r>
        <w:t>= 1.871</w:t>
      </w:r>
      <w:r w:rsidRPr="002D0140">
        <w:t>, </w:t>
      </w:r>
      <w:r w:rsidRPr="003D5CF7">
        <w:rPr>
          <w:i/>
        </w:rPr>
        <w:t>p</w:t>
      </w:r>
      <w:r w:rsidRPr="002D0140">
        <w:t xml:space="preserve"> = </w:t>
      </w:r>
      <w:r>
        <w:t>061</w:t>
      </w:r>
      <w:r w:rsidRPr="002D0140">
        <w:t>.</w:t>
      </w:r>
    </w:p>
    <w:p w14:paraId="45BD6726" w14:textId="77777777" w:rsidR="00111E4D" w:rsidRDefault="00111E4D" w:rsidP="00111E4D">
      <w:r w:rsidRPr="00567E8C">
        <w:rPr>
          <w:noProof/>
        </w:rPr>
        <w:t>A sign test with continuity correction was used to</w:t>
      </w:r>
      <w:r w:rsidRPr="005C36F4">
        <w:t xml:space="preserve"> compare the differences in </w:t>
      </w:r>
      <w:r>
        <w:t>rating of resolution between baseline and follow-up for the M+G+S group</w:t>
      </w:r>
      <w:r w:rsidRPr="005C36F4">
        <w:t>.</w:t>
      </w:r>
      <w:r>
        <w:t xml:space="preserve">  </w:t>
      </w:r>
      <w:r w:rsidRPr="002D0140">
        <w:t xml:space="preserve">Of the 21 participants recruited, </w:t>
      </w:r>
      <w:r>
        <w:t>10</w:t>
      </w:r>
      <w:r w:rsidRPr="002D0140">
        <w:t xml:space="preserve"> increased in </w:t>
      </w:r>
      <w:r>
        <w:t>rating of resolution, five</w:t>
      </w:r>
      <w:r w:rsidRPr="002D0140">
        <w:t xml:space="preserve"> decreased in </w:t>
      </w:r>
      <w:r>
        <w:t>rating of resolution</w:t>
      </w:r>
      <w:r w:rsidRPr="002D0140">
        <w:t xml:space="preserve">, and </w:t>
      </w:r>
      <w:r>
        <w:t>six</w:t>
      </w:r>
      <w:r w:rsidRPr="002D0140">
        <w:t xml:space="preserve"> had no change at all.  Overall, participants decreased in </w:t>
      </w:r>
      <w:r>
        <w:t xml:space="preserve">rating of resolution </w:t>
      </w:r>
      <w:r w:rsidRPr="002D0140">
        <w:t>from baseline (</w:t>
      </w:r>
      <w:r>
        <w:t>.00</w:t>
      </w:r>
      <w:r w:rsidRPr="002D0140">
        <w:t>) to follow-up (</w:t>
      </w:r>
      <w:r>
        <w:t>3.00</w:t>
      </w:r>
      <w:r w:rsidRPr="002D0140">
        <w:t xml:space="preserve">), a statistically </w:t>
      </w:r>
      <w:r>
        <w:t>non-</w:t>
      </w:r>
      <w:r w:rsidRPr="002D0140">
        <w:t xml:space="preserve">significant </w:t>
      </w:r>
      <w:r>
        <w:t>decrease</w:t>
      </w:r>
      <w:r w:rsidRPr="002D0140">
        <w:t xml:space="preserve"> in the median of the differences of </w:t>
      </w:r>
      <w:r>
        <w:t>.00</w:t>
      </w:r>
      <w:r w:rsidRPr="002D0140">
        <w:t>, </w:t>
      </w:r>
      <w:r w:rsidRPr="003D5CF7">
        <w:rPr>
          <w:i/>
        </w:rPr>
        <w:t>z</w:t>
      </w:r>
      <w:r w:rsidRPr="002D0140">
        <w:t xml:space="preserve"> = </w:t>
      </w:r>
      <w:r>
        <w:t>1.033,</w:t>
      </w:r>
      <w:r w:rsidRPr="002D0140">
        <w:t> </w:t>
      </w:r>
      <w:r w:rsidRPr="003D5CF7">
        <w:rPr>
          <w:i/>
        </w:rPr>
        <w:t>p</w:t>
      </w:r>
      <w:r w:rsidRPr="002D0140">
        <w:t xml:space="preserve"> = </w:t>
      </w:r>
      <w:r>
        <w:t>.302</w:t>
      </w:r>
      <w:r w:rsidRPr="002D0140">
        <w:t>.</w:t>
      </w:r>
    </w:p>
    <w:p w14:paraId="0E2B08EE" w14:textId="77777777" w:rsidR="00111E4D" w:rsidRDefault="00111E4D" w:rsidP="00111E4D">
      <w:pPr>
        <w:pStyle w:val="Heading4"/>
      </w:pPr>
      <w:r>
        <w:t>Net Promoter Score</w:t>
      </w:r>
    </w:p>
    <w:p w14:paraId="24024A0F" w14:textId="5DE6DE68" w:rsidR="00111E4D" w:rsidRDefault="00111E4D" w:rsidP="00111E4D">
      <w:r w:rsidRPr="00567E8C">
        <w:rPr>
          <w:noProof/>
        </w:rPr>
        <w:t>A Kruskal-Wallis H test was conducted to determine if there were differences in</w:t>
      </w:r>
      <w:r w:rsidRPr="002D3D9C">
        <w:t xml:space="preserve"> </w:t>
      </w:r>
      <w:r>
        <w:t>net promoter score</w:t>
      </w:r>
      <w:r w:rsidRPr="002D3D9C">
        <w:t xml:space="preserve"> between groups </w:t>
      </w:r>
      <w:r>
        <w:t xml:space="preserve">at post-intervention </w:t>
      </w:r>
      <w:r w:rsidRPr="00355019">
        <w:t xml:space="preserve">between </w:t>
      </w:r>
      <w:r>
        <w:t>the three</w:t>
      </w:r>
      <w:r w:rsidRPr="00355019">
        <w:t xml:space="preserve"> groups</w:t>
      </w:r>
      <w:r w:rsidRPr="002D3D9C">
        <w:t xml:space="preserve">: </w:t>
      </w:r>
      <w:r>
        <w:t>M</w:t>
      </w:r>
      <w:r w:rsidRPr="002D3D9C">
        <w:t xml:space="preserve"> (n = </w:t>
      </w:r>
      <w:r>
        <w:t>23</w:t>
      </w:r>
      <w:r w:rsidRPr="002D3D9C">
        <w:t xml:space="preserve">), </w:t>
      </w:r>
      <w:r>
        <w:t xml:space="preserve">M+G </w:t>
      </w:r>
      <w:r w:rsidRPr="002D3D9C">
        <w:t xml:space="preserve">(n = </w:t>
      </w:r>
      <w:r>
        <w:t>1</w:t>
      </w:r>
      <w:r w:rsidRPr="002D3D9C">
        <w:t xml:space="preserve">9), and </w:t>
      </w:r>
      <w:r>
        <w:t>M+G+S</w:t>
      </w:r>
      <w:r w:rsidRPr="002D3D9C">
        <w:t xml:space="preserve"> (n = </w:t>
      </w:r>
      <w:r>
        <w:t>21</w:t>
      </w:r>
      <w:r w:rsidRPr="002D3D9C">
        <w:t>).</w:t>
      </w:r>
      <w:r>
        <w:t xml:space="preserve"> </w:t>
      </w:r>
      <w:r w:rsidRPr="002D3D9C">
        <w:t xml:space="preserve"> Distributions of </w:t>
      </w:r>
      <w:r>
        <w:t>net promoter</w:t>
      </w:r>
      <w:r w:rsidRPr="002D3D9C">
        <w:t xml:space="preserve"> score </w:t>
      </w:r>
      <w:r>
        <w:t xml:space="preserve">at baseline </w:t>
      </w:r>
      <w:r w:rsidRPr="002D3D9C">
        <w:t>were not similar for all groups, as assessed by visual inspection of a boxplot</w:t>
      </w:r>
      <w:r>
        <w:t xml:space="preserve"> (see </w:t>
      </w:r>
      <w:r>
        <w:fldChar w:fldCharType="begin"/>
      </w:r>
      <w:r>
        <w:instrText xml:space="preserve"> REF _Ref526099463 \h </w:instrText>
      </w:r>
      <w:r>
        <w:fldChar w:fldCharType="separate"/>
      </w:r>
      <w:r w:rsidR="00574650">
        <w:t xml:space="preserve">Figure </w:t>
      </w:r>
      <w:r w:rsidR="00574650">
        <w:rPr>
          <w:noProof/>
        </w:rPr>
        <w:t>6</w:t>
      </w:r>
      <w:r w:rsidR="00574650">
        <w:t>.</w:t>
      </w:r>
      <w:r w:rsidR="00574650">
        <w:rPr>
          <w:noProof/>
        </w:rPr>
        <w:t>13</w:t>
      </w:r>
      <w:r>
        <w:fldChar w:fldCharType="end"/>
      </w:r>
      <w:r>
        <w:t>)</w:t>
      </w:r>
      <w:r w:rsidRPr="002D3D9C">
        <w:t xml:space="preserve">. </w:t>
      </w:r>
      <w:r>
        <w:t xml:space="preserve"> </w:t>
      </w:r>
      <w:r w:rsidRPr="009D3AEC">
        <w:t xml:space="preserve">The mean rank of </w:t>
      </w:r>
      <w:r>
        <w:t>post-intervention net promoter scores</w:t>
      </w:r>
      <w:r w:rsidRPr="009D3AEC">
        <w:t xml:space="preserve"> was not statistically significantly different between groups, </w:t>
      </w:r>
      <w:proofErr w:type="gramStart"/>
      <w:r w:rsidRPr="003D5CF7">
        <w:rPr>
          <w:i/>
        </w:rPr>
        <w:t>χ</w:t>
      </w:r>
      <w:r w:rsidRPr="003D5CF7">
        <w:rPr>
          <w:i/>
          <w:vertAlign w:val="superscript"/>
        </w:rPr>
        <w:t>2</w:t>
      </w:r>
      <w:r w:rsidRPr="00355019">
        <w:t>(</w:t>
      </w:r>
      <w:proofErr w:type="gramEnd"/>
      <w:r>
        <w:t>2</w:t>
      </w:r>
      <w:r w:rsidRPr="00355019">
        <w:t>) = .</w:t>
      </w:r>
      <w:r>
        <w:t>689</w:t>
      </w:r>
      <w:r w:rsidRPr="00355019">
        <w:t>, </w:t>
      </w:r>
      <w:r w:rsidRPr="003D5CF7">
        <w:rPr>
          <w:i/>
        </w:rPr>
        <w:t>p</w:t>
      </w:r>
      <w:r w:rsidRPr="00355019">
        <w:t> = .</w:t>
      </w:r>
      <w:r>
        <w:t>709</w:t>
      </w:r>
      <w:r w:rsidRPr="00355019">
        <w:t>.</w:t>
      </w:r>
    </w:p>
    <w:p w14:paraId="06DFF2C0" w14:textId="4A9590E5" w:rsidR="00111E4D" w:rsidRDefault="00111E4D" w:rsidP="00111E4D">
      <w:pPr>
        <w:pStyle w:val="Caption"/>
        <w:keepNext/>
      </w:pPr>
      <w:bookmarkStart w:id="526" w:name="_Ref526099463"/>
      <w:bookmarkStart w:id="527" w:name="_Toc530684681"/>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13</w:t>
      </w:r>
      <w:r w:rsidR="00371DCC">
        <w:fldChar w:fldCharType="end"/>
      </w:r>
      <w:bookmarkEnd w:id="526"/>
      <w:r w:rsidRPr="00AF20F3">
        <w:t xml:space="preserve"> </w:t>
      </w:r>
      <w:r>
        <w:t>Post-intervention</w:t>
      </w:r>
      <w:r w:rsidRPr="00011A59">
        <w:t xml:space="preserve"> </w:t>
      </w:r>
      <w:r>
        <w:t xml:space="preserve">net promoter score </w:t>
      </w:r>
      <w:r w:rsidRPr="00011A59">
        <w:t>boxplot</w:t>
      </w:r>
      <w:bookmarkEnd w:id="527"/>
    </w:p>
    <w:p w14:paraId="5870664C" w14:textId="77777777" w:rsidR="00111E4D" w:rsidRDefault="00111E4D" w:rsidP="00111E4D">
      <w:r w:rsidRPr="000E1993">
        <w:rPr>
          <w:noProof/>
          <w:lang w:eastAsia="en-GB"/>
        </w:rPr>
        <w:drawing>
          <wp:inline distT="0" distB="0" distL="0" distR="0" wp14:anchorId="76790B60" wp14:editId="1CB64F7F">
            <wp:extent cx="3780000" cy="2259600"/>
            <wp:effectExtent l="0" t="0" r="0" b="762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780000" cy="2259600"/>
                    </a:xfrm>
                    <a:prstGeom prst="rect">
                      <a:avLst/>
                    </a:prstGeom>
                  </pic:spPr>
                </pic:pic>
              </a:graphicData>
            </a:graphic>
          </wp:inline>
        </w:drawing>
      </w:r>
    </w:p>
    <w:p w14:paraId="6B115470" w14:textId="417ACCC2" w:rsidR="00111E4D" w:rsidRDefault="00111E4D" w:rsidP="00111E4D">
      <w:r w:rsidRPr="00567E8C">
        <w:rPr>
          <w:noProof/>
        </w:rPr>
        <w:t>A Kruskal-Wallis H test was conducted to determine if there were differences in</w:t>
      </w:r>
      <w:r w:rsidRPr="002D3D9C">
        <w:t xml:space="preserve"> </w:t>
      </w:r>
      <w:r>
        <w:t>net promoter score</w:t>
      </w:r>
      <w:r w:rsidRPr="002D3D9C">
        <w:t xml:space="preserve"> between groups </w:t>
      </w:r>
      <w:r>
        <w:t xml:space="preserve">at follow-up </w:t>
      </w:r>
      <w:r w:rsidRPr="00355019">
        <w:t xml:space="preserve">between </w:t>
      </w:r>
      <w:r>
        <w:t>the three</w:t>
      </w:r>
      <w:r w:rsidRPr="00355019">
        <w:t xml:space="preserve"> groups</w:t>
      </w:r>
      <w:r w:rsidRPr="002D3D9C">
        <w:t xml:space="preserve">: </w:t>
      </w:r>
      <w:r>
        <w:t>M</w:t>
      </w:r>
      <w:r w:rsidRPr="002D3D9C">
        <w:t xml:space="preserve"> (n = </w:t>
      </w:r>
      <w:r>
        <w:t>23</w:t>
      </w:r>
      <w:r w:rsidRPr="002D3D9C">
        <w:t xml:space="preserve">), </w:t>
      </w:r>
      <w:r>
        <w:t>M+G</w:t>
      </w:r>
      <w:r w:rsidRPr="002D3D9C">
        <w:t xml:space="preserve"> (n = </w:t>
      </w:r>
      <w:r>
        <w:t>1</w:t>
      </w:r>
      <w:r w:rsidRPr="002D3D9C">
        <w:t xml:space="preserve">9), and </w:t>
      </w:r>
      <w:r>
        <w:t>M+G+S</w:t>
      </w:r>
      <w:r w:rsidRPr="002D3D9C">
        <w:t xml:space="preserve"> (n = </w:t>
      </w:r>
      <w:r>
        <w:t>21</w:t>
      </w:r>
      <w:r w:rsidRPr="002D3D9C">
        <w:t>).</w:t>
      </w:r>
      <w:r w:rsidR="00B233DE">
        <w:t xml:space="preserve"> </w:t>
      </w:r>
      <w:r w:rsidRPr="002D3D9C">
        <w:t xml:space="preserve"> Distributions of </w:t>
      </w:r>
      <w:r>
        <w:t>net promoter score</w:t>
      </w:r>
      <w:r w:rsidRPr="002D3D9C">
        <w:t xml:space="preserve"> </w:t>
      </w:r>
      <w:r>
        <w:t xml:space="preserve">at follow-up </w:t>
      </w:r>
      <w:r w:rsidRPr="002D3D9C">
        <w:t>were not similar for all groups, as assessed by visual inspection of a boxplot</w:t>
      </w:r>
      <w:r>
        <w:t xml:space="preserve"> (see </w:t>
      </w:r>
      <w:r>
        <w:fldChar w:fldCharType="begin"/>
      </w:r>
      <w:r>
        <w:instrText xml:space="preserve"> REF _Ref526099494 \h </w:instrText>
      </w:r>
      <w:r>
        <w:fldChar w:fldCharType="separate"/>
      </w:r>
      <w:r w:rsidR="00574650">
        <w:t xml:space="preserve">Figure </w:t>
      </w:r>
      <w:r w:rsidR="00574650">
        <w:rPr>
          <w:noProof/>
        </w:rPr>
        <w:t>6</w:t>
      </w:r>
      <w:r w:rsidR="00574650">
        <w:t>.</w:t>
      </w:r>
      <w:r w:rsidR="00574650">
        <w:rPr>
          <w:noProof/>
        </w:rPr>
        <w:t>14</w:t>
      </w:r>
      <w:r>
        <w:fldChar w:fldCharType="end"/>
      </w:r>
      <w:r>
        <w:t>)</w:t>
      </w:r>
      <w:r w:rsidRPr="002D3D9C">
        <w:t xml:space="preserve">. </w:t>
      </w:r>
      <w:r>
        <w:t xml:space="preserve"> </w:t>
      </w:r>
      <w:r w:rsidRPr="009D3AEC">
        <w:t xml:space="preserve">The mean rank of </w:t>
      </w:r>
      <w:r>
        <w:t>follow-up net promoter scores</w:t>
      </w:r>
      <w:r w:rsidRPr="009D3AEC">
        <w:t xml:space="preserve"> was not statistically significantly different between groups, </w:t>
      </w:r>
      <w:proofErr w:type="gramStart"/>
      <w:r w:rsidRPr="003D5CF7">
        <w:rPr>
          <w:i/>
        </w:rPr>
        <w:t>χ</w:t>
      </w:r>
      <w:r w:rsidRPr="003D5CF7">
        <w:rPr>
          <w:i/>
          <w:vertAlign w:val="superscript"/>
        </w:rPr>
        <w:t>2</w:t>
      </w:r>
      <w:r w:rsidRPr="00355019">
        <w:t>(</w:t>
      </w:r>
      <w:proofErr w:type="gramEnd"/>
      <w:r>
        <w:t>2</w:t>
      </w:r>
      <w:r w:rsidRPr="00355019">
        <w:t xml:space="preserve">) = </w:t>
      </w:r>
      <w:r>
        <w:t>.098</w:t>
      </w:r>
      <w:r w:rsidRPr="00355019">
        <w:t>, </w:t>
      </w:r>
      <w:r w:rsidRPr="003D5CF7">
        <w:rPr>
          <w:i/>
        </w:rPr>
        <w:t>p</w:t>
      </w:r>
      <w:r w:rsidRPr="00355019">
        <w:t> = .</w:t>
      </w:r>
      <w:r>
        <w:t>952</w:t>
      </w:r>
      <w:r w:rsidRPr="00355019">
        <w:t>.</w:t>
      </w:r>
    </w:p>
    <w:p w14:paraId="12E13CEF" w14:textId="4304376F" w:rsidR="00111E4D" w:rsidRDefault="00111E4D" w:rsidP="00111E4D">
      <w:pPr>
        <w:pStyle w:val="Caption"/>
        <w:keepNext/>
      </w:pPr>
      <w:bookmarkStart w:id="528" w:name="_Ref526099494"/>
      <w:bookmarkStart w:id="529" w:name="_Toc530684682"/>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14</w:t>
      </w:r>
      <w:r w:rsidR="00371DCC">
        <w:fldChar w:fldCharType="end"/>
      </w:r>
      <w:bookmarkEnd w:id="528"/>
      <w:r>
        <w:rPr>
          <w:noProof/>
        </w:rPr>
        <w:t xml:space="preserve"> </w:t>
      </w:r>
      <w:r>
        <w:t>Follow-up</w:t>
      </w:r>
      <w:r w:rsidRPr="00011A59">
        <w:t xml:space="preserve"> </w:t>
      </w:r>
      <w:r>
        <w:t xml:space="preserve">net promoter score </w:t>
      </w:r>
      <w:r w:rsidRPr="00011A59">
        <w:t>boxplot</w:t>
      </w:r>
      <w:bookmarkEnd w:id="529"/>
    </w:p>
    <w:p w14:paraId="65EB5432" w14:textId="77777777" w:rsidR="00111E4D" w:rsidRDefault="00111E4D" w:rsidP="00111E4D">
      <w:r w:rsidRPr="000E1993">
        <w:rPr>
          <w:noProof/>
          <w:lang w:eastAsia="en-GB"/>
        </w:rPr>
        <w:drawing>
          <wp:inline distT="0" distB="0" distL="0" distR="0" wp14:anchorId="19148B17" wp14:editId="44289D90">
            <wp:extent cx="3780000" cy="2259600"/>
            <wp:effectExtent l="0" t="0" r="0" b="762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780000" cy="2259600"/>
                    </a:xfrm>
                    <a:prstGeom prst="rect">
                      <a:avLst/>
                    </a:prstGeom>
                  </pic:spPr>
                </pic:pic>
              </a:graphicData>
            </a:graphic>
          </wp:inline>
        </w:drawing>
      </w:r>
    </w:p>
    <w:p w14:paraId="1009E4EC" w14:textId="4FF33D12" w:rsidR="002D43A8" w:rsidRDefault="00111E4D" w:rsidP="00111E4D">
      <w:r w:rsidRPr="008F70E4">
        <w:rPr>
          <w:noProof/>
        </w:rPr>
        <w:t>To investigate further</w:t>
      </w:r>
      <w:r>
        <w:t xml:space="preserve"> NPS scores </w:t>
      </w:r>
      <w:r w:rsidRPr="002F0FE8">
        <w:rPr>
          <w:noProof/>
        </w:rPr>
        <w:t>were grouped</w:t>
      </w:r>
      <w:r>
        <w:t xml:space="preserve"> by detractors (0 to 6), passives (7 to 8) and promoters (9 to 10) and an overall NPS calculated by deducting the percentage of promoters from the percentage of detractors (excluding passives).  The charts in </w:t>
      </w:r>
      <w:r>
        <w:fldChar w:fldCharType="begin"/>
      </w:r>
      <w:r>
        <w:instrText xml:space="preserve"> REF _Ref523836774 \h </w:instrText>
      </w:r>
      <w:r>
        <w:fldChar w:fldCharType="separate"/>
      </w:r>
      <w:r w:rsidR="00574650">
        <w:t xml:space="preserve">Figure </w:t>
      </w:r>
      <w:r w:rsidR="00574650">
        <w:rPr>
          <w:noProof/>
        </w:rPr>
        <w:t>6</w:t>
      </w:r>
      <w:r w:rsidR="00574650">
        <w:t>.</w:t>
      </w:r>
      <w:r w:rsidR="00574650">
        <w:rPr>
          <w:noProof/>
        </w:rPr>
        <w:t>15</w:t>
      </w:r>
      <w:r>
        <w:fldChar w:fldCharType="end"/>
      </w:r>
      <w:r>
        <w:t xml:space="preserve"> show the distribution percentages of detractors (red), passives (yellow) and </w:t>
      </w:r>
      <w:r w:rsidRPr="00B356A7">
        <w:rPr>
          <w:noProof/>
        </w:rPr>
        <w:t>promot</w:t>
      </w:r>
      <w:r>
        <w:rPr>
          <w:noProof/>
        </w:rPr>
        <w:t>e</w:t>
      </w:r>
      <w:r w:rsidRPr="00B356A7">
        <w:rPr>
          <w:noProof/>
        </w:rPr>
        <w:t>rs</w:t>
      </w:r>
      <w:r>
        <w:t xml:space="preserve"> (green) and the central number represents the overall NPS score.</w:t>
      </w:r>
      <w:r w:rsidR="00554CB4">
        <w:t xml:space="preserve">  </w:t>
      </w:r>
      <w:r>
        <w:t xml:space="preserve">All three groups failed to reach a score of 50 or above which is the score considered by the UK </w:t>
      </w:r>
      <w:r w:rsidRPr="00201FE8">
        <w:rPr>
          <w:noProof/>
        </w:rPr>
        <w:t>Department of Health and Social Care</w:t>
      </w:r>
      <w:r>
        <w:t xml:space="preserve"> </w:t>
      </w:r>
      <w:r>
        <w:fldChar w:fldCharType="begin" w:fldLock="1"/>
      </w:r>
      <w:r>
        <w:instrText>ADDIN CSL_CITATION {"citationItems":[{"id":"ITEM-1","itemData":{"URL":"https://www.gov.uk/government/news/friends-and-family-test-what-it-means-for-nhs","accessed":{"date-parts":[["2018","3","5"]]},"author":[{"dropping-particle":"","family":"Department of Health and Social Care","given":"","non-dropping-particle":"","parse-names":false,"suffix":""}],"container-title":"gov.uk","id":"ITEM-1","issued":{"date-parts":[["2012"]]},"title":"Friends and Family Test: what it means for NHS - GOV.UK","type":"webpage"},"uris":["http://www.mendeley.com/documents/?uuid=0e514c77-d8f1-39a1-85ef-425de4d9832e"]}],"mendeley":{"formattedCitation":"(Department of Health and Social Care, 2012)","manualFormatting":"(2012)","plainTextFormattedCitation":"(Department of Health and Social Care, 2012)","previouslyFormattedCitation":"(Department of Health and Social Care, 2012)"},"properties":{"noteIndex":0},"schema":"https://github.com/citation-style-language/schema/raw/master/csl-citation.json"}</w:instrText>
      </w:r>
      <w:r>
        <w:fldChar w:fldCharType="separate"/>
      </w:r>
      <w:r w:rsidRPr="00201FE8">
        <w:rPr>
          <w:noProof/>
        </w:rPr>
        <w:t>(2012)</w:t>
      </w:r>
      <w:r>
        <w:fldChar w:fldCharType="end"/>
      </w:r>
      <w:r>
        <w:t xml:space="preserve"> to show good performance.</w:t>
      </w:r>
    </w:p>
    <w:p w14:paraId="03C00F8F" w14:textId="77777777" w:rsidR="002D43A8" w:rsidRDefault="002D43A8">
      <w:pPr>
        <w:spacing w:line="259" w:lineRule="auto"/>
      </w:pPr>
      <w:r>
        <w:br w:type="page"/>
      </w:r>
    </w:p>
    <w:p w14:paraId="669FF4A5" w14:textId="3F12E80B" w:rsidR="00111E4D" w:rsidRDefault="00111E4D" w:rsidP="00111E4D">
      <w:pPr>
        <w:pStyle w:val="Caption"/>
        <w:keepNext/>
      </w:pPr>
      <w:bookmarkStart w:id="530" w:name="_Ref523836774"/>
      <w:bookmarkStart w:id="531" w:name="_Toc530684683"/>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15</w:t>
      </w:r>
      <w:r w:rsidR="00371DCC">
        <w:fldChar w:fldCharType="end"/>
      </w:r>
      <w:bookmarkEnd w:id="530"/>
      <w:r>
        <w:t xml:space="preserve"> Net promoter score analysis</w:t>
      </w:r>
      <w:bookmarkEnd w:id="531"/>
    </w:p>
    <w:tbl>
      <w:tblPr>
        <w:tblStyle w:val="TableGrid"/>
        <w:tblW w:w="491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21"/>
        <w:gridCol w:w="3321"/>
        <w:gridCol w:w="3319"/>
      </w:tblGrid>
      <w:tr w:rsidR="00111E4D" w14:paraId="654477CB" w14:textId="77777777" w:rsidTr="00111E4D">
        <w:tc>
          <w:tcPr>
            <w:tcW w:w="1667" w:type="pct"/>
            <w:tcBorders>
              <w:top w:val="single" w:sz="4" w:space="0" w:color="auto"/>
              <w:bottom w:val="single" w:sz="4" w:space="0" w:color="auto"/>
            </w:tcBorders>
          </w:tcPr>
          <w:p w14:paraId="21793FA6" w14:textId="77777777" w:rsidR="00111E4D" w:rsidRDefault="00111E4D" w:rsidP="00111E4D">
            <w:pPr>
              <w:spacing w:line="259" w:lineRule="auto"/>
              <w:rPr>
                <w:rFonts w:eastAsiaTheme="majorEastAsia" w:cstheme="majorBidi"/>
                <w:b/>
                <w:bCs/>
                <w:color w:val="000000" w:themeColor="text1"/>
              </w:rPr>
            </w:pPr>
            <w:r>
              <w:rPr>
                <w:rFonts w:eastAsiaTheme="majorEastAsia" w:cstheme="majorBidi"/>
                <w:b/>
                <w:bCs/>
                <w:color w:val="000000" w:themeColor="text1"/>
              </w:rPr>
              <w:t>Intervention</w:t>
            </w:r>
          </w:p>
        </w:tc>
        <w:tc>
          <w:tcPr>
            <w:tcW w:w="1667" w:type="pct"/>
            <w:tcBorders>
              <w:top w:val="single" w:sz="4" w:space="0" w:color="auto"/>
              <w:bottom w:val="single" w:sz="4" w:space="0" w:color="auto"/>
            </w:tcBorders>
          </w:tcPr>
          <w:p w14:paraId="438B97C0" w14:textId="77777777" w:rsidR="00111E4D" w:rsidRDefault="00111E4D" w:rsidP="00111E4D">
            <w:pPr>
              <w:spacing w:line="259" w:lineRule="auto"/>
              <w:jc w:val="center"/>
              <w:rPr>
                <w:rFonts w:eastAsiaTheme="majorEastAsia" w:cstheme="majorBidi"/>
                <w:b/>
                <w:bCs/>
                <w:color w:val="000000" w:themeColor="text1"/>
              </w:rPr>
            </w:pPr>
            <w:r>
              <w:rPr>
                <w:rFonts w:eastAsiaTheme="majorEastAsia" w:cstheme="majorBidi"/>
                <w:b/>
                <w:bCs/>
                <w:color w:val="000000" w:themeColor="text1"/>
              </w:rPr>
              <w:t>Post Intervention</w:t>
            </w:r>
          </w:p>
        </w:tc>
        <w:tc>
          <w:tcPr>
            <w:tcW w:w="1666" w:type="pct"/>
            <w:tcBorders>
              <w:top w:val="single" w:sz="4" w:space="0" w:color="auto"/>
              <w:bottom w:val="single" w:sz="4" w:space="0" w:color="auto"/>
            </w:tcBorders>
          </w:tcPr>
          <w:p w14:paraId="5D496F6C" w14:textId="77777777" w:rsidR="00111E4D" w:rsidRDefault="00111E4D" w:rsidP="00111E4D">
            <w:pPr>
              <w:spacing w:line="259" w:lineRule="auto"/>
              <w:jc w:val="center"/>
              <w:rPr>
                <w:rFonts w:eastAsiaTheme="majorEastAsia" w:cstheme="majorBidi"/>
                <w:b/>
                <w:bCs/>
                <w:color w:val="000000" w:themeColor="text1"/>
              </w:rPr>
            </w:pPr>
            <w:r>
              <w:rPr>
                <w:rFonts w:eastAsiaTheme="majorEastAsia" w:cstheme="majorBidi"/>
                <w:b/>
                <w:bCs/>
                <w:color w:val="000000" w:themeColor="text1"/>
              </w:rPr>
              <w:t>Follow-up</w:t>
            </w:r>
          </w:p>
        </w:tc>
      </w:tr>
      <w:tr w:rsidR="00111E4D" w14:paraId="368665BD" w14:textId="77777777" w:rsidTr="00111E4D">
        <w:tc>
          <w:tcPr>
            <w:tcW w:w="1667" w:type="pct"/>
            <w:tcBorders>
              <w:top w:val="single" w:sz="4" w:space="0" w:color="auto"/>
              <w:bottom w:val="single" w:sz="4" w:space="0" w:color="auto"/>
            </w:tcBorders>
          </w:tcPr>
          <w:p w14:paraId="0EB4A6BA" w14:textId="77777777" w:rsidR="00111E4D" w:rsidRPr="006046EA" w:rsidRDefault="00111E4D" w:rsidP="00111E4D">
            <w:pPr>
              <w:spacing w:line="259" w:lineRule="auto"/>
              <w:rPr>
                <w:rFonts w:eastAsiaTheme="majorEastAsia" w:cstheme="majorBidi"/>
                <w:bCs/>
                <w:color w:val="000000" w:themeColor="text1"/>
              </w:rPr>
            </w:pPr>
            <w:r w:rsidRPr="006046EA">
              <w:rPr>
                <w:rFonts w:eastAsiaTheme="majorEastAsia" w:cstheme="majorBidi"/>
                <w:bCs/>
                <w:color w:val="000000" w:themeColor="text1"/>
              </w:rPr>
              <w:t>MYLO</w:t>
            </w:r>
          </w:p>
        </w:tc>
        <w:tc>
          <w:tcPr>
            <w:tcW w:w="1667" w:type="pct"/>
            <w:tcBorders>
              <w:top w:val="single" w:sz="4" w:space="0" w:color="auto"/>
              <w:bottom w:val="single" w:sz="4" w:space="0" w:color="auto"/>
            </w:tcBorders>
          </w:tcPr>
          <w:p w14:paraId="436CEA56" w14:textId="77777777" w:rsidR="00111E4D" w:rsidRDefault="00111E4D" w:rsidP="00111E4D">
            <w:pPr>
              <w:spacing w:line="259" w:lineRule="auto"/>
              <w:jc w:val="center"/>
              <w:rPr>
                <w:rFonts w:eastAsiaTheme="majorEastAsia" w:cstheme="majorBidi"/>
                <w:b/>
                <w:bCs/>
                <w:color w:val="000000" w:themeColor="text1"/>
              </w:rPr>
            </w:pPr>
            <w:r>
              <w:rPr>
                <w:rFonts w:eastAsiaTheme="majorEastAsia" w:cstheme="majorBidi"/>
                <w:b/>
                <w:bCs/>
                <w:noProof/>
                <w:color w:val="000000" w:themeColor="text1"/>
                <w:lang w:eastAsia="en-GB"/>
              </w:rPr>
              <w:drawing>
                <wp:inline distT="0" distB="0" distL="0" distR="0" wp14:anchorId="65317D98" wp14:editId="36AC19B8">
                  <wp:extent cx="1800000" cy="1800000"/>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ost MYLO.png"/>
                          <pic:cNvPicPr/>
                        </pic:nvPicPr>
                        <pic:blipFill>
                          <a:blip r:embed="rId52"/>
                          <a:stretch>
                            <a:fillRect/>
                          </a:stretch>
                        </pic:blipFill>
                        <pic:spPr>
                          <a:xfrm>
                            <a:off x="0" y="0"/>
                            <a:ext cx="1800000" cy="1800000"/>
                          </a:xfrm>
                          <a:prstGeom prst="rect">
                            <a:avLst/>
                          </a:prstGeom>
                        </pic:spPr>
                      </pic:pic>
                    </a:graphicData>
                  </a:graphic>
                </wp:inline>
              </w:drawing>
            </w:r>
          </w:p>
        </w:tc>
        <w:tc>
          <w:tcPr>
            <w:tcW w:w="1666" w:type="pct"/>
            <w:tcBorders>
              <w:top w:val="single" w:sz="4" w:space="0" w:color="auto"/>
              <w:bottom w:val="single" w:sz="4" w:space="0" w:color="auto"/>
            </w:tcBorders>
          </w:tcPr>
          <w:p w14:paraId="4466CAFF" w14:textId="77777777" w:rsidR="00111E4D" w:rsidRDefault="00111E4D" w:rsidP="00111E4D">
            <w:pPr>
              <w:spacing w:line="259" w:lineRule="auto"/>
              <w:jc w:val="center"/>
              <w:rPr>
                <w:rFonts w:eastAsiaTheme="majorEastAsia" w:cstheme="majorBidi"/>
                <w:b/>
                <w:bCs/>
                <w:color w:val="000000" w:themeColor="text1"/>
              </w:rPr>
            </w:pPr>
            <w:r>
              <w:rPr>
                <w:rFonts w:eastAsiaTheme="majorEastAsia" w:cstheme="majorBidi"/>
                <w:b/>
                <w:bCs/>
                <w:noProof/>
                <w:color w:val="000000" w:themeColor="text1"/>
                <w:lang w:eastAsia="en-GB"/>
              </w:rPr>
              <w:drawing>
                <wp:inline distT="0" distB="0" distL="0" distR="0" wp14:anchorId="03637819" wp14:editId="1A02F8CD">
                  <wp:extent cx="1800000" cy="1800000"/>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ollow up MYLO.png"/>
                          <pic:cNvPicPr/>
                        </pic:nvPicPr>
                        <pic:blipFill>
                          <a:blip r:embed="rId53"/>
                          <a:stretch>
                            <a:fillRect/>
                          </a:stretch>
                        </pic:blipFill>
                        <pic:spPr>
                          <a:xfrm>
                            <a:off x="0" y="0"/>
                            <a:ext cx="1800000" cy="1800000"/>
                          </a:xfrm>
                          <a:prstGeom prst="rect">
                            <a:avLst/>
                          </a:prstGeom>
                        </pic:spPr>
                      </pic:pic>
                    </a:graphicData>
                  </a:graphic>
                </wp:inline>
              </w:drawing>
            </w:r>
          </w:p>
        </w:tc>
      </w:tr>
      <w:tr w:rsidR="00111E4D" w14:paraId="5197D5B8" w14:textId="77777777" w:rsidTr="00111E4D">
        <w:tc>
          <w:tcPr>
            <w:tcW w:w="1667" w:type="pct"/>
            <w:tcBorders>
              <w:top w:val="single" w:sz="4" w:space="0" w:color="auto"/>
              <w:bottom w:val="single" w:sz="4" w:space="0" w:color="auto"/>
            </w:tcBorders>
          </w:tcPr>
          <w:p w14:paraId="5CF9D9FA" w14:textId="77777777" w:rsidR="00111E4D" w:rsidRPr="006046EA" w:rsidRDefault="00111E4D" w:rsidP="00111E4D">
            <w:pPr>
              <w:spacing w:line="259" w:lineRule="auto"/>
              <w:rPr>
                <w:rFonts w:eastAsiaTheme="majorEastAsia" w:cstheme="majorBidi"/>
                <w:bCs/>
                <w:color w:val="000000" w:themeColor="text1"/>
              </w:rPr>
            </w:pPr>
            <w:r w:rsidRPr="006046EA">
              <w:rPr>
                <w:rFonts w:eastAsiaTheme="majorEastAsia" w:cstheme="majorBidi"/>
                <w:bCs/>
                <w:color w:val="000000" w:themeColor="text1"/>
              </w:rPr>
              <w:t xml:space="preserve">MYLO Guided </w:t>
            </w:r>
          </w:p>
        </w:tc>
        <w:tc>
          <w:tcPr>
            <w:tcW w:w="1667" w:type="pct"/>
            <w:tcBorders>
              <w:top w:val="single" w:sz="4" w:space="0" w:color="auto"/>
              <w:bottom w:val="single" w:sz="4" w:space="0" w:color="auto"/>
            </w:tcBorders>
          </w:tcPr>
          <w:p w14:paraId="782C2F3F" w14:textId="77777777" w:rsidR="00111E4D" w:rsidRDefault="00111E4D" w:rsidP="00111E4D">
            <w:pPr>
              <w:spacing w:line="259" w:lineRule="auto"/>
              <w:jc w:val="center"/>
              <w:rPr>
                <w:rFonts w:eastAsiaTheme="majorEastAsia" w:cstheme="majorBidi"/>
                <w:b/>
                <w:bCs/>
                <w:color w:val="000000" w:themeColor="text1"/>
              </w:rPr>
            </w:pPr>
            <w:r>
              <w:rPr>
                <w:rFonts w:eastAsiaTheme="majorEastAsia" w:cstheme="majorBidi"/>
                <w:b/>
                <w:bCs/>
                <w:noProof/>
                <w:color w:val="000000" w:themeColor="text1"/>
                <w:lang w:eastAsia="en-GB"/>
              </w:rPr>
              <w:drawing>
                <wp:inline distT="0" distB="0" distL="0" distR="0" wp14:anchorId="7F0FA045" wp14:editId="15846211">
                  <wp:extent cx="1800000" cy="1800000"/>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ost MYLO Guided.png"/>
                          <pic:cNvPicPr/>
                        </pic:nvPicPr>
                        <pic:blipFill>
                          <a:blip r:embed="rId54"/>
                          <a:stretch>
                            <a:fillRect/>
                          </a:stretch>
                        </pic:blipFill>
                        <pic:spPr>
                          <a:xfrm>
                            <a:off x="0" y="0"/>
                            <a:ext cx="1800000" cy="1800000"/>
                          </a:xfrm>
                          <a:prstGeom prst="rect">
                            <a:avLst/>
                          </a:prstGeom>
                        </pic:spPr>
                      </pic:pic>
                    </a:graphicData>
                  </a:graphic>
                </wp:inline>
              </w:drawing>
            </w:r>
          </w:p>
        </w:tc>
        <w:tc>
          <w:tcPr>
            <w:tcW w:w="1666" w:type="pct"/>
            <w:tcBorders>
              <w:top w:val="single" w:sz="4" w:space="0" w:color="auto"/>
              <w:bottom w:val="single" w:sz="4" w:space="0" w:color="auto"/>
            </w:tcBorders>
          </w:tcPr>
          <w:p w14:paraId="521D8583" w14:textId="77777777" w:rsidR="00111E4D" w:rsidRDefault="00111E4D" w:rsidP="00111E4D">
            <w:pPr>
              <w:spacing w:line="259" w:lineRule="auto"/>
              <w:jc w:val="center"/>
              <w:rPr>
                <w:rFonts w:eastAsiaTheme="majorEastAsia" w:cstheme="majorBidi"/>
                <w:b/>
                <w:bCs/>
                <w:color w:val="000000" w:themeColor="text1"/>
              </w:rPr>
            </w:pPr>
            <w:r>
              <w:rPr>
                <w:rFonts w:eastAsiaTheme="majorEastAsia" w:cstheme="majorBidi"/>
                <w:b/>
                <w:bCs/>
                <w:noProof/>
                <w:color w:val="000000" w:themeColor="text1"/>
                <w:lang w:eastAsia="en-GB"/>
              </w:rPr>
              <w:drawing>
                <wp:inline distT="0" distB="0" distL="0" distR="0" wp14:anchorId="12B2E857" wp14:editId="748813FD">
                  <wp:extent cx="1801495" cy="1801495"/>
                  <wp:effectExtent l="0" t="0" r="8255" b="825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ollow up MYLO Guided.png"/>
                          <pic:cNvPicPr/>
                        </pic:nvPicPr>
                        <pic:blipFill>
                          <a:blip r:embed="rId55"/>
                          <a:stretch>
                            <a:fillRect/>
                          </a:stretch>
                        </pic:blipFill>
                        <pic:spPr>
                          <a:xfrm>
                            <a:off x="0" y="0"/>
                            <a:ext cx="1801495" cy="1801495"/>
                          </a:xfrm>
                          <a:prstGeom prst="rect">
                            <a:avLst/>
                          </a:prstGeom>
                        </pic:spPr>
                      </pic:pic>
                    </a:graphicData>
                  </a:graphic>
                </wp:inline>
              </w:drawing>
            </w:r>
          </w:p>
        </w:tc>
      </w:tr>
      <w:tr w:rsidR="00111E4D" w14:paraId="1B2AC843" w14:textId="77777777" w:rsidTr="00111E4D">
        <w:tc>
          <w:tcPr>
            <w:tcW w:w="1667" w:type="pct"/>
            <w:tcBorders>
              <w:top w:val="single" w:sz="4" w:space="0" w:color="auto"/>
              <w:bottom w:val="single" w:sz="4" w:space="0" w:color="auto"/>
            </w:tcBorders>
          </w:tcPr>
          <w:p w14:paraId="48EED999" w14:textId="77777777" w:rsidR="00111E4D" w:rsidRPr="006046EA" w:rsidRDefault="00111E4D" w:rsidP="00111E4D">
            <w:pPr>
              <w:spacing w:line="259" w:lineRule="auto"/>
              <w:rPr>
                <w:rFonts w:eastAsiaTheme="majorEastAsia" w:cstheme="majorBidi"/>
                <w:bCs/>
                <w:color w:val="000000" w:themeColor="text1"/>
              </w:rPr>
            </w:pPr>
            <w:r w:rsidRPr="006046EA">
              <w:rPr>
                <w:rFonts w:eastAsiaTheme="majorEastAsia" w:cstheme="majorBidi"/>
                <w:bCs/>
                <w:color w:val="000000" w:themeColor="text1"/>
              </w:rPr>
              <w:t>MYLO Guided with Voice</w:t>
            </w:r>
          </w:p>
        </w:tc>
        <w:tc>
          <w:tcPr>
            <w:tcW w:w="1667" w:type="pct"/>
            <w:tcBorders>
              <w:top w:val="single" w:sz="4" w:space="0" w:color="auto"/>
              <w:bottom w:val="single" w:sz="4" w:space="0" w:color="auto"/>
            </w:tcBorders>
          </w:tcPr>
          <w:p w14:paraId="0E1E8FB0" w14:textId="77777777" w:rsidR="00111E4D" w:rsidRDefault="00111E4D" w:rsidP="00111E4D">
            <w:pPr>
              <w:spacing w:line="259" w:lineRule="auto"/>
              <w:jc w:val="center"/>
              <w:rPr>
                <w:rFonts w:eastAsiaTheme="majorEastAsia" w:cstheme="majorBidi"/>
                <w:b/>
                <w:bCs/>
                <w:color w:val="000000" w:themeColor="text1"/>
              </w:rPr>
            </w:pPr>
            <w:r>
              <w:rPr>
                <w:rFonts w:eastAsiaTheme="majorEastAsia" w:cstheme="majorBidi"/>
                <w:b/>
                <w:bCs/>
                <w:noProof/>
                <w:color w:val="000000" w:themeColor="text1"/>
                <w:lang w:eastAsia="en-GB"/>
              </w:rPr>
              <w:drawing>
                <wp:inline distT="0" distB="0" distL="0" distR="0" wp14:anchorId="2373CE91" wp14:editId="2CC85BAE">
                  <wp:extent cx="1800000" cy="1800000"/>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ost MYLO Guided with Voice.png"/>
                          <pic:cNvPicPr/>
                        </pic:nvPicPr>
                        <pic:blipFill>
                          <a:blip r:embed="rId56"/>
                          <a:stretch>
                            <a:fillRect/>
                          </a:stretch>
                        </pic:blipFill>
                        <pic:spPr>
                          <a:xfrm>
                            <a:off x="0" y="0"/>
                            <a:ext cx="1800000" cy="1800000"/>
                          </a:xfrm>
                          <a:prstGeom prst="rect">
                            <a:avLst/>
                          </a:prstGeom>
                        </pic:spPr>
                      </pic:pic>
                    </a:graphicData>
                  </a:graphic>
                </wp:inline>
              </w:drawing>
            </w:r>
          </w:p>
        </w:tc>
        <w:tc>
          <w:tcPr>
            <w:tcW w:w="1666" w:type="pct"/>
            <w:tcBorders>
              <w:top w:val="single" w:sz="4" w:space="0" w:color="auto"/>
              <w:bottom w:val="single" w:sz="4" w:space="0" w:color="auto"/>
            </w:tcBorders>
          </w:tcPr>
          <w:p w14:paraId="457B02E4" w14:textId="77777777" w:rsidR="00111E4D" w:rsidRDefault="00111E4D" w:rsidP="00111E4D">
            <w:pPr>
              <w:spacing w:line="259" w:lineRule="auto"/>
              <w:jc w:val="center"/>
              <w:rPr>
                <w:rFonts w:eastAsiaTheme="majorEastAsia" w:cstheme="majorBidi"/>
                <w:b/>
                <w:bCs/>
                <w:color w:val="000000" w:themeColor="text1"/>
              </w:rPr>
            </w:pPr>
            <w:r>
              <w:rPr>
                <w:rFonts w:eastAsiaTheme="majorEastAsia" w:cstheme="majorBidi"/>
                <w:b/>
                <w:bCs/>
                <w:noProof/>
                <w:color w:val="000000" w:themeColor="text1"/>
                <w:lang w:eastAsia="en-GB"/>
              </w:rPr>
              <w:drawing>
                <wp:inline distT="0" distB="0" distL="0" distR="0" wp14:anchorId="1D71F53C" wp14:editId="37D9BC2A">
                  <wp:extent cx="1801495" cy="1801495"/>
                  <wp:effectExtent l="0" t="0" r="8255" b="825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ollow up MYLO Guided with Voice.png"/>
                          <pic:cNvPicPr/>
                        </pic:nvPicPr>
                        <pic:blipFill>
                          <a:blip r:embed="rId57"/>
                          <a:stretch>
                            <a:fillRect/>
                          </a:stretch>
                        </pic:blipFill>
                        <pic:spPr>
                          <a:xfrm>
                            <a:off x="0" y="0"/>
                            <a:ext cx="1801495" cy="1801495"/>
                          </a:xfrm>
                          <a:prstGeom prst="rect">
                            <a:avLst/>
                          </a:prstGeom>
                        </pic:spPr>
                      </pic:pic>
                    </a:graphicData>
                  </a:graphic>
                </wp:inline>
              </w:drawing>
            </w:r>
          </w:p>
        </w:tc>
      </w:tr>
    </w:tbl>
    <w:p w14:paraId="5351673D" w14:textId="77777777" w:rsidR="00111E4D" w:rsidRDefault="00111E4D" w:rsidP="00111E4D">
      <w:pPr>
        <w:rPr>
          <w:rFonts w:eastAsiaTheme="majorEastAsia" w:cstheme="majorBidi"/>
          <w:b/>
          <w:bCs/>
          <w:color w:val="000000" w:themeColor="text1"/>
        </w:rPr>
      </w:pPr>
    </w:p>
    <w:p w14:paraId="74F27223" w14:textId="7942FBC6" w:rsidR="00111E4D" w:rsidRDefault="008F5CAB" w:rsidP="00111E4D">
      <w:pPr>
        <w:pStyle w:val="Heading3"/>
      </w:pPr>
      <w:bookmarkStart w:id="532" w:name="_Toc3538177"/>
      <w:r w:rsidRPr="008F5CAB">
        <w:t xml:space="preserve">Do Enhanced Interface Features Improve </w:t>
      </w:r>
      <w:proofErr w:type="spellStart"/>
      <w:r w:rsidRPr="008F5CAB">
        <w:t>Mylo’s</w:t>
      </w:r>
      <w:proofErr w:type="spellEnd"/>
      <w:r w:rsidRPr="008F5CAB">
        <w:t xml:space="preserve"> System Usability?</w:t>
      </w:r>
      <w:bookmarkEnd w:id="532"/>
      <w:r w:rsidR="00111E4D" w:rsidRPr="00FA3A61">
        <w:t xml:space="preserve"> </w:t>
      </w:r>
    </w:p>
    <w:p w14:paraId="1411A6E6" w14:textId="77777777" w:rsidR="00111E4D" w:rsidRDefault="00111E4D" w:rsidP="00111E4D">
      <w:pPr>
        <w:pStyle w:val="Heading4"/>
      </w:pPr>
      <w:bookmarkStart w:id="533" w:name="_Hlk526090161"/>
      <w:r>
        <w:t>System Usability</w:t>
      </w:r>
    </w:p>
    <w:p w14:paraId="043C748A" w14:textId="3FE671C8" w:rsidR="00111E4D" w:rsidRDefault="00111E4D" w:rsidP="00111E4D">
      <w:r w:rsidRPr="00567E8C">
        <w:rPr>
          <w:noProof/>
        </w:rPr>
        <w:t>A Kruskal-Wallis H test was conducted to determine if there were differences in</w:t>
      </w:r>
      <w:r w:rsidRPr="002D3D9C">
        <w:t xml:space="preserve"> </w:t>
      </w:r>
      <w:r>
        <w:t>system usability</w:t>
      </w:r>
      <w:r w:rsidRPr="00A3084A">
        <w:t xml:space="preserve"> </w:t>
      </w:r>
      <w:r w:rsidRPr="002D3D9C">
        <w:t xml:space="preserve">between groups </w:t>
      </w:r>
      <w:r>
        <w:t xml:space="preserve">at post-intervention </w:t>
      </w:r>
      <w:r w:rsidRPr="00355019">
        <w:t xml:space="preserve">between </w:t>
      </w:r>
      <w:r>
        <w:t>the three</w:t>
      </w:r>
      <w:r w:rsidRPr="00355019">
        <w:t xml:space="preserve"> groups</w:t>
      </w:r>
      <w:r w:rsidRPr="002D3D9C">
        <w:t xml:space="preserve">: </w:t>
      </w:r>
      <w:r>
        <w:t>M</w:t>
      </w:r>
      <w:r w:rsidRPr="002D3D9C">
        <w:t xml:space="preserve"> (n = </w:t>
      </w:r>
      <w:r>
        <w:t>23</w:t>
      </w:r>
      <w:r w:rsidRPr="002D3D9C">
        <w:t xml:space="preserve">), </w:t>
      </w:r>
      <w:r>
        <w:t>M+G</w:t>
      </w:r>
      <w:r w:rsidRPr="002D3D9C">
        <w:t xml:space="preserve"> (n = </w:t>
      </w:r>
      <w:r>
        <w:t>1</w:t>
      </w:r>
      <w:r w:rsidRPr="002D3D9C">
        <w:t xml:space="preserve">9), and </w:t>
      </w:r>
      <w:r>
        <w:t>M+G+S</w:t>
      </w:r>
      <w:r w:rsidRPr="002D3D9C">
        <w:t xml:space="preserve"> (n = </w:t>
      </w:r>
      <w:r>
        <w:t>21</w:t>
      </w:r>
      <w:r w:rsidRPr="002D3D9C">
        <w:t>).</w:t>
      </w:r>
      <w:r>
        <w:t xml:space="preserve"> </w:t>
      </w:r>
      <w:r w:rsidRPr="002D3D9C">
        <w:t xml:space="preserve"> Distributions of </w:t>
      </w:r>
      <w:r>
        <w:t>system usability</w:t>
      </w:r>
      <w:r w:rsidRPr="002D3D9C">
        <w:t xml:space="preserve"> score </w:t>
      </w:r>
      <w:r>
        <w:t xml:space="preserve">at post-intervention </w:t>
      </w:r>
      <w:r w:rsidRPr="002D3D9C">
        <w:t>were not similar for all groups, as assessed by visual inspection of a boxplot</w:t>
      </w:r>
      <w:r>
        <w:t xml:space="preserve"> (see </w:t>
      </w:r>
      <w:r>
        <w:fldChar w:fldCharType="begin"/>
      </w:r>
      <w:r>
        <w:instrText xml:space="preserve"> REF _Ref526099559 \h </w:instrText>
      </w:r>
      <w:r>
        <w:fldChar w:fldCharType="separate"/>
      </w:r>
      <w:r w:rsidR="00574650">
        <w:t xml:space="preserve">Figure </w:t>
      </w:r>
      <w:r w:rsidR="00574650">
        <w:rPr>
          <w:noProof/>
        </w:rPr>
        <w:t>6</w:t>
      </w:r>
      <w:r w:rsidR="00574650">
        <w:t>.</w:t>
      </w:r>
      <w:r w:rsidR="00574650">
        <w:rPr>
          <w:noProof/>
        </w:rPr>
        <w:t>16</w:t>
      </w:r>
      <w:r>
        <w:fldChar w:fldCharType="end"/>
      </w:r>
      <w:r>
        <w:t>)</w:t>
      </w:r>
      <w:r w:rsidRPr="002D3D9C">
        <w:t>.</w:t>
      </w:r>
      <w:r>
        <w:t xml:space="preserve">  </w:t>
      </w:r>
      <w:r w:rsidRPr="009D3AEC">
        <w:t xml:space="preserve">The mean rank of </w:t>
      </w:r>
      <w:r>
        <w:t>follow-up system usability scores</w:t>
      </w:r>
      <w:r w:rsidRPr="009D3AEC">
        <w:t xml:space="preserve"> was not statistically significantly different between groups, </w:t>
      </w:r>
      <w:proofErr w:type="gramStart"/>
      <w:r w:rsidRPr="003D5CF7">
        <w:rPr>
          <w:i/>
        </w:rPr>
        <w:t>χ</w:t>
      </w:r>
      <w:r w:rsidRPr="003D5CF7">
        <w:rPr>
          <w:i/>
          <w:vertAlign w:val="superscript"/>
        </w:rPr>
        <w:t>2</w:t>
      </w:r>
      <w:r w:rsidRPr="00355019">
        <w:t>(</w:t>
      </w:r>
      <w:proofErr w:type="gramEnd"/>
      <w:r>
        <w:t>2</w:t>
      </w:r>
      <w:r w:rsidRPr="00355019">
        <w:t xml:space="preserve">) = </w:t>
      </w:r>
      <w:r>
        <w:t>1.551</w:t>
      </w:r>
      <w:r w:rsidRPr="00355019">
        <w:t>, </w:t>
      </w:r>
      <w:r w:rsidRPr="003D5CF7">
        <w:rPr>
          <w:i/>
        </w:rPr>
        <w:t>p</w:t>
      </w:r>
      <w:r w:rsidRPr="00355019">
        <w:t> = .</w:t>
      </w:r>
      <w:r>
        <w:t>460</w:t>
      </w:r>
      <w:r w:rsidRPr="00355019">
        <w:t>.</w:t>
      </w:r>
    </w:p>
    <w:p w14:paraId="1E4F8157" w14:textId="04D68872" w:rsidR="00111E4D" w:rsidRDefault="00111E4D" w:rsidP="00111E4D">
      <w:pPr>
        <w:pStyle w:val="Caption"/>
        <w:keepNext/>
      </w:pPr>
      <w:bookmarkStart w:id="534" w:name="_Ref526099559"/>
      <w:bookmarkStart w:id="535" w:name="_Toc530684684"/>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16</w:t>
      </w:r>
      <w:r w:rsidR="00371DCC">
        <w:fldChar w:fldCharType="end"/>
      </w:r>
      <w:bookmarkEnd w:id="534"/>
      <w:r>
        <w:t xml:space="preserve"> Post-intervention system usability score </w:t>
      </w:r>
      <w:r w:rsidRPr="00011A59">
        <w:t>boxplot</w:t>
      </w:r>
      <w:bookmarkEnd w:id="535"/>
    </w:p>
    <w:p w14:paraId="6B21AAB7" w14:textId="77777777" w:rsidR="00111E4D" w:rsidRDefault="00111E4D" w:rsidP="00111E4D">
      <w:r w:rsidRPr="00C61BFD">
        <w:rPr>
          <w:noProof/>
          <w:lang w:eastAsia="en-GB"/>
        </w:rPr>
        <w:drawing>
          <wp:inline distT="0" distB="0" distL="0" distR="0" wp14:anchorId="37146808" wp14:editId="24E7CD67">
            <wp:extent cx="3780000" cy="2229639"/>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780000" cy="2229639"/>
                    </a:xfrm>
                    <a:prstGeom prst="rect">
                      <a:avLst/>
                    </a:prstGeom>
                  </pic:spPr>
                </pic:pic>
              </a:graphicData>
            </a:graphic>
          </wp:inline>
        </w:drawing>
      </w:r>
    </w:p>
    <w:p w14:paraId="059F0C98" w14:textId="439E6E52" w:rsidR="00111E4D" w:rsidRDefault="00111E4D" w:rsidP="00111E4D">
      <w:r>
        <w:t xml:space="preserve">None of the MYLO versions scored within the acceptable range for usability, instead all fell within “Marginal” with an “Ok” score (see </w:t>
      </w:r>
      <w:r>
        <w:fldChar w:fldCharType="begin"/>
      </w:r>
      <w:r>
        <w:instrText xml:space="preserve"> REF _Ref523848348 \h </w:instrText>
      </w:r>
      <w:r>
        <w:fldChar w:fldCharType="separate"/>
      </w:r>
      <w:r w:rsidR="002D43A8">
        <w:t xml:space="preserve">Table </w:t>
      </w:r>
      <w:r w:rsidR="002D43A8">
        <w:rPr>
          <w:noProof/>
        </w:rPr>
        <w:t>6</w:t>
      </w:r>
      <w:r w:rsidR="002D43A8">
        <w:t>.</w:t>
      </w:r>
      <w:r w:rsidR="002D43A8">
        <w:rPr>
          <w:noProof/>
        </w:rPr>
        <w:t>1</w:t>
      </w:r>
      <w:r>
        <w:fldChar w:fldCharType="end"/>
      </w:r>
      <w:r>
        <w:t xml:space="preserve">). </w:t>
      </w:r>
      <w:r w:rsidR="00B233DE">
        <w:t xml:space="preserve"> </w:t>
      </w:r>
      <w:r>
        <w:t>Overall the interface enhancements did not improve MYLO’s system usability with older adults.</w:t>
      </w:r>
    </w:p>
    <w:bookmarkEnd w:id="533"/>
    <w:p w14:paraId="41B2DC17" w14:textId="77777777" w:rsidR="00111E4D" w:rsidRDefault="00111E4D" w:rsidP="00111E4D">
      <w:pPr>
        <w:pStyle w:val="Heading4"/>
      </w:pPr>
      <w:r>
        <w:t>System Feedback</w:t>
      </w:r>
    </w:p>
    <w:p w14:paraId="05B23307" w14:textId="2FFB1F79" w:rsidR="00111E4D" w:rsidRDefault="00111E4D" w:rsidP="00111E4D">
      <w:r>
        <w:t xml:space="preserve">A total of 135 improvement suggestions were made over the three MYLO groups: M (n = 51), M+G (n = 39), M+G+S (n = 45).  </w:t>
      </w:r>
      <w:r w:rsidRPr="00567E8C">
        <w:rPr>
          <w:noProof/>
        </w:rPr>
        <w:t>There was a very good agreement between the</w:t>
      </w:r>
      <w:r w:rsidRPr="00047ECA">
        <w:t xml:space="preserve"> two evaluators judgements, κ = .</w:t>
      </w:r>
      <w:r>
        <w:t>840</w:t>
      </w:r>
      <w:r w:rsidRPr="00047ECA">
        <w:t>, p &lt; .0005</w:t>
      </w:r>
      <w:r w:rsidR="00554CB4">
        <w:t xml:space="preserve">.  </w:t>
      </w:r>
      <w:r>
        <w:t>The</w:t>
      </w:r>
      <w:r w:rsidRPr="00CE5161">
        <w:t xml:space="preserve"> two evaluators agreed </w:t>
      </w:r>
      <w:r>
        <w:t>that</w:t>
      </w:r>
      <w:r w:rsidRPr="00CE5161">
        <w:t xml:space="preserve"> </w:t>
      </w:r>
      <w:r>
        <w:t>61</w:t>
      </w:r>
      <w:r w:rsidRPr="00CE5161">
        <w:t xml:space="preserve"> of the responses were AI, </w:t>
      </w:r>
      <w:r>
        <w:t>35</w:t>
      </w:r>
      <w:r w:rsidRPr="00CE5161">
        <w:t xml:space="preserve"> were UI, </w:t>
      </w:r>
      <w:r>
        <w:t>18</w:t>
      </w:r>
      <w:r w:rsidRPr="00CE5161">
        <w:t xml:space="preserve"> were Therapy</w:t>
      </w:r>
      <w:r>
        <w:t>,</w:t>
      </w:r>
      <w:r w:rsidRPr="00CE5161">
        <w:t xml:space="preserve"> </w:t>
      </w:r>
      <w:r w:rsidRPr="00AC3A07">
        <w:rPr>
          <w:noProof/>
        </w:rPr>
        <w:t>and</w:t>
      </w:r>
      <w:r w:rsidRPr="00CE5161">
        <w:t xml:space="preserve"> seven were </w:t>
      </w:r>
      <w:proofErr w:type="gramStart"/>
      <w:r w:rsidRPr="00CE5161">
        <w:t>Other</w:t>
      </w:r>
      <w:proofErr w:type="gramEnd"/>
      <w:r w:rsidRPr="00CE5161">
        <w:t>.</w:t>
      </w:r>
      <w:r w:rsidR="00554CB4">
        <w:t xml:space="preserve">  </w:t>
      </w:r>
      <w:r w:rsidRPr="00CE5161">
        <w:t xml:space="preserve">However, </w:t>
      </w:r>
      <w:r>
        <w:t xml:space="preserve">evaluator </w:t>
      </w:r>
      <w:r w:rsidRPr="00CE5161">
        <w:t xml:space="preserve">1 rated </w:t>
      </w:r>
      <w:r>
        <w:t>nine</w:t>
      </w:r>
      <w:r w:rsidRPr="00CE5161">
        <w:t xml:space="preserve"> </w:t>
      </w:r>
      <w:r>
        <w:t>improvements</w:t>
      </w:r>
      <w:r w:rsidRPr="00CE5161">
        <w:t xml:space="preserve"> as </w:t>
      </w:r>
      <w:r>
        <w:t>AI</w:t>
      </w:r>
      <w:r w:rsidRPr="00CE5161">
        <w:t xml:space="preserve"> when </w:t>
      </w:r>
      <w:r>
        <w:t xml:space="preserve">evaluator </w:t>
      </w:r>
      <w:r w:rsidRPr="00CE5161">
        <w:t xml:space="preserve">2 rated </w:t>
      </w:r>
      <w:r>
        <w:t>two as UI and seven a</w:t>
      </w:r>
      <w:r w:rsidRPr="00CE5161">
        <w:t xml:space="preserve">s </w:t>
      </w:r>
      <w:r>
        <w:t>Therapy</w:t>
      </w:r>
      <w:r w:rsidRPr="00CE5161">
        <w:t xml:space="preserve">, and </w:t>
      </w:r>
      <w:r>
        <w:t>evaluator</w:t>
      </w:r>
      <w:r w:rsidRPr="00CE5161">
        <w:t xml:space="preserve"> 1 rated two </w:t>
      </w:r>
      <w:r>
        <w:t>improvements</w:t>
      </w:r>
      <w:r w:rsidRPr="00CE5161">
        <w:t xml:space="preserve"> as </w:t>
      </w:r>
      <w:r>
        <w:t>Other</w:t>
      </w:r>
      <w:r w:rsidRPr="00CE5161">
        <w:t xml:space="preserve"> when </w:t>
      </w:r>
      <w:r>
        <w:t xml:space="preserve">evaluator </w:t>
      </w:r>
      <w:r w:rsidRPr="00CE5161">
        <w:t xml:space="preserve">2 rated them as </w:t>
      </w:r>
      <w:r>
        <w:t>Therapy, final evaluator</w:t>
      </w:r>
      <w:r w:rsidRPr="00047ECA">
        <w:t xml:space="preserve"> 1 rated </w:t>
      </w:r>
      <w:r>
        <w:t>three</w:t>
      </w:r>
      <w:r w:rsidRPr="00047ECA">
        <w:t xml:space="preserve"> improvements as Therapy where evaluator 2 rated them as AI.</w:t>
      </w:r>
    </w:p>
    <w:p w14:paraId="205C50C3" w14:textId="619B0ECF" w:rsidR="00111E4D" w:rsidRDefault="00111E4D" w:rsidP="00111E4D">
      <w:pPr>
        <w:pStyle w:val="Caption"/>
        <w:keepNext/>
      </w:pPr>
      <w:bookmarkStart w:id="536" w:name="_Toc530759496"/>
      <w:proofErr w:type="gramStart"/>
      <w:r>
        <w:t xml:space="preserve">Table </w:t>
      </w:r>
      <w:r w:rsidR="007E7BB7">
        <w:fldChar w:fldCharType="begin"/>
      </w:r>
      <w:r w:rsidR="007E7BB7">
        <w:instrText xml:space="preserve"> STYLEREF 1 \s </w:instrText>
      </w:r>
      <w:r w:rsidR="007E7BB7">
        <w:fldChar w:fldCharType="separate"/>
      </w:r>
      <w:r w:rsidR="00574650">
        <w:rPr>
          <w:noProof/>
        </w:rPr>
        <w:t>6</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r w:rsidR="002D43A8">
        <w:rPr>
          <w:noProof/>
        </w:rPr>
        <w:t>4</w:t>
      </w:r>
      <w:r w:rsidR="007E7BB7">
        <w:fldChar w:fldCharType="end"/>
      </w:r>
      <w:r>
        <w:t xml:space="preserve"> Category examples</w:t>
      </w:r>
      <w:bookmarkEnd w:id="5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3119"/>
        <w:gridCol w:w="5897"/>
      </w:tblGrid>
      <w:tr w:rsidR="00111E4D" w14:paraId="01564110" w14:textId="77777777" w:rsidTr="00111E4D">
        <w:tc>
          <w:tcPr>
            <w:tcW w:w="3119" w:type="dxa"/>
            <w:tcBorders>
              <w:top w:val="single" w:sz="4" w:space="0" w:color="auto"/>
              <w:bottom w:val="single" w:sz="4" w:space="0" w:color="auto"/>
            </w:tcBorders>
            <w:shd w:val="clear" w:color="auto" w:fill="FFFFFF" w:themeFill="background1"/>
          </w:tcPr>
          <w:p w14:paraId="10930BAE" w14:textId="77777777" w:rsidR="00111E4D" w:rsidRDefault="00111E4D" w:rsidP="00111E4D">
            <w:pPr>
              <w:pStyle w:val="NoSpacing"/>
            </w:pPr>
            <w:r w:rsidRPr="00B90505">
              <w:t>Category</w:t>
            </w:r>
          </w:p>
        </w:tc>
        <w:tc>
          <w:tcPr>
            <w:tcW w:w="5897" w:type="dxa"/>
            <w:tcBorders>
              <w:top w:val="single" w:sz="4" w:space="0" w:color="auto"/>
              <w:bottom w:val="single" w:sz="4" w:space="0" w:color="auto"/>
            </w:tcBorders>
            <w:shd w:val="clear" w:color="auto" w:fill="FFFFFF" w:themeFill="background1"/>
          </w:tcPr>
          <w:p w14:paraId="7433C695" w14:textId="77777777" w:rsidR="00111E4D" w:rsidRDefault="00111E4D" w:rsidP="00111E4D">
            <w:pPr>
              <w:pStyle w:val="NoSpacing"/>
            </w:pPr>
            <w:r>
              <w:t>Examples</w:t>
            </w:r>
          </w:p>
        </w:tc>
      </w:tr>
      <w:tr w:rsidR="00111E4D" w14:paraId="0D397B10" w14:textId="77777777" w:rsidTr="00111E4D">
        <w:tc>
          <w:tcPr>
            <w:tcW w:w="3119" w:type="dxa"/>
            <w:tcBorders>
              <w:top w:val="single" w:sz="4" w:space="0" w:color="auto"/>
            </w:tcBorders>
            <w:shd w:val="clear" w:color="auto" w:fill="FFFFFF" w:themeFill="background1"/>
            <w:vAlign w:val="center"/>
          </w:tcPr>
          <w:p w14:paraId="650AAAE6" w14:textId="77777777" w:rsidR="00111E4D" w:rsidRDefault="00111E4D" w:rsidP="00111E4D">
            <w:pPr>
              <w:pStyle w:val="NoSpacing"/>
            </w:pPr>
            <w:r w:rsidRPr="00B90505">
              <w:t>AI</w:t>
            </w:r>
          </w:p>
        </w:tc>
        <w:tc>
          <w:tcPr>
            <w:tcW w:w="5897" w:type="dxa"/>
            <w:tcBorders>
              <w:top w:val="single" w:sz="4" w:space="0" w:color="auto"/>
            </w:tcBorders>
            <w:shd w:val="clear" w:color="auto" w:fill="FFFFFF" w:themeFill="background1"/>
          </w:tcPr>
          <w:p w14:paraId="654B1A36" w14:textId="77777777" w:rsidR="00111E4D" w:rsidRDefault="00111E4D" w:rsidP="00111E4D">
            <w:pPr>
              <w:pStyle w:val="NoSpacing"/>
            </w:pPr>
            <w:r>
              <w:t>“</w:t>
            </w:r>
            <w:r w:rsidRPr="008E38B6">
              <w:t>no repetitions of questions</w:t>
            </w:r>
            <w:r>
              <w:t>”</w:t>
            </w:r>
          </w:p>
        </w:tc>
      </w:tr>
      <w:tr w:rsidR="00111E4D" w14:paraId="725544C1" w14:textId="77777777" w:rsidTr="00111E4D">
        <w:tc>
          <w:tcPr>
            <w:tcW w:w="3119" w:type="dxa"/>
            <w:shd w:val="clear" w:color="auto" w:fill="FFFFFF" w:themeFill="background1"/>
            <w:vAlign w:val="center"/>
          </w:tcPr>
          <w:p w14:paraId="7132C86F" w14:textId="77777777" w:rsidR="00111E4D" w:rsidRDefault="00111E4D" w:rsidP="00111E4D">
            <w:pPr>
              <w:pStyle w:val="NoSpacing"/>
            </w:pPr>
            <w:r w:rsidRPr="00B90505">
              <w:t>UI</w:t>
            </w:r>
          </w:p>
        </w:tc>
        <w:tc>
          <w:tcPr>
            <w:tcW w:w="5897" w:type="dxa"/>
            <w:shd w:val="clear" w:color="auto" w:fill="FFFFFF" w:themeFill="background1"/>
          </w:tcPr>
          <w:p w14:paraId="4440504C" w14:textId="327FACA5" w:rsidR="00111E4D" w:rsidRDefault="00111E4D" w:rsidP="00111E4D">
            <w:pPr>
              <w:pStyle w:val="NoSpacing"/>
            </w:pPr>
            <w:r>
              <w:t>“</w:t>
            </w:r>
            <w:r w:rsidRPr="00F168D1">
              <w:t xml:space="preserve">design it softer colour </w:t>
            </w:r>
            <w:proofErr w:type="spellStart"/>
            <w:r w:rsidRPr="00F168D1">
              <w:t>etc</w:t>
            </w:r>
            <w:proofErr w:type="spellEnd"/>
            <w:r>
              <w:t>”</w:t>
            </w:r>
          </w:p>
        </w:tc>
      </w:tr>
      <w:tr w:rsidR="00111E4D" w14:paraId="7193FF10" w14:textId="77777777" w:rsidTr="00111E4D">
        <w:tc>
          <w:tcPr>
            <w:tcW w:w="3119" w:type="dxa"/>
            <w:shd w:val="clear" w:color="auto" w:fill="FFFFFF" w:themeFill="background1"/>
            <w:vAlign w:val="center"/>
          </w:tcPr>
          <w:p w14:paraId="4C3B9573" w14:textId="77777777" w:rsidR="00111E4D" w:rsidRDefault="00111E4D" w:rsidP="00111E4D">
            <w:pPr>
              <w:pStyle w:val="NoSpacing"/>
            </w:pPr>
            <w:r w:rsidRPr="00B90505">
              <w:t>Therapy</w:t>
            </w:r>
          </w:p>
        </w:tc>
        <w:tc>
          <w:tcPr>
            <w:tcW w:w="5897" w:type="dxa"/>
            <w:shd w:val="clear" w:color="auto" w:fill="FFFFFF" w:themeFill="background1"/>
          </w:tcPr>
          <w:p w14:paraId="24E14800" w14:textId="77777777" w:rsidR="00111E4D" w:rsidRDefault="00111E4D" w:rsidP="00111E4D">
            <w:pPr>
              <w:pStyle w:val="NoSpacing"/>
            </w:pPr>
            <w:r>
              <w:t>“</w:t>
            </w:r>
            <w:r w:rsidRPr="008E38B6">
              <w:t>Stop asking me what I thought of my answer</w:t>
            </w:r>
            <w:r>
              <w:t>”</w:t>
            </w:r>
          </w:p>
        </w:tc>
      </w:tr>
      <w:tr w:rsidR="00111E4D" w14:paraId="4DB1852B" w14:textId="77777777" w:rsidTr="00111E4D">
        <w:tc>
          <w:tcPr>
            <w:tcW w:w="3119" w:type="dxa"/>
            <w:tcBorders>
              <w:bottom w:val="single" w:sz="4" w:space="0" w:color="auto"/>
            </w:tcBorders>
            <w:shd w:val="clear" w:color="auto" w:fill="FFFFFF" w:themeFill="background1"/>
            <w:vAlign w:val="center"/>
          </w:tcPr>
          <w:p w14:paraId="55AD0B90" w14:textId="77777777" w:rsidR="00111E4D" w:rsidRDefault="00111E4D" w:rsidP="00111E4D">
            <w:pPr>
              <w:pStyle w:val="NoSpacing"/>
            </w:pPr>
            <w:r w:rsidRPr="00B90505">
              <w:t>Other</w:t>
            </w:r>
          </w:p>
        </w:tc>
        <w:tc>
          <w:tcPr>
            <w:tcW w:w="5897" w:type="dxa"/>
            <w:tcBorders>
              <w:bottom w:val="single" w:sz="4" w:space="0" w:color="auto"/>
            </w:tcBorders>
            <w:shd w:val="clear" w:color="auto" w:fill="FFFFFF" w:themeFill="background1"/>
          </w:tcPr>
          <w:p w14:paraId="6AA16BCD" w14:textId="77777777" w:rsidR="00111E4D" w:rsidRDefault="00111E4D" w:rsidP="00111E4D">
            <w:pPr>
              <w:pStyle w:val="NoSpacing"/>
            </w:pPr>
            <w:r>
              <w:t>“</w:t>
            </w:r>
            <w:r w:rsidRPr="00F168D1">
              <w:t>abandon it</w:t>
            </w:r>
            <w:r>
              <w:t>”</w:t>
            </w:r>
          </w:p>
        </w:tc>
      </w:tr>
    </w:tbl>
    <w:p w14:paraId="2E4E9977" w14:textId="77777777" w:rsidR="00111E4D" w:rsidRDefault="00111E4D" w:rsidP="00111E4D">
      <w:pPr>
        <w:pStyle w:val="NoSpacing"/>
      </w:pPr>
    </w:p>
    <w:p w14:paraId="186231B7" w14:textId="71F377DD" w:rsidR="002D43A8" w:rsidRDefault="00111E4D" w:rsidP="00111E4D">
      <w:r>
        <w:t>The results indicated that the area requiring most improvement was MYLO’s AI receiving the highest percentage of suggestions in all groups (see</w:t>
      </w:r>
      <w:r>
        <w:rPr>
          <w:b/>
        </w:rPr>
        <w:t xml:space="preserve"> </w:t>
      </w:r>
      <w:r>
        <w:rPr>
          <w:b/>
        </w:rPr>
        <w:fldChar w:fldCharType="begin"/>
      </w:r>
      <w:r>
        <w:rPr>
          <w:b/>
        </w:rPr>
        <w:instrText xml:space="preserve"> REF _Ref523777859 \h </w:instrText>
      </w:r>
      <w:r>
        <w:rPr>
          <w:b/>
        </w:rPr>
      </w:r>
      <w:r>
        <w:rPr>
          <w:b/>
        </w:rPr>
        <w:fldChar w:fldCharType="separate"/>
      </w:r>
      <w:r w:rsidR="002D43A8">
        <w:t xml:space="preserve">Table </w:t>
      </w:r>
      <w:r w:rsidR="002D43A8">
        <w:rPr>
          <w:noProof/>
        </w:rPr>
        <w:t>6</w:t>
      </w:r>
      <w:r w:rsidR="002D43A8">
        <w:t>.</w:t>
      </w:r>
      <w:r w:rsidR="002D43A8">
        <w:rPr>
          <w:noProof/>
        </w:rPr>
        <w:t>5</w:t>
      </w:r>
      <w:r>
        <w:rPr>
          <w:b/>
        </w:rPr>
        <w:fldChar w:fldCharType="end"/>
      </w:r>
      <w:r>
        <w:t xml:space="preserve">).  M group received the highest number of suggestions relating to the underlying MOL therapy.  </w:t>
      </w:r>
      <w:proofErr w:type="gramStart"/>
      <w:r>
        <w:t>The M+G+S group at the lowest number of suggestions relating to the UI.</w:t>
      </w:r>
      <w:proofErr w:type="gramEnd"/>
    </w:p>
    <w:p w14:paraId="3556AF4C" w14:textId="77777777" w:rsidR="002D43A8" w:rsidRDefault="002D43A8">
      <w:pPr>
        <w:spacing w:line="259" w:lineRule="auto"/>
      </w:pPr>
      <w:r>
        <w:br w:type="page"/>
      </w:r>
    </w:p>
    <w:p w14:paraId="72EF264C" w14:textId="77777777" w:rsidR="00111E4D" w:rsidRDefault="00111E4D" w:rsidP="00111E4D"/>
    <w:p w14:paraId="0A19F7E6" w14:textId="6F771AA1" w:rsidR="00111E4D" w:rsidRDefault="00111E4D" w:rsidP="00111E4D">
      <w:pPr>
        <w:pStyle w:val="Caption"/>
        <w:keepNext/>
      </w:pPr>
      <w:bookmarkStart w:id="537" w:name="_Ref523777859"/>
      <w:bookmarkStart w:id="538" w:name="_Ref523826806"/>
      <w:bookmarkStart w:id="539" w:name="_Toc530759497"/>
      <w:proofErr w:type="gramStart"/>
      <w:r>
        <w:t xml:space="preserve">Table </w:t>
      </w:r>
      <w:r w:rsidR="007E7BB7">
        <w:fldChar w:fldCharType="begin"/>
      </w:r>
      <w:r w:rsidR="007E7BB7">
        <w:instrText xml:space="preserve"> STYLEREF 1 \s </w:instrText>
      </w:r>
      <w:r w:rsidR="007E7BB7">
        <w:fldChar w:fldCharType="separate"/>
      </w:r>
      <w:r w:rsidR="00574650">
        <w:rPr>
          <w:noProof/>
        </w:rPr>
        <w:t>6</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r w:rsidR="002D43A8">
        <w:rPr>
          <w:noProof/>
        </w:rPr>
        <w:t>5</w:t>
      </w:r>
      <w:r w:rsidR="007E7BB7">
        <w:fldChar w:fldCharType="end"/>
      </w:r>
      <w:bookmarkEnd w:id="537"/>
      <w:r>
        <w:t xml:space="preserve"> </w:t>
      </w:r>
      <w:r w:rsidRPr="00585C6D">
        <w:t>System feedback improvement suggestions by improvement category by group</w:t>
      </w:r>
      <w:bookmarkEnd w:id="538"/>
      <w:bookmarkEnd w:id="539"/>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4280"/>
        <w:gridCol w:w="3043"/>
        <w:gridCol w:w="2814"/>
      </w:tblGrid>
      <w:tr w:rsidR="00111E4D" w:rsidRPr="00B90505" w14:paraId="26B02998" w14:textId="77777777" w:rsidTr="00111E4D">
        <w:tc>
          <w:tcPr>
            <w:tcW w:w="2111" w:type="pct"/>
            <w:tcBorders>
              <w:top w:val="single" w:sz="4" w:space="0" w:color="auto"/>
              <w:bottom w:val="single" w:sz="4" w:space="0" w:color="auto"/>
            </w:tcBorders>
          </w:tcPr>
          <w:p w14:paraId="2147F1CC" w14:textId="77777777" w:rsidR="00111E4D" w:rsidRPr="00B90505" w:rsidRDefault="00111E4D" w:rsidP="00111E4D">
            <w:pPr>
              <w:pStyle w:val="NoSpacing"/>
            </w:pPr>
            <w:r w:rsidRPr="00B90505">
              <w:t>Group</w:t>
            </w:r>
          </w:p>
        </w:tc>
        <w:tc>
          <w:tcPr>
            <w:tcW w:w="1501" w:type="pct"/>
            <w:tcBorders>
              <w:top w:val="single" w:sz="4" w:space="0" w:color="auto"/>
              <w:bottom w:val="single" w:sz="4" w:space="0" w:color="auto"/>
            </w:tcBorders>
            <w:vAlign w:val="center"/>
          </w:tcPr>
          <w:p w14:paraId="6013DE46" w14:textId="77777777" w:rsidR="00111E4D" w:rsidRPr="00B90505" w:rsidRDefault="00111E4D" w:rsidP="00111E4D">
            <w:pPr>
              <w:pStyle w:val="NoSpacing"/>
            </w:pPr>
            <w:r w:rsidRPr="00B90505">
              <w:t>Category</w:t>
            </w:r>
          </w:p>
        </w:tc>
        <w:tc>
          <w:tcPr>
            <w:tcW w:w="1388" w:type="pct"/>
            <w:tcBorders>
              <w:top w:val="single" w:sz="4" w:space="0" w:color="auto"/>
              <w:bottom w:val="single" w:sz="4" w:space="0" w:color="auto"/>
            </w:tcBorders>
            <w:vAlign w:val="center"/>
          </w:tcPr>
          <w:p w14:paraId="754301FC" w14:textId="77777777" w:rsidR="00111E4D" w:rsidRPr="00B90505" w:rsidRDefault="00111E4D" w:rsidP="00111E4D">
            <w:pPr>
              <w:pStyle w:val="NoSpacing"/>
            </w:pPr>
            <w:r w:rsidRPr="00B90505">
              <w:t>Total (Percent)</w:t>
            </w:r>
          </w:p>
        </w:tc>
      </w:tr>
      <w:tr w:rsidR="00111E4D" w:rsidRPr="00B90505" w14:paraId="1CBBE132" w14:textId="77777777" w:rsidTr="00111E4D">
        <w:tc>
          <w:tcPr>
            <w:tcW w:w="2111" w:type="pct"/>
            <w:tcBorders>
              <w:top w:val="single" w:sz="4" w:space="0" w:color="auto"/>
            </w:tcBorders>
          </w:tcPr>
          <w:p w14:paraId="4F38683C" w14:textId="77777777" w:rsidR="00111E4D" w:rsidRPr="00B90505" w:rsidRDefault="00111E4D" w:rsidP="00111E4D">
            <w:pPr>
              <w:pStyle w:val="NoSpacing"/>
            </w:pPr>
            <w:r w:rsidRPr="00B90505">
              <w:t>MYLO</w:t>
            </w:r>
          </w:p>
        </w:tc>
        <w:tc>
          <w:tcPr>
            <w:tcW w:w="1501" w:type="pct"/>
            <w:tcBorders>
              <w:top w:val="single" w:sz="4" w:space="0" w:color="auto"/>
            </w:tcBorders>
            <w:shd w:val="clear" w:color="auto" w:fill="auto"/>
            <w:vAlign w:val="center"/>
          </w:tcPr>
          <w:p w14:paraId="4203B298" w14:textId="77777777" w:rsidR="00111E4D" w:rsidRPr="00B90505" w:rsidRDefault="00111E4D" w:rsidP="00111E4D">
            <w:pPr>
              <w:pStyle w:val="NoSpacing"/>
            </w:pPr>
            <w:r w:rsidRPr="00B90505">
              <w:t>AI</w:t>
            </w:r>
          </w:p>
        </w:tc>
        <w:tc>
          <w:tcPr>
            <w:tcW w:w="1388" w:type="pct"/>
            <w:tcBorders>
              <w:top w:val="single" w:sz="4" w:space="0" w:color="auto"/>
            </w:tcBorders>
            <w:shd w:val="clear" w:color="auto" w:fill="auto"/>
            <w:vAlign w:val="center"/>
          </w:tcPr>
          <w:p w14:paraId="22E7412B" w14:textId="77777777" w:rsidR="00111E4D" w:rsidRPr="00B90505" w:rsidRDefault="00111E4D" w:rsidP="00111E4D">
            <w:pPr>
              <w:pStyle w:val="NoSpacing"/>
            </w:pPr>
            <w:r w:rsidRPr="00B90505">
              <w:t>17 (33.3)</w:t>
            </w:r>
          </w:p>
        </w:tc>
      </w:tr>
      <w:tr w:rsidR="00111E4D" w:rsidRPr="00B90505" w14:paraId="0712F63F" w14:textId="77777777" w:rsidTr="00111E4D">
        <w:tc>
          <w:tcPr>
            <w:tcW w:w="2111" w:type="pct"/>
          </w:tcPr>
          <w:p w14:paraId="6EBAF515" w14:textId="77777777" w:rsidR="00111E4D" w:rsidRPr="00B90505" w:rsidRDefault="00111E4D" w:rsidP="00111E4D">
            <w:pPr>
              <w:pStyle w:val="NoSpacing"/>
            </w:pPr>
          </w:p>
        </w:tc>
        <w:tc>
          <w:tcPr>
            <w:tcW w:w="1501" w:type="pct"/>
            <w:shd w:val="clear" w:color="auto" w:fill="auto"/>
            <w:vAlign w:val="center"/>
          </w:tcPr>
          <w:p w14:paraId="15591022" w14:textId="77777777" w:rsidR="00111E4D" w:rsidRPr="00B90505" w:rsidRDefault="00111E4D" w:rsidP="00111E4D">
            <w:pPr>
              <w:pStyle w:val="NoSpacing"/>
            </w:pPr>
            <w:r w:rsidRPr="00B90505">
              <w:t>UI</w:t>
            </w:r>
          </w:p>
        </w:tc>
        <w:tc>
          <w:tcPr>
            <w:tcW w:w="1388" w:type="pct"/>
            <w:shd w:val="clear" w:color="auto" w:fill="auto"/>
            <w:vAlign w:val="center"/>
          </w:tcPr>
          <w:p w14:paraId="14CC923D" w14:textId="77777777" w:rsidR="00111E4D" w:rsidRPr="00B90505" w:rsidRDefault="00111E4D" w:rsidP="00111E4D">
            <w:pPr>
              <w:pStyle w:val="NoSpacing"/>
            </w:pPr>
            <w:r w:rsidRPr="00B90505">
              <w:t>17 (33.3)</w:t>
            </w:r>
          </w:p>
        </w:tc>
      </w:tr>
      <w:tr w:rsidR="00111E4D" w:rsidRPr="00B90505" w14:paraId="6C2E743E" w14:textId="77777777" w:rsidTr="00111E4D">
        <w:tc>
          <w:tcPr>
            <w:tcW w:w="2111" w:type="pct"/>
          </w:tcPr>
          <w:p w14:paraId="7D7D7852" w14:textId="77777777" w:rsidR="00111E4D" w:rsidRPr="00B90505" w:rsidRDefault="00111E4D" w:rsidP="00111E4D">
            <w:pPr>
              <w:pStyle w:val="NoSpacing"/>
            </w:pPr>
          </w:p>
        </w:tc>
        <w:tc>
          <w:tcPr>
            <w:tcW w:w="1501" w:type="pct"/>
            <w:shd w:val="clear" w:color="auto" w:fill="auto"/>
            <w:vAlign w:val="center"/>
          </w:tcPr>
          <w:p w14:paraId="517DCCC9" w14:textId="77777777" w:rsidR="00111E4D" w:rsidRPr="00B90505" w:rsidRDefault="00111E4D" w:rsidP="00111E4D">
            <w:pPr>
              <w:pStyle w:val="NoSpacing"/>
            </w:pPr>
            <w:r w:rsidRPr="00B90505">
              <w:t>Therapy</w:t>
            </w:r>
          </w:p>
        </w:tc>
        <w:tc>
          <w:tcPr>
            <w:tcW w:w="1388" w:type="pct"/>
            <w:shd w:val="clear" w:color="auto" w:fill="auto"/>
            <w:vAlign w:val="center"/>
          </w:tcPr>
          <w:p w14:paraId="6226238B" w14:textId="77777777" w:rsidR="00111E4D" w:rsidRPr="00B90505" w:rsidRDefault="00111E4D" w:rsidP="00111E4D">
            <w:pPr>
              <w:pStyle w:val="NoSpacing"/>
            </w:pPr>
            <w:r w:rsidRPr="00B90505">
              <w:t>15 (29.4)</w:t>
            </w:r>
          </w:p>
        </w:tc>
      </w:tr>
      <w:tr w:rsidR="00111E4D" w:rsidRPr="00B90505" w14:paraId="1808783B" w14:textId="77777777" w:rsidTr="00111E4D">
        <w:trPr>
          <w:trHeight w:val="152"/>
        </w:trPr>
        <w:tc>
          <w:tcPr>
            <w:tcW w:w="2111" w:type="pct"/>
            <w:tcBorders>
              <w:bottom w:val="single" w:sz="4" w:space="0" w:color="auto"/>
            </w:tcBorders>
          </w:tcPr>
          <w:p w14:paraId="4D2E6C2D" w14:textId="77777777" w:rsidR="00111E4D" w:rsidRPr="00B90505" w:rsidRDefault="00111E4D" w:rsidP="00111E4D">
            <w:pPr>
              <w:pStyle w:val="NoSpacing"/>
            </w:pPr>
          </w:p>
        </w:tc>
        <w:tc>
          <w:tcPr>
            <w:tcW w:w="1501" w:type="pct"/>
            <w:tcBorders>
              <w:bottom w:val="single" w:sz="4" w:space="0" w:color="auto"/>
            </w:tcBorders>
            <w:shd w:val="clear" w:color="auto" w:fill="auto"/>
            <w:vAlign w:val="center"/>
          </w:tcPr>
          <w:p w14:paraId="08F8EBB8" w14:textId="77777777" w:rsidR="00111E4D" w:rsidRPr="00B90505" w:rsidRDefault="00111E4D" w:rsidP="00111E4D">
            <w:pPr>
              <w:pStyle w:val="NoSpacing"/>
            </w:pPr>
            <w:r w:rsidRPr="00B90505">
              <w:t>Other</w:t>
            </w:r>
          </w:p>
        </w:tc>
        <w:tc>
          <w:tcPr>
            <w:tcW w:w="1388" w:type="pct"/>
            <w:tcBorders>
              <w:bottom w:val="single" w:sz="4" w:space="0" w:color="auto"/>
            </w:tcBorders>
            <w:shd w:val="clear" w:color="auto" w:fill="auto"/>
            <w:vAlign w:val="center"/>
          </w:tcPr>
          <w:p w14:paraId="50779E80" w14:textId="77777777" w:rsidR="00111E4D" w:rsidRPr="00B90505" w:rsidRDefault="00111E4D" w:rsidP="00111E4D">
            <w:pPr>
              <w:pStyle w:val="NoSpacing"/>
            </w:pPr>
            <w:r w:rsidRPr="00B90505">
              <w:t>2 (3.9)</w:t>
            </w:r>
          </w:p>
        </w:tc>
      </w:tr>
      <w:tr w:rsidR="00111E4D" w:rsidRPr="00B90505" w14:paraId="2CEA716F" w14:textId="77777777" w:rsidTr="00111E4D">
        <w:trPr>
          <w:trHeight w:val="152"/>
        </w:trPr>
        <w:tc>
          <w:tcPr>
            <w:tcW w:w="2111" w:type="pct"/>
            <w:tcBorders>
              <w:top w:val="single" w:sz="4" w:space="0" w:color="auto"/>
            </w:tcBorders>
          </w:tcPr>
          <w:p w14:paraId="17F94036" w14:textId="77777777" w:rsidR="00111E4D" w:rsidRPr="00B90505" w:rsidRDefault="00111E4D" w:rsidP="00111E4D">
            <w:pPr>
              <w:pStyle w:val="NoSpacing"/>
            </w:pPr>
            <w:r w:rsidRPr="00B90505">
              <w:t>MYLO Guided</w:t>
            </w:r>
          </w:p>
        </w:tc>
        <w:tc>
          <w:tcPr>
            <w:tcW w:w="1501" w:type="pct"/>
            <w:tcBorders>
              <w:top w:val="single" w:sz="4" w:space="0" w:color="auto"/>
            </w:tcBorders>
            <w:shd w:val="clear" w:color="auto" w:fill="auto"/>
            <w:vAlign w:val="center"/>
          </w:tcPr>
          <w:p w14:paraId="502103C0" w14:textId="77777777" w:rsidR="00111E4D" w:rsidRPr="00B90505" w:rsidRDefault="00111E4D" w:rsidP="00111E4D">
            <w:pPr>
              <w:pStyle w:val="NoSpacing"/>
            </w:pPr>
            <w:r w:rsidRPr="00B90505">
              <w:t>AI</w:t>
            </w:r>
          </w:p>
        </w:tc>
        <w:tc>
          <w:tcPr>
            <w:tcW w:w="1388" w:type="pct"/>
            <w:tcBorders>
              <w:top w:val="single" w:sz="4" w:space="0" w:color="auto"/>
            </w:tcBorders>
            <w:shd w:val="clear" w:color="auto" w:fill="auto"/>
            <w:vAlign w:val="center"/>
          </w:tcPr>
          <w:p w14:paraId="1D99B611" w14:textId="77777777" w:rsidR="00111E4D" w:rsidRPr="00B90505" w:rsidRDefault="00111E4D" w:rsidP="00111E4D">
            <w:pPr>
              <w:pStyle w:val="NoSpacing"/>
            </w:pPr>
            <w:r w:rsidRPr="00B90505">
              <w:t>25 (64.1)</w:t>
            </w:r>
          </w:p>
        </w:tc>
      </w:tr>
      <w:tr w:rsidR="00111E4D" w:rsidRPr="00B90505" w14:paraId="1D970E74" w14:textId="77777777" w:rsidTr="00111E4D">
        <w:trPr>
          <w:trHeight w:val="152"/>
        </w:trPr>
        <w:tc>
          <w:tcPr>
            <w:tcW w:w="2111" w:type="pct"/>
          </w:tcPr>
          <w:p w14:paraId="390E7F33" w14:textId="77777777" w:rsidR="00111E4D" w:rsidRPr="00B90505" w:rsidRDefault="00111E4D" w:rsidP="00111E4D">
            <w:pPr>
              <w:pStyle w:val="NoSpacing"/>
            </w:pPr>
          </w:p>
        </w:tc>
        <w:tc>
          <w:tcPr>
            <w:tcW w:w="1501" w:type="pct"/>
            <w:shd w:val="clear" w:color="auto" w:fill="auto"/>
            <w:vAlign w:val="center"/>
          </w:tcPr>
          <w:p w14:paraId="7C329320" w14:textId="77777777" w:rsidR="00111E4D" w:rsidRPr="00B90505" w:rsidRDefault="00111E4D" w:rsidP="00111E4D">
            <w:pPr>
              <w:pStyle w:val="NoSpacing"/>
            </w:pPr>
            <w:r w:rsidRPr="00B90505">
              <w:t>UI</w:t>
            </w:r>
          </w:p>
        </w:tc>
        <w:tc>
          <w:tcPr>
            <w:tcW w:w="1388" w:type="pct"/>
            <w:shd w:val="clear" w:color="auto" w:fill="auto"/>
            <w:vAlign w:val="center"/>
          </w:tcPr>
          <w:p w14:paraId="3B433D65" w14:textId="77777777" w:rsidR="00111E4D" w:rsidRPr="00B90505" w:rsidRDefault="00111E4D" w:rsidP="00111E4D">
            <w:pPr>
              <w:pStyle w:val="NoSpacing"/>
            </w:pPr>
            <w:r w:rsidRPr="00B90505">
              <w:t>8 (20.5)</w:t>
            </w:r>
          </w:p>
        </w:tc>
      </w:tr>
      <w:tr w:rsidR="00111E4D" w:rsidRPr="00B90505" w14:paraId="54508D14" w14:textId="77777777" w:rsidTr="00111E4D">
        <w:trPr>
          <w:trHeight w:val="152"/>
        </w:trPr>
        <w:tc>
          <w:tcPr>
            <w:tcW w:w="2111" w:type="pct"/>
          </w:tcPr>
          <w:p w14:paraId="47124BE9" w14:textId="77777777" w:rsidR="00111E4D" w:rsidRPr="00B90505" w:rsidRDefault="00111E4D" w:rsidP="00111E4D">
            <w:pPr>
              <w:pStyle w:val="NoSpacing"/>
            </w:pPr>
          </w:p>
        </w:tc>
        <w:tc>
          <w:tcPr>
            <w:tcW w:w="1501" w:type="pct"/>
            <w:shd w:val="clear" w:color="auto" w:fill="auto"/>
            <w:vAlign w:val="center"/>
          </w:tcPr>
          <w:p w14:paraId="23F70655" w14:textId="77777777" w:rsidR="00111E4D" w:rsidRPr="00B90505" w:rsidRDefault="00111E4D" w:rsidP="00111E4D">
            <w:pPr>
              <w:pStyle w:val="NoSpacing"/>
            </w:pPr>
            <w:r w:rsidRPr="00B90505">
              <w:t>Therapy</w:t>
            </w:r>
          </w:p>
        </w:tc>
        <w:tc>
          <w:tcPr>
            <w:tcW w:w="1388" w:type="pct"/>
            <w:shd w:val="clear" w:color="auto" w:fill="auto"/>
            <w:vAlign w:val="center"/>
          </w:tcPr>
          <w:p w14:paraId="56BAB8CE" w14:textId="77777777" w:rsidR="00111E4D" w:rsidRPr="00B90505" w:rsidRDefault="00111E4D" w:rsidP="00111E4D">
            <w:pPr>
              <w:pStyle w:val="NoSpacing"/>
            </w:pPr>
            <w:r w:rsidRPr="00B90505">
              <w:t>3 (7.7)</w:t>
            </w:r>
          </w:p>
        </w:tc>
      </w:tr>
      <w:tr w:rsidR="00111E4D" w:rsidRPr="00B90505" w14:paraId="4647A539" w14:textId="77777777" w:rsidTr="00111E4D">
        <w:trPr>
          <w:trHeight w:val="152"/>
        </w:trPr>
        <w:tc>
          <w:tcPr>
            <w:tcW w:w="2111" w:type="pct"/>
            <w:tcBorders>
              <w:bottom w:val="single" w:sz="4" w:space="0" w:color="auto"/>
            </w:tcBorders>
          </w:tcPr>
          <w:p w14:paraId="314114BA" w14:textId="77777777" w:rsidR="00111E4D" w:rsidRPr="00B90505" w:rsidRDefault="00111E4D" w:rsidP="00111E4D">
            <w:pPr>
              <w:pStyle w:val="NoSpacing"/>
            </w:pPr>
          </w:p>
        </w:tc>
        <w:tc>
          <w:tcPr>
            <w:tcW w:w="1501" w:type="pct"/>
            <w:tcBorders>
              <w:bottom w:val="single" w:sz="4" w:space="0" w:color="auto"/>
            </w:tcBorders>
            <w:shd w:val="clear" w:color="auto" w:fill="auto"/>
            <w:vAlign w:val="center"/>
          </w:tcPr>
          <w:p w14:paraId="28C502F5" w14:textId="77777777" w:rsidR="00111E4D" w:rsidRPr="00B90505" w:rsidRDefault="00111E4D" w:rsidP="00111E4D">
            <w:pPr>
              <w:pStyle w:val="NoSpacing"/>
            </w:pPr>
            <w:r w:rsidRPr="00B90505">
              <w:t>Other</w:t>
            </w:r>
          </w:p>
        </w:tc>
        <w:tc>
          <w:tcPr>
            <w:tcW w:w="1388" w:type="pct"/>
            <w:tcBorders>
              <w:bottom w:val="single" w:sz="4" w:space="0" w:color="auto"/>
            </w:tcBorders>
            <w:shd w:val="clear" w:color="auto" w:fill="auto"/>
            <w:vAlign w:val="center"/>
          </w:tcPr>
          <w:p w14:paraId="290F2D3F" w14:textId="77777777" w:rsidR="00111E4D" w:rsidRPr="00B90505" w:rsidRDefault="00111E4D" w:rsidP="00111E4D">
            <w:pPr>
              <w:pStyle w:val="NoSpacing"/>
            </w:pPr>
            <w:r w:rsidRPr="00B90505">
              <w:t>3 (7.7)</w:t>
            </w:r>
          </w:p>
        </w:tc>
      </w:tr>
      <w:tr w:rsidR="00111E4D" w:rsidRPr="00B90505" w14:paraId="1C81A2EF" w14:textId="77777777" w:rsidTr="00111E4D">
        <w:trPr>
          <w:trHeight w:val="152"/>
        </w:trPr>
        <w:tc>
          <w:tcPr>
            <w:tcW w:w="2111" w:type="pct"/>
            <w:tcBorders>
              <w:top w:val="single" w:sz="4" w:space="0" w:color="auto"/>
            </w:tcBorders>
          </w:tcPr>
          <w:p w14:paraId="459A65A8" w14:textId="77777777" w:rsidR="00111E4D" w:rsidRPr="00B90505" w:rsidRDefault="00111E4D" w:rsidP="00111E4D">
            <w:pPr>
              <w:pStyle w:val="NoSpacing"/>
            </w:pPr>
            <w:r w:rsidRPr="00B90505">
              <w:t>MYLO Guided with Speech</w:t>
            </w:r>
          </w:p>
        </w:tc>
        <w:tc>
          <w:tcPr>
            <w:tcW w:w="1501" w:type="pct"/>
            <w:tcBorders>
              <w:top w:val="single" w:sz="4" w:space="0" w:color="auto"/>
            </w:tcBorders>
            <w:shd w:val="clear" w:color="auto" w:fill="auto"/>
            <w:vAlign w:val="center"/>
          </w:tcPr>
          <w:p w14:paraId="4F3AB1BA" w14:textId="77777777" w:rsidR="00111E4D" w:rsidRPr="00B90505" w:rsidRDefault="00111E4D" w:rsidP="00111E4D">
            <w:pPr>
              <w:pStyle w:val="NoSpacing"/>
            </w:pPr>
            <w:r w:rsidRPr="00B90505">
              <w:t>AI</w:t>
            </w:r>
          </w:p>
        </w:tc>
        <w:tc>
          <w:tcPr>
            <w:tcW w:w="1388" w:type="pct"/>
            <w:tcBorders>
              <w:top w:val="single" w:sz="4" w:space="0" w:color="auto"/>
            </w:tcBorders>
            <w:shd w:val="clear" w:color="auto" w:fill="auto"/>
            <w:vAlign w:val="center"/>
          </w:tcPr>
          <w:p w14:paraId="19C1024A" w14:textId="77777777" w:rsidR="00111E4D" w:rsidRPr="00B90505" w:rsidRDefault="00111E4D" w:rsidP="00111E4D">
            <w:pPr>
              <w:pStyle w:val="NoSpacing"/>
            </w:pPr>
            <w:r w:rsidRPr="00B90505">
              <w:t>28 (62.2)</w:t>
            </w:r>
          </w:p>
        </w:tc>
      </w:tr>
      <w:tr w:rsidR="00111E4D" w:rsidRPr="00B90505" w14:paraId="6C29A05B" w14:textId="77777777" w:rsidTr="00111E4D">
        <w:trPr>
          <w:trHeight w:val="152"/>
        </w:trPr>
        <w:tc>
          <w:tcPr>
            <w:tcW w:w="2111" w:type="pct"/>
          </w:tcPr>
          <w:p w14:paraId="34545A54" w14:textId="77777777" w:rsidR="00111E4D" w:rsidRPr="00B90505" w:rsidRDefault="00111E4D" w:rsidP="00111E4D">
            <w:pPr>
              <w:pStyle w:val="NoSpacing"/>
            </w:pPr>
          </w:p>
        </w:tc>
        <w:tc>
          <w:tcPr>
            <w:tcW w:w="1501" w:type="pct"/>
            <w:shd w:val="clear" w:color="auto" w:fill="auto"/>
            <w:vAlign w:val="center"/>
          </w:tcPr>
          <w:p w14:paraId="231A2880" w14:textId="77777777" w:rsidR="00111E4D" w:rsidRPr="00B90505" w:rsidRDefault="00111E4D" w:rsidP="00111E4D">
            <w:pPr>
              <w:pStyle w:val="NoSpacing"/>
            </w:pPr>
            <w:r w:rsidRPr="00B90505">
              <w:t>UI</w:t>
            </w:r>
          </w:p>
        </w:tc>
        <w:tc>
          <w:tcPr>
            <w:tcW w:w="1388" w:type="pct"/>
            <w:shd w:val="clear" w:color="auto" w:fill="auto"/>
            <w:vAlign w:val="center"/>
          </w:tcPr>
          <w:p w14:paraId="3D908420" w14:textId="77777777" w:rsidR="00111E4D" w:rsidRPr="00B90505" w:rsidRDefault="00111E4D" w:rsidP="00111E4D">
            <w:pPr>
              <w:pStyle w:val="NoSpacing"/>
            </w:pPr>
            <w:r w:rsidRPr="00B90505">
              <w:t>10 (22.2)</w:t>
            </w:r>
          </w:p>
        </w:tc>
      </w:tr>
      <w:tr w:rsidR="00111E4D" w:rsidRPr="00B90505" w14:paraId="7BC3B3BA" w14:textId="77777777" w:rsidTr="00111E4D">
        <w:trPr>
          <w:trHeight w:val="152"/>
        </w:trPr>
        <w:tc>
          <w:tcPr>
            <w:tcW w:w="2111" w:type="pct"/>
          </w:tcPr>
          <w:p w14:paraId="13F9B002" w14:textId="77777777" w:rsidR="00111E4D" w:rsidRPr="00B90505" w:rsidRDefault="00111E4D" w:rsidP="00111E4D">
            <w:pPr>
              <w:pStyle w:val="NoSpacing"/>
            </w:pPr>
          </w:p>
        </w:tc>
        <w:tc>
          <w:tcPr>
            <w:tcW w:w="1501" w:type="pct"/>
            <w:shd w:val="clear" w:color="auto" w:fill="auto"/>
            <w:vAlign w:val="center"/>
          </w:tcPr>
          <w:p w14:paraId="6CE1F465" w14:textId="77777777" w:rsidR="00111E4D" w:rsidRPr="00B90505" w:rsidRDefault="00111E4D" w:rsidP="00111E4D">
            <w:pPr>
              <w:pStyle w:val="NoSpacing"/>
            </w:pPr>
            <w:r w:rsidRPr="00B90505">
              <w:t>Therapy</w:t>
            </w:r>
          </w:p>
        </w:tc>
        <w:tc>
          <w:tcPr>
            <w:tcW w:w="1388" w:type="pct"/>
            <w:shd w:val="clear" w:color="auto" w:fill="auto"/>
            <w:vAlign w:val="center"/>
          </w:tcPr>
          <w:p w14:paraId="3369C552" w14:textId="77777777" w:rsidR="00111E4D" w:rsidRPr="00B90505" w:rsidRDefault="00111E4D" w:rsidP="00111E4D">
            <w:pPr>
              <w:pStyle w:val="NoSpacing"/>
            </w:pPr>
            <w:r w:rsidRPr="00B90505">
              <w:t>3 (6.7)</w:t>
            </w:r>
          </w:p>
        </w:tc>
      </w:tr>
      <w:tr w:rsidR="00111E4D" w:rsidRPr="00B90505" w14:paraId="726A487D" w14:textId="77777777" w:rsidTr="00111E4D">
        <w:trPr>
          <w:trHeight w:val="152"/>
        </w:trPr>
        <w:tc>
          <w:tcPr>
            <w:tcW w:w="2111" w:type="pct"/>
            <w:tcBorders>
              <w:bottom w:val="single" w:sz="4" w:space="0" w:color="auto"/>
            </w:tcBorders>
          </w:tcPr>
          <w:p w14:paraId="1DD2D7B7" w14:textId="77777777" w:rsidR="00111E4D" w:rsidRPr="00B90505" w:rsidRDefault="00111E4D" w:rsidP="00111E4D">
            <w:pPr>
              <w:pStyle w:val="NoSpacing"/>
            </w:pPr>
          </w:p>
        </w:tc>
        <w:tc>
          <w:tcPr>
            <w:tcW w:w="1501" w:type="pct"/>
            <w:tcBorders>
              <w:bottom w:val="single" w:sz="4" w:space="0" w:color="auto"/>
            </w:tcBorders>
            <w:shd w:val="clear" w:color="auto" w:fill="auto"/>
            <w:vAlign w:val="center"/>
          </w:tcPr>
          <w:p w14:paraId="3CAA45BF" w14:textId="77777777" w:rsidR="00111E4D" w:rsidRPr="00B90505" w:rsidRDefault="00111E4D" w:rsidP="00111E4D">
            <w:pPr>
              <w:pStyle w:val="NoSpacing"/>
            </w:pPr>
            <w:r w:rsidRPr="00B90505">
              <w:t>Other</w:t>
            </w:r>
          </w:p>
        </w:tc>
        <w:tc>
          <w:tcPr>
            <w:tcW w:w="1388" w:type="pct"/>
            <w:tcBorders>
              <w:bottom w:val="single" w:sz="4" w:space="0" w:color="auto"/>
            </w:tcBorders>
            <w:shd w:val="clear" w:color="auto" w:fill="auto"/>
            <w:vAlign w:val="center"/>
          </w:tcPr>
          <w:p w14:paraId="6B42880D" w14:textId="77777777" w:rsidR="00111E4D" w:rsidRPr="00B90505" w:rsidRDefault="00111E4D" w:rsidP="00111E4D">
            <w:pPr>
              <w:pStyle w:val="NoSpacing"/>
            </w:pPr>
            <w:r w:rsidRPr="00B90505">
              <w:t>4 (8.9)</w:t>
            </w:r>
          </w:p>
        </w:tc>
      </w:tr>
    </w:tbl>
    <w:p w14:paraId="726BE7A8" w14:textId="1F1449FB" w:rsidR="00111E4D" w:rsidRDefault="00111E4D" w:rsidP="00111E4D">
      <w:pPr>
        <w:pStyle w:val="Heading4"/>
      </w:pPr>
      <w:r>
        <w:t xml:space="preserve">MYLO </w:t>
      </w:r>
      <w:r w:rsidR="00AB537E">
        <w:t>Q</w:t>
      </w:r>
      <w:r>
        <w:t xml:space="preserve">uestion </w:t>
      </w:r>
      <w:r w:rsidR="00AB537E">
        <w:t>R</w:t>
      </w:r>
      <w:r>
        <w:t>atings</w:t>
      </w:r>
    </w:p>
    <w:p w14:paraId="30A308CD" w14:textId="4CD77DCA" w:rsidR="00111E4D" w:rsidRPr="00B20696" w:rsidRDefault="00111E4D" w:rsidP="00111E4D">
      <w:pPr>
        <w:pStyle w:val="Heading5"/>
      </w:pPr>
      <w:r>
        <w:t xml:space="preserve">Problematic </w:t>
      </w:r>
      <w:r w:rsidR="00AB537E">
        <w:t>R</w:t>
      </w:r>
      <w:r>
        <w:t>atings</w:t>
      </w:r>
    </w:p>
    <w:p w14:paraId="7995622E" w14:textId="5DE94E1B" w:rsidR="00111E4D" w:rsidRDefault="00111E4D" w:rsidP="00111E4D">
      <w:r w:rsidRPr="00567E8C">
        <w:rPr>
          <w:noProof/>
        </w:rPr>
        <w:t>A Kruskal-Wallis H test was conducted to determine if there were differences in</w:t>
      </w:r>
      <w:r w:rsidRPr="002D3D9C">
        <w:t xml:space="preserve"> </w:t>
      </w:r>
      <w:r>
        <w:t>problematic ratings</w:t>
      </w:r>
      <w:r w:rsidRPr="002D3D9C">
        <w:t xml:space="preserve"> between groups </w:t>
      </w:r>
      <w:r>
        <w:t xml:space="preserve">at post-intervention </w:t>
      </w:r>
      <w:r w:rsidRPr="00355019">
        <w:t xml:space="preserve">between </w:t>
      </w:r>
      <w:r>
        <w:t>the three</w:t>
      </w:r>
      <w:r w:rsidRPr="00355019">
        <w:t xml:space="preserve"> groups</w:t>
      </w:r>
      <w:r w:rsidRPr="002D3D9C">
        <w:t xml:space="preserve">: </w:t>
      </w:r>
      <w:r>
        <w:t>MYLO</w:t>
      </w:r>
      <w:r w:rsidRPr="002D3D9C">
        <w:t xml:space="preserve"> (n = </w:t>
      </w:r>
      <w:r>
        <w:t>23</w:t>
      </w:r>
      <w:r w:rsidRPr="002D3D9C">
        <w:t xml:space="preserve">), </w:t>
      </w:r>
      <w:r>
        <w:t>MYLO Guided</w:t>
      </w:r>
      <w:r w:rsidRPr="002D3D9C">
        <w:t xml:space="preserve"> (n = </w:t>
      </w:r>
      <w:r>
        <w:t>1</w:t>
      </w:r>
      <w:r w:rsidRPr="002D3D9C">
        <w:t xml:space="preserve">9), and MYLO Guided with Speech (n = </w:t>
      </w:r>
      <w:r>
        <w:t>21</w:t>
      </w:r>
      <w:r w:rsidRPr="002D3D9C">
        <w:t xml:space="preserve">). </w:t>
      </w:r>
      <w:r>
        <w:t xml:space="preserve"> </w:t>
      </w:r>
      <w:r w:rsidRPr="002D3D9C">
        <w:t>Values are mean ranks unless otherwise stated</w:t>
      </w:r>
      <w:r w:rsidR="00554CB4">
        <w:t xml:space="preserve">.  </w:t>
      </w:r>
      <w:r w:rsidRPr="002D3D9C">
        <w:t xml:space="preserve">Distributions of </w:t>
      </w:r>
      <w:r>
        <w:t>problematic ratings</w:t>
      </w:r>
      <w:r w:rsidRPr="002D3D9C">
        <w:t xml:space="preserve"> </w:t>
      </w:r>
      <w:r>
        <w:t xml:space="preserve">at post-intervention </w:t>
      </w:r>
      <w:r w:rsidRPr="002D3D9C">
        <w:t>were not similar for all groups, as assessed by visual inspection of a boxplot</w:t>
      </w:r>
      <w:r>
        <w:t xml:space="preserve"> (see </w:t>
      </w:r>
      <w:r>
        <w:fldChar w:fldCharType="begin"/>
      </w:r>
      <w:r>
        <w:instrText xml:space="preserve"> REF _Ref526101036 \h </w:instrText>
      </w:r>
      <w:r>
        <w:fldChar w:fldCharType="separate"/>
      </w:r>
      <w:r w:rsidR="00574650">
        <w:t xml:space="preserve">Figure </w:t>
      </w:r>
      <w:r w:rsidR="00574650">
        <w:rPr>
          <w:noProof/>
        </w:rPr>
        <w:t>6</w:t>
      </w:r>
      <w:r w:rsidR="00574650">
        <w:t>.</w:t>
      </w:r>
      <w:r w:rsidR="00574650">
        <w:rPr>
          <w:noProof/>
        </w:rPr>
        <w:t>17</w:t>
      </w:r>
      <w:r>
        <w:fldChar w:fldCharType="end"/>
      </w:r>
      <w:r>
        <w:t>)</w:t>
      </w:r>
      <w:r w:rsidRPr="002D3D9C">
        <w:t>.</w:t>
      </w:r>
      <w:r>
        <w:t xml:space="preserve">  MYLO</w:t>
      </w:r>
      <w:r w:rsidRPr="003C4007">
        <w:t xml:space="preserve"> </w:t>
      </w:r>
      <w:r>
        <w:t>Guided</w:t>
      </w:r>
      <w:r w:rsidRPr="002D3D9C">
        <w:t xml:space="preserve"> (</w:t>
      </w:r>
      <w:r>
        <w:t>31.55) recorded lower problematic ratings</w:t>
      </w:r>
      <w:r w:rsidRPr="002D3D9C">
        <w:t xml:space="preserve"> </w:t>
      </w:r>
      <w:r>
        <w:t>at post-intervention than</w:t>
      </w:r>
      <w:r w:rsidRPr="002D3D9C">
        <w:t xml:space="preserve"> </w:t>
      </w:r>
      <w:r>
        <w:t xml:space="preserve">MYLO </w:t>
      </w:r>
      <w:r w:rsidRPr="002D3D9C">
        <w:t>(</w:t>
      </w:r>
      <w:r>
        <w:t>31.80</w:t>
      </w:r>
      <w:r w:rsidRPr="002D3D9C">
        <w:t xml:space="preserve">) and </w:t>
      </w:r>
      <w:r>
        <w:t>Guided</w:t>
      </w:r>
      <w:r w:rsidRPr="002D3D9C">
        <w:t xml:space="preserve"> </w:t>
      </w:r>
      <w:r>
        <w:t>MYLO with Speech</w:t>
      </w:r>
      <w:r w:rsidRPr="003C4007">
        <w:t xml:space="preserve"> </w:t>
      </w:r>
      <w:r w:rsidRPr="002D3D9C">
        <w:t>(</w:t>
      </w:r>
      <w:r>
        <w:t>32.62</w:t>
      </w:r>
      <w:r w:rsidRPr="002D3D9C">
        <w:t>)</w:t>
      </w:r>
      <w:r>
        <w:t xml:space="preserve"> </w:t>
      </w:r>
      <w:r w:rsidRPr="002D3D9C">
        <w:t xml:space="preserve">groups, but the differences were not statistically significant, </w:t>
      </w:r>
      <w:r w:rsidRPr="00D14936">
        <w:rPr>
          <w:i/>
        </w:rPr>
        <w:t>χ</w:t>
      </w:r>
      <w:r w:rsidRPr="00D14936">
        <w:rPr>
          <w:i/>
          <w:vertAlign w:val="superscript"/>
        </w:rPr>
        <w:t>2</w:t>
      </w:r>
      <w:r w:rsidRPr="00355019">
        <w:t>(</w:t>
      </w:r>
      <w:r>
        <w:t>2</w:t>
      </w:r>
      <w:r w:rsidRPr="00355019">
        <w:t xml:space="preserve">) = </w:t>
      </w:r>
      <w:r>
        <w:t>.038</w:t>
      </w:r>
      <w:r w:rsidRPr="00355019">
        <w:t>, </w:t>
      </w:r>
      <w:r w:rsidRPr="00D14936">
        <w:rPr>
          <w:i/>
        </w:rPr>
        <w:t>p</w:t>
      </w:r>
      <w:r w:rsidRPr="00355019">
        <w:t> = .</w:t>
      </w:r>
      <w:r>
        <w:t>981</w:t>
      </w:r>
      <w:r w:rsidRPr="00355019">
        <w:t>.</w:t>
      </w:r>
    </w:p>
    <w:p w14:paraId="72E48A60" w14:textId="0145CA53" w:rsidR="00111E4D" w:rsidRDefault="00111E4D" w:rsidP="00111E4D">
      <w:pPr>
        <w:pStyle w:val="Caption"/>
        <w:keepNext/>
      </w:pPr>
      <w:bookmarkStart w:id="540" w:name="_Ref526101036"/>
      <w:bookmarkStart w:id="541" w:name="_Toc530684685"/>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17</w:t>
      </w:r>
      <w:r w:rsidR="00371DCC">
        <w:fldChar w:fldCharType="end"/>
      </w:r>
      <w:bookmarkEnd w:id="540"/>
      <w:r w:rsidRPr="002F062B">
        <w:t xml:space="preserve"> </w:t>
      </w:r>
      <w:r>
        <w:t xml:space="preserve">Post-intervention problematic ratings </w:t>
      </w:r>
      <w:r w:rsidRPr="00011A59">
        <w:t>boxplot</w:t>
      </w:r>
      <w:bookmarkEnd w:id="541"/>
    </w:p>
    <w:p w14:paraId="449D74E5" w14:textId="77777777" w:rsidR="00111E4D" w:rsidRDefault="00111E4D" w:rsidP="00111E4D">
      <w:r w:rsidRPr="00EE6D9C">
        <w:rPr>
          <w:noProof/>
          <w:lang w:eastAsia="en-GB"/>
        </w:rPr>
        <w:drawing>
          <wp:inline distT="0" distB="0" distL="0" distR="0" wp14:anchorId="6BBFC1BB" wp14:editId="3678108E">
            <wp:extent cx="3780000" cy="225960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780000" cy="2259600"/>
                    </a:xfrm>
                    <a:prstGeom prst="rect">
                      <a:avLst/>
                    </a:prstGeom>
                  </pic:spPr>
                </pic:pic>
              </a:graphicData>
            </a:graphic>
          </wp:inline>
        </w:drawing>
      </w:r>
    </w:p>
    <w:p w14:paraId="679A3DF2" w14:textId="107A7CE2" w:rsidR="00111E4D" w:rsidRDefault="00111E4D" w:rsidP="00111E4D">
      <w:pPr>
        <w:pStyle w:val="Heading5"/>
      </w:pPr>
      <w:r>
        <w:lastRenderedPageBreak/>
        <w:t xml:space="preserve">Okay </w:t>
      </w:r>
      <w:r w:rsidR="00AB537E">
        <w:t>R</w:t>
      </w:r>
      <w:r>
        <w:t>atings</w:t>
      </w:r>
    </w:p>
    <w:p w14:paraId="23475511" w14:textId="7A63B7AC" w:rsidR="00111E4D" w:rsidRDefault="00111E4D" w:rsidP="00111E4D">
      <w:r w:rsidRPr="00567E8C">
        <w:rPr>
          <w:noProof/>
        </w:rPr>
        <w:t>A Kruskal-Wallis H test was conducted to determine if there were differences in</w:t>
      </w:r>
      <w:r w:rsidRPr="002D3D9C">
        <w:t xml:space="preserve"> </w:t>
      </w:r>
      <w:r>
        <w:t>okay ratings</w:t>
      </w:r>
      <w:r w:rsidRPr="002D3D9C">
        <w:t xml:space="preserve"> between groups </w:t>
      </w:r>
      <w:r>
        <w:t xml:space="preserve">at post-intervention </w:t>
      </w:r>
      <w:r w:rsidRPr="00355019">
        <w:t xml:space="preserve">between </w:t>
      </w:r>
      <w:r>
        <w:t>the three</w:t>
      </w:r>
      <w:r w:rsidRPr="00355019">
        <w:t xml:space="preserve"> groups</w:t>
      </w:r>
      <w:r w:rsidRPr="002D3D9C">
        <w:t xml:space="preserve">: </w:t>
      </w:r>
      <w:r>
        <w:t>MYLO</w:t>
      </w:r>
      <w:r w:rsidRPr="002D3D9C">
        <w:t xml:space="preserve"> (n = </w:t>
      </w:r>
      <w:r>
        <w:t>23</w:t>
      </w:r>
      <w:r w:rsidRPr="002D3D9C">
        <w:t xml:space="preserve">), </w:t>
      </w:r>
      <w:r>
        <w:t>MYLO Guided</w:t>
      </w:r>
      <w:r w:rsidRPr="002D3D9C">
        <w:t xml:space="preserve"> (n = </w:t>
      </w:r>
      <w:r>
        <w:t>1</w:t>
      </w:r>
      <w:r w:rsidRPr="002D3D9C">
        <w:t xml:space="preserve">9), and MYLO Guided with Speech (n = </w:t>
      </w:r>
      <w:r>
        <w:t>21</w:t>
      </w:r>
      <w:r w:rsidRPr="002D3D9C">
        <w:t>).</w:t>
      </w:r>
      <w:r>
        <w:t xml:space="preserve"> </w:t>
      </w:r>
      <w:r w:rsidRPr="002D3D9C">
        <w:t xml:space="preserve"> Values are mean ranks unless otherwise stated</w:t>
      </w:r>
      <w:r w:rsidR="00554CB4">
        <w:t xml:space="preserve">.  </w:t>
      </w:r>
      <w:r w:rsidRPr="002D3D9C">
        <w:t xml:space="preserve">Distributions of </w:t>
      </w:r>
      <w:r>
        <w:t>okay ratings</w:t>
      </w:r>
      <w:r w:rsidRPr="002D3D9C">
        <w:t xml:space="preserve"> </w:t>
      </w:r>
      <w:r>
        <w:t xml:space="preserve">at post-intervention </w:t>
      </w:r>
      <w:r w:rsidRPr="002D3D9C">
        <w:t>were not similar for all groups, as assessed by visual inspection of a boxplot</w:t>
      </w:r>
      <w:r>
        <w:t xml:space="preserve"> (see </w:t>
      </w:r>
      <w:r>
        <w:fldChar w:fldCharType="begin"/>
      </w:r>
      <w:r>
        <w:instrText xml:space="preserve"> REF _Ref526101046 \h </w:instrText>
      </w:r>
      <w:r>
        <w:fldChar w:fldCharType="separate"/>
      </w:r>
      <w:r w:rsidR="00574650">
        <w:t xml:space="preserve">Figure </w:t>
      </w:r>
      <w:r w:rsidR="00574650">
        <w:rPr>
          <w:noProof/>
        </w:rPr>
        <w:t>6</w:t>
      </w:r>
      <w:r w:rsidR="00574650">
        <w:t>.</w:t>
      </w:r>
      <w:r w:rsidR="00574650">
        <w:rPr>
          <w:noProof/>
        </w:rPr>
        <w:t>18</w:t>
      </w:r>
      <w:r>
        <w:fldChar w:fldCharType="end"/>
      </w:r>
      <w:r>
        <w:t>)</w:t>
      </w:r>
      <w:r w:rsidRPr="002D3D9C">
        <w:t>.</w:t>
      </w:r>
      <w:r>
        <w:t xml:space="preserve">  MYLO </w:t>
      </w:r>
      <w:r w:rsidRPr="002D3D9C">
        <w:t>(</w:t>
      </w:r>
      <w:r>
        <w:t>33.09</w:t>
      </w:r>
      <w:r w:rsidRPr="002D3D9C">
        <w:t>)</w:t>
      </w:r>
      <w:r>
        <w:t xml:space="preserve"> recorded higher okay ratings</w:t>
      </w:r>
      <w:r w:rsidRPr="002D3D9C">
        <w:t xml:space="preserve"> </w:t>
      </w:r>
      <w:r>
        <w:t>at post-intervention than</w:t>
      </w:r>
      <w:r w:rsidRPr="002D3D9C">
        <w:t xml:space="preserve"> </w:t>
      </w:r>
      <w:r>
        <w:t>MYLO</w:t>
      </w:r>
      <w:r w:rsidRPr="003C4007">
        <w:t xml:space="preserve"> </w:t>
      </w:r>
      <w:r>
        <w:t>Guided</w:t>
      </w:r>
      <w:r w:rsidRPr="002D3D9C">
        <w:t xml:space="preserve"> (</w:t>
      </w:r>
      <w:r>
        <w:t>32.82</w:t>
      </w:r>
      <w:r w:rsidRPr="002D3D9C">
        <w:t xml:space="preserve">) and </w:t>
      </w:r>
      <w:r>
        <w:t>MYLO Guided with Speech</w:t>
      </w:r>
      <w:r w:rsidRPr="002D3D9C">
        <w:t xml:space="preserve"> (</w:t>
      </w:r>
      <w:r>
        <w:t xml:space="preserve">30.07) </w:t>
      </w:r>
      <w:r w:rsidRPr="002D3D9C">
        <w:t xml:space="preserve">groups, but the differences were not statistically significant, </w:t>
      </w:r>
      <w:r w:rsidRPr="00355019">
        <w:t>χ</w:t>
      </w:r>
      <w:r w:rsidRPr="002D3D9C">
        <w:rPr>
          <w:vertAlign w:val="superscript"/>
        </w:rPr>
        <w:t>2</w:t>
      </w:r>
      <w:r w:rsidRPr="00355019">
        <w:t>(</w:t>
      </w:r>
      <w:r>
        <w:t>2</w:t>
      </w:r>
      <w:r w:rsidRPr="00355019">
        <w:t xml:space="preserve">) = </w:t>
      </w:r>
      <w:r>
        <w:t>.351</w:t>
      </w:r>
      <w:r w:rsidRPr="00355019">
        <w:t>, </w:t>
      </w:r>
      <w:r w:rsidRPr="00D14936">
        <w:rPr>
          <w:i/>
        </w:rPr>
        <w:t>p</w:t>
      </w:r>
      <w:r w:rsidRPr="00355019">
        <w:t> = .</w:t>
      </w:r>
      <w:r>
        <w:t>839</w:t>
      </w:r>
      <w:r w:rsidRPr="00355019">
        <w:t>.</w:t>
      </w:r>
    </w:p>
    <w:p w14:paraId="02973317" w14:textId="075D74E8" w:rsidR="00111E4D" w:rsidRDefault="00111E4D" w:rsidP="00111E4D">
      <w:pPr>
        <w:pStyle w:val="Caption"/>
        <w:keepNext/>
      </w:pPr>
      <w:bookmarkStart w:id="542" w:name="_Ref526101046"/>
      <w:bookmarkStart w:id="543" w:name="_Toc530684686"/>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18</w:t>
      </w:r>
      <w:r w:rsidR="00371DCC">
        <w:fldChar w:fldCharType="end"/>
      </w:r>
      <w:bookmarkEnd w:id="542"/>
      <w:r w:rsidRPr="002F062B">
        <w:t xml:space="preserve"> </w:t>
      </w:r>
      <w:r>
        <w:t xml:space="preserve">Post-intervention okay ratings </w:t>
      </w:r>
      <w:r w:rsidRPr="00011A59">
        <w:t>boxplot</w:t>
      </w:r>
      <w:bookmarkEnd w:id="543"/>
    </w:p>
    <w:p w14:paraId="7D8F9886" w14:textId="77777777" w:rsidR="00111E4D" w:rsidRDefault="00111E4D" w:rsidP="00111E4D">
      <w:r w:rsidRPr="00EE6D9C">
        <w:rPr>
          <w:rFonts w:ascii="Times New Roman" w:eastAsiaTheme="minorHAnsi" w:hAnsi="Times New Roman" w:cs="Times New Roman"/>
          <w:noProof/>
          <w:sz w:val="24"/>
          <w:szCs w:val="24"/>
          <w:lang w:eastAsia="en-GB"/>
        </w:rPr>
        <w:drawing>
          <wp:inline distT="0" distB="0" distL="0" distR="0" wp14:anchorId="371FE789" wp14:editId="5E024557">
            <wp:extent cx="3780000" cy="222963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780000" cy="2229639"/>
                    </a:xfrm>
                    <a:prstGeom prst="rect">
                      <a:avLst/>
                    </a:prstGeom>
                  </pic:spPr>
                </pic:pic>
              </a:graphicData>
            </a:graphic>
          </wp:inline>
        </w:drawing>
      </w:r>
    </w:p>
    <w:p w14:paraId="08DB3C1B" w14:textId="44E6AF7A" w:rsidR="00111E4D" w:rsidRDefault="00111E4D" w:rsidP="00111E4D">
      <w:pPr>
        <w:pStyle w:val="Heading5"/>
      </w:pPr>
      <w:r>
        <w:t xml:space="preserve">Helpful </w:t>
      </w:r>
      <w:r w:rsidR="00AB537E">
        <w:t>R</w:t>
      </w:r>
      <w:r>
        <w:t>atings</w:t>
      </w:r>
    </w:p>
    <w:p w14:paraId="5D9D7FBE" w14:textId="2DEC078A" w:rsidR="00111E4D" w:rsidRDefault="00111E4D" w:rsidP="00111E4D">
      <w:r w:rsidRPr="00567E8C">
        <w:rPr>
          <w:noProof/>
        </w:rPr>
        <w:t>A Kruskal-Wallis H test was conducted to determine if there were differences in</w:t>
      </w:r>
      <w:r w:rsidRPr="002D3D9C">
        <w:t xml:space="preserve"> </w:t>
      </w:r>
      <w:r>
        <w:t>helpful ratings</w:t>
      </w:r>
      <w:r w:rsidRPr="002D3D9C">
        <w:t xml:space="preserve"> between groups </w:t>
      </w:r>
      <w:r>
        <w:t xml:space="preserve">at post-intervention </w:t>
      </w:r>
      <w:r w:rsidRPr="00355019">
        <w:t xml:space="preserve">between </w:t>
      </w:r>
      <w:r>
        <w:t>the three</w:t>
      </w:r>
      <w:r w:rsidRPr="00355019">
        <w:t xml:space="preserve"> groups</w:t>
      </w:r>
      <w:r w:rsidRPr="002D3D9C">
        <w:t xml:space="preserve">: </w:t>
      </w:r>
      <w:r>
        <w:t>MYLO</w:t>
      </w:r>
      <w:r w:rsidRPr="002D3D9C">
        <w:t xml:space="preserve"> (n = </w:t>
      </w:r>
      <w:r>
        <w:t>23</w:t>
      </w:r>
      <w:r w:rsidRPr="002D3D9C">
        <w:t xml:space="preserve">), </w:t>
      </w:r>
      <w:r>
        <w:t>MYLO Guided</w:t>
      </w:r>
      <w:r w:rsidRPr="002D3D9C">
        <w:t xml:space="preserve"> (n = </w:t>
      </w:r>
      <w:r>
        <w:t>1</w:t>
      </w:r>
      <w:r w:rsidRPr="002D3D9C">
        <w:t xml:space="preserve">9), and MYLO Guided with Speech (n = </w:t>
      </w:r>
      <w:r>
        <w:t>21</w:t>
      </w:r>
      <w:r w:rsidRPr="002D3D9C">
        <w:t xml:space="preserve">). </w:t>
      </w:r>
      <w:r>
        <w:t xml:space="preserve"> </w:t>
      </w:r>
      <w:r w:rsidRPr="002D3D9C">
        <w:t>Values are mean ranks unless otherwise stated</w:t>
      </w:r>
      <w:r w:rsidR="00554CB4">
        <w:t xml:space="preserve">.  </w:t>
      </w:r>
      <w:r w:rsidRPr="002D3D9C">
        <w:t xml:space="preserve">Distributions of </w:t>
      </w:r>
      <w:r>
        <w:t>helpful ratings</w:t>
      </w:r>
      <w:r w:rsidRPr="002D3D9C">
        <w:t xml:space="preserve"> </w:t>
      </w:r>
      <w:r>
        <w:t xml:space="preserve">at post-intervention </w:t>
      </w:r>
      <w:r w:rsidRPr="002D3D9C">
        <w:t>were not similar for all groups, as assessed by visual inspection of a boxplot</w:t>
      </w:r>
      <w:r>
        <w:t xml:space="preserve"> (see </w:t>
      </w:r>
      <w:r>
        <w:fldChar w:fldCharType="begin"/>
      </w:r>
      <w:r>
        <w:instrText xml:space="preserve"> REF _Ref526101068 \h </w:instrText>
      </w:r>
      <w:r>
        <w:fldChar w:fldCharType="separate"/>
      </w:r>
      <w:r w:rsidR="00574650">
        <w:t xml:space="preserve">Figure </w:t>
      </w:r>
      <w:r w:rsidR="00574650">
        <w:rPr>
          <w:noProof/>
        </w:rPr>
        <w:t>6</w:t>
      </w:r>
      <w:r w:rsidR="00574650">
        <w:t>.</w:t>
      </w:r>
      <w:r w:rsidR="00574650">
        <w:rPr>
          <w:noProof/>
        </w:rPr>
        <w:t>19</w:t>
      </w:r>
      <w:r>
        <w:fldChar w:fldCharType="end"/>
      </w:r>
      <w:r>
        <w:t>)</w:t>
      </w:r>
      <w:r w:rsidRPr="002D3D9C">
        <w:t>.</w:t>
      </w:r>
      <w:r>
        <w:t xml:space="preserve">  MYLO Guided</w:t>
      </w:r>
      <w:r w:rsidRPr="002D3D9C">
        <w:t xml:space="preserve"> (</w:t>
      </w:r>
      <w:r>
        <w:t>34.39</w:t>
      </w:r>
      <w:r w:rsidRPr="002D3D9C">
        <w:t>)</w:t>
      </w:r>
      <w:r>
        <w:t xml:space="preserve"> recorded higher helpful ratings</w:t>
      </w:r>
      <w:r w:rsidRPr="002D3D9C">
        <w:t xml:space="preserve"> </w:t>
      </w:r>
      <w:r>
        <w:t>at post-intervention than</w:t>
      </w:r>
      <w:r w:rsidRPr="002D3D9C">
        <w:t xml:space="preserve"> </w:t>
      </w:r>
      <w:r>
        <w:t>MYLO</w:t>
      </w:r>
      <w:r w:rsidRPr="003C4007">
        <w:t xml:space="preserve"> </w:t>
      </w:r>
      <w:r w:rsidRPr="002D3D9C">
        <w:t>(</w:t>
      </w:r>
      <w:r>
        <w:t>32.35</w:t>
      </w:r>
      <w:r w:rsidRPr="002D3D9C">
        <w:t xml:space="preserve">) and </w:t>
      </w:r>
      <w:r>
        <w:t>MYLO Guided with Speech</w:t>
      </w:r>
      <w:r w:rsidRPr="002D3D9C">
        <w:t xml:space="preserve"> (</w:t>
      </w:r>
      <w:r>
        <w:t xml:space="preserve">29.45) </w:t>
      </w:r>
      <w:r w:rsidRPr="002D3D9C">
        <w:t xml:space="preserve">groups, but the differences were not statistically significant, </w:t>
      </w:r>
      <w:r w:rsidRPr="003D5CF7">
        <w:rPr>
          <w:i/>
        </w:rPr>
        <w:t>χ</w:t>
      </w:r>
      <w:r w:rsidRPr="003D5CF7">
        <w:rPr>
          <w:i/>
          <w:vertAlign w:val="superscript"/>
        </w:rPr>
        <w:t>2</w:t>
      </w:r>
      <w:r w:rsidRPr="00355019">
        <w:t>(</w:t>
      </w:r>
      <w:r>
        <w:t>2</w:t>
      </w:r>
      <w:r w:rsidRPr="00355019">
        <w:t xml:space="preserve">) = </w:t>
      </w:r>
      <w:r>
        <w:t>1.084,</w:t>
      </w:r>
      <w:r w:rsidRPr="00355019">
        <w:t> </w:t>
      </w:r>
      <w:r w:rsidRPr="003D5CF7">
        <w:rPr>
          <w:i/>
        </w:rPr>
        <w:t>p</w:t>
      </w:r>
      <w:r w:rsidRPr="00355019">
        <w:t> = .</w:t>
      </w:r>
      <w:r>
        <w:t>582</w:t>
      </w:r>
      <w:r w:rsidRPr="00355019">
        <w:t>.</w:t>
      </w:r>
    </w:p>
    <w:p w14:paraId="7E3A951B" w14:textId="34A0C7C5" w:rsidR="00111E4D" w:rsidRDefault="00111E4D" w:rsidP="00111E4D">
      <w:pPr>
        <w:pStyle w:val="Caption"/>
        <w:keepNext/>
      </w:pPr>
      <w:bookmarkStart w:id="544" w:name="_Ref526101068"/>
      <w:bookmarkStart w:id="545" w:name="_Toc530684687"/>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19</w:t>
      </w:r>
      <w:r w:rsidR="00371DCC">
        <w:fldChar w:fldCharType="end"/>
      </w:r>
      <w:bookmarkEnd w:id="544"/>
      <w:r>
        <w:t xml:space="preserve"> Post-intervention helpful ratings </w:t>
      </w:r>
      <w:r w:rsidRPr="00011A59">
        <w:t>boxplot</w:t>
      </w:r>
      <w:bookmarkEnd w:id="545"/>
    </w:p>
    <w:p w14:paraId="28771B08" w14:textId="77777777" w:rsidR="00111E4D" w:rsidRDefault="00111E4D" w:rsidP="00111E4D">
      <w:r w:rsidRPr="00EE6D9C">
        <w:rPr>
          <w:noProof/>
          <w:lang w:eastAsia="en-GB"/>
        </w:rPr>
        <w:drawing>
          <wp:inline distT="0" distB="0" distL="0" distR="0" wp14:anchorId="182AFAE4" wp14:editId="43E7BFF7">
            <wp:extent cx="3780000" cy="225960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780000" cy="2259600"/>
                    </a:xfrm>
                    <a:prstGeom prst="rect">
                      <a:avLst/>
                    </a:prstGeom>
                  </pic:spPr>
                </pic:pic>
              </a:graphicData>
            </a:graphic>
          </wp:inline>
        </w:drawing>
      </w:r>
    </w:p>
    <w:p w14:paraId="7C54BCDF" w14:textId="4EFEEF26" w:rsidR="00111E4D" w:rsidRDefault="008F5CAB" w:rsidP="00111E4D">
      <w:pPr>
        <w:pStyle w:val="Heading3"/>
      </w:pPr>
      <w:bookmarkStart w:id="546" w:name="_Toc3538178"/>
      <w:r w:rsidRPr="008F5CAB">
        <w:lastRenderedPageBreak/>
        <w:t xml:space="preserve">Does Adding Introductory Guidance Regarding </w:t>
      </w:r>
      <w:proofErr w:type="spellStart"/>
      <w:r w:rsidRPr="008F5CAB">
        <w:t>Mylo</w:t>
      </w:r>
      <w:proofErr w:type="spellEnd"/>
      <w:r w:rsidRPr="008F5CAB">
        <w:t xml:space="preserve"> and What It Can and Cannot Do Increase </w:t>
      </w:r>
      <w:proofErr w:type="spellStart"/>
      <w:r w:rsidRPr="008F5CAB">
        <w:t>Mylo’s</w:t>
      </w:r>
      <w:proofErr w:type="spellEnd"/>
      <w:r w:rsidRPr="008F5CAB">
        <w:t xml:space="preserve"> Pre-Treatment Expectancy and Credibility?</w:t>
      </w:r>
      <w:bookmarkEnd w:id="546"/>
    </w:p>
    <w:p w14:paraId="59DEB557" w14:textId="77777777" w:rsidR="00111E4D" w:rsidRPr="00683E52" w:rsidRDefault="00111E4D" w:rsidP="00111E4D">
      <w:pPr>
        <w:pStyle w:val="Heading4"/>
      </w:pPr>
      <w:r>
        <w:t>Pre-credibility</w:t>
      </w:r>
    </w:p>
    <w:p w14:paraId="4FDFAE09" w14:textId="1125286C" w:rsidR="00111E4D" w:rsidRDefault="00111E4D" w:rsidP="00111E4D">
      <w:r w:rsidRPr="00567E8C">
        <w:rPr>
          <w:noProof/>
        </w:rPr>
        <w:t>A Kruskal-Wallis H test was conducted to determine if there were differences in</w:t>
      </w:r>
      <w:r w:rsidRPr="002D3D9C">
        <w:t xml:space="preserve"> </w:t>
      </w:r>
      <w:r>
        <w:t>pre-credibility ratings</w:t>
      </w:r>
      <w:r w:rsidRPr="002D3D9C">
        <w:t xml:space="preserve"> between groups </w:t>
      </w:r>
      <w:r>
        <w:t xml:space="preserve">at baseline </w:t>
      </w:r>
      <w:r w:rsidRPr="00355019">
        <w:t xml:space="preserve">between </w:t>
      </w:r>
      <w:r>
        <w:t>the three</w:t>
      </w:r>
      <w:r w:rsidRPr="00355019">
        <w:t xml:space="preserve"> groups</w:t>
      </w:r>
      <w:r w:rsidRPr="002D3D9C">
        <w:t xml:space="preserve">: </w:t>
      </w:r>
      <w:r>
        <w:t>MYLO</w:t>
      </w:r>
      <w:r w:rsidRPr="002D3D9C">
        <w:t xml:space="preserve"> (n = </w:t>
      </w:r>
      <w:r>
        <w:t>23</w:t>
      </w:r>
      <w:r w:rsidRPr="002D3D9C">
        <w:t xml:space="preserve">), </w:t>
      </w:r>
      <w:r>
        <w:t>MYLO Guided</w:t>
      </w:r>
      <w:r w:rsidRPr="002D3D9C">
        <w:t xml:space="preserve"> (n = </w:t>
      </w:r>
      <w:r>
        <w:t>1</w:t>
      </w:r>
      <w:r w:rsidRPr="002D3D9C">
        <w:t xml:space="preserve">9), and MYLO Guided with Speech (n = </w:t>
      </w:r>
      <w:r>
        <w:t>21</w:t>
      </w:r>
      <w:r w:rsidRPr="002D3D9C">
        <w:t xml:space="preserve">). </w:t>
      </w:r>
      <w:r>
        <w:t xml:space="preserve"> </w:t>
      </w:r>
      <w:r w:rsidRPr="002D3D9C">
        <w:t>Values are mean ranks unless otherwise stated</w:t>
      </w:r>
      <w:r w:rsidR="00554CB4">
        <w:t xml:space="preserve">.  </w:t>
      </w:r>
      <w:r w:rsidRPr="002D3D9C">
        <w:t xml:space="preserve">Distributions of </w:t>
      </w:r>
      <w:r>
        <w:t>pre-credibility</w:t>
      </w:r>
      <w:r w:rsidRPr="002D3D9C">
        <w:t xml:space="preserve"> score </w:t>
      </w:r>
      <w:r>
        <w:t xml:space="preserve">at baseline </w:t>
      </w:r>
      <w:r w:rsidRPr="002D3D9C">
        <w:t>were not similar for all groups, as assessed by visual inspection of a boxplot</w:t>
      </w:r>
      <w:r>
        <w:t xml:space="preserve"> (see </w:t>
      </w:r>
      <w:r>
        <w:fldChar w:fldCharType="begin"/>
      </w:r>
      <w:r>
        <w:instrText xml:space="preserve"> REF _Ref526104732 \h </w:instrText>
      </w:r>
      <w:r>
        <w:fldChar w:fldCharType="separate"/>
      </w:r>
      <w:r w:rsidR="00574650">
        <w:t xml:space="preserve">Figure </w:t>
      </w:r>
      <w:r w:rsidR="00574650">
        <w:rPr>
          <w:noProof/>
        </w:rPr>
        <w:t>6</w:t>
      </w:r>
      <w:r w:rsidR="00574650">
        <w:t>.</w:t>
      </w:r>
      <w:r w:rsidR="00574650">
        <w:rPr>
          <w:noProof/>
        </w:rPr>
        <w:t>20</w:t>
      </w:r>
      <w:r>
        <w:fldChar w:fldCharType="end"/>
      </w:r>
      <w:r>
        <w:t>)</w:t>
      </w:r>
      <w:r w:rsidRPr="002D3D9C">
        <w:t>.</w:t>
      </w:r>
      <w:r>
        <w:t xml:space="preserve">  MYLO Guided with Speech</w:t>
      </w:r>
      <w:r w:rsidRPr="002D3D9C">
        <w:t xml:space="preserve"> (</w:t>
      </w:r>
      <w:r>
        <w:t>33.98</w:t>
      </w:r>
      <w:r w:rsidRPr="002D3D9C">
        <w:t>)</w:t>
      </w:r>
      <w:r>
        <w:t xml:space="preserve"> recorded higher pre-credibility</w:t>
      </w:r>
      <w:r w:rsidRPr="002D3D9C">
        <w:t xml:space="preserve"> </w:t>
      </w:r>
      <w:r>
        <w:t>at baseline than</w:t>
      </w:r>
      <w:r w:rsidRPr="002D3D9C">
        <w:t xml:space="preserve"> </w:t>
      </w:r>
      <w:r>
        <w:t>MYLO</w:t>
      </w:r>
      <w:r w:rsidRPr="003C4007">
        <w:t xml:space="preserve"> </w:t>
      </w:r>
      <w:r w:rsidRPr="002D3D9C">
        <w:t>(</w:t>
      </w:r>
      <w:r>
        <w:t>33.17</w:t>
      </w:r>
      <w:r w:rsidRPr="002D3D9C">
        <w:t xml:space="preserve">) and </w:t>
      </w:r>
      <w:r>
        <w:t xml:space="preserve">MYLO Guided </w:t>
      </w:r>
      <w:r w:rsidRPr="002D3D9C">
        <w:t>(</w:t>
      </w:r>
      <w:r>
        <w:t xml:space="preserve">28.39) </w:t>
      </w:r>
      <w:r w:rsidRPr="002D3D9C">
        <w:t xml:space="preserve">groups, but the differences were not statistically significant, </w:t>
      </w:r>
      <w:r w:rsidRPr="003D5CF7">
        <w:rPr>
          <w:i/>
        </w:rPr>
        <w:t>χ</w:t>
      </w:r>
      <w:r w:rsidRPr="003D5CF7">
        <w:rPr>
          <w:i/>
          <w:vertAlign w:val="superscript"/>
        </w:rPr>
        <w:t>2</w:t>
      </w:r>
      <w:r w:rsidRPr="00355019">
        <w:t>(</w:t>
      </w:r>
      <w:r>
        <w:t>2</w:t>
      </w:r>
      <w:r w:rsidRPr="00355019">
        <w:t xml:space="preserve">) = </w:t>
      </w:r>
      <w:r>
        <w:t>1.080,</w:t>
      </w:r>
      <w:r w:rsidRPr="00355019">
        <w:t> </w:t>
      </w:r>
      <w:r w:rsidRPr="003D5CF7">
        <w:rPr>
          <w:i/>
        </w:rPr>
        <w:t>p</w:t>
      </w:r>
      <w:r w:rsidRPr="00355019">
        <w:t> = .</w:t>
      </w:r>
      <w:r>
        <w:t>582</w:t>
      </w:r>
      <w:r w:rsidRPr="00355019">
        <w:t>.</w:t>
      </w:r>
    </w:p>
    <w:p w14:paraId="53246A88" w14:textId="590B9D56" w:rsidR="00111E4D" w:rsidRDefault="00111E4D" w:rsidP="00111E4D">
      <w:pPr>
        <w:pStyle w:val="Caption"/>
        <w:keepNext/>
      </w:pPr>
      <w:bookmarkStart w:id="547" w:name="_Ref526104732"/>
      <w:bookmarkStart w:id="548" w:name="_Toc530684688"/>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20</w:t>
      </w:r>
      <w:r w:rsidR="00371DCC">
        <w:fldChar w:fldCharType="end"/>
      </w:r>
      <w:bookmarkEnd w:id="547"/>
      <w:r w:rsidRPr="00060E89">
        <w:t xml:space="preserve"> </w:t>
      </w:r>
      <w:r>
        <w:t xml:space="preserve">Baseline pre-credibility </w:t>
      </w:r>
      <w:r w:rsidRPr="00011A59">
        <w:t>boxplot</w:t>
      </w:r>
      <w:bookmarkEnd w:id="548"/>
    </w:p>
    <w:p w14:paraId="3717C663" w14:textId="77777777" w:rsidR="00111E4D" w:rsidRDefault="00111E4D" w:rsidP="00111E4D">
      <w:pPr>
        <w:autoSpaceDE w:val="0"/>
        <w:autoSpaceDN w:val="0"/>
        <w:adjustRightInd w:val="0"/>
        <w:spacing w:after="0" w:line="240" w:lineRule="auto"/>
        <w:rPr>
          <w:rFonts w:ascii="Times New Roman" w:eastAsiaTheme="minorHAnsi" w:hAnsi="Times New Roman" w:cs="Times New Roman"/>
          <w:sz w:val="24"/>
          <w:szCs w:val="24"/>
        </w:rPr>
      </w:pPr>
      <w:r w:rsidRPr="00E9531E">
        <w:rPr>
          <w:rFonts w:ascii="Times New Roman" w:eastAsiaTheme="minorHAnsi" w:hAnsi="Times New Roman" w:cs="Times New Roman"/>
          <w:noProof/>
          <w:sz w:val="24"/>
          <w:szCs w:val="24"/>
          <w:lang w:eastAsia="en-GB"/>
        </w:rPr>
        <w:drawing>
          <wp:inline distT="0" distB="0" distL="0" distR="0" wp14:anchorId="2CBC36FB" wp14:editId="4B960344">
            <wp:extent cx="3780000" cy="225960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780000" cy="2259600"/>
                    </a:xfrm>
                    <a:prstGeom prst="rect">
                      <a:avLst/>
                    </a:prstGeom>
                  </pic:spPr>
                </pic:pic>
              </a:graphicData>
            </a:graphic>
          </wp:inline>
        </w:drawing>
      </w:r>
    </w:p>
    <w:p w14:paraId="26229BC8" w14:textId="77777777" w:rsidR="00111E4D" w:rsidRDefault="00111E4D" w:rsidP="00111E4D">
      <w:pPr>
        <w:pStyle w:val="Heading4"/>
      </w:pPr>
      <w:r>
        <w:t>Pre-expectancy</w:t>
      </w:r>
    </w:p>
    <w:p w14:paraId="18BF1D01" w14:textId="22C78220" w:rsidR="00111E4D" w:rsidRDefault="00111E4D" w:rsidP="00111E4D">
      <w:r w:rsidRPr="00567E8C">
        <w:rPr>
          <w:noProof/>
        </w:rPr>
        <w:t>A Kruskal-Wallis H test was conducted to determine if there were differences in</w:t>
      </w:r>
      <w:r w:rsidRPr="002D3D9C">
        <w:t xml:space="preserve"> </w:t>
      </w:r>
      <w:r>
        <w:t>pre-expectancy ratings</w:t>
      </w:r>
      <w:r w:rsidRPr="002D3D9C">
        <w:t xml:space="preserve"> between groups </w:t>
      </w:r>
      <w:r>
        <w:t xml:space="preserve">at baseline </w:t>
      </w:r>
      <w:r w:rsidRPr="00355019">
        <w:t xml:space="preserve">between </w:t>
      </w:r>
      <w:r>
        <w:t>the three</w:t>
      </w:r>
      <w:r w:rsidRPr="00355019">
        <w:t xml:space="preserve"> groups</w:t>
      </w:r>
      <w:r w:rsidRPr="002D3D9C">
        <w:t xml:space="preserve">: </w:t>
      </w:r>
      <w:r>
        <w:t>MYLO</w:t>
      </w:r>
      <w:r w:rsidRPr="002D3D9C">
        <w:t xml:space="preserve"> (n = </w:t>
      </w:r>
      <w:r>
        <w:t>23</w:t>
      </w:r>
      <w:r w:rsidRPr="002D3D9C">
        <w:t xml:space="preserve">), </w:t>
      </w:r>
      <w:r>
        <w:t>MYLO Guided</w:t>
      </w:r>
      <w:r w:rsidRPr="002D3D9C">
        <w:t xml:space="preserve"> (n = </w:t>
      </w:r>
      <w:r>
        <w:t>1</w:t>
      </w:r>
      <w:r w:rsidRPr="002D3D9C">
        <w:t xml:space="preserve">9), and MYLO Guided with Speech (n = </w:t>
      </w:r>
      <w:r>
        <w:t>21</w:t>
      </w:r>
      <w:r w:rsidRPr="002D3D9C">
        <w:t>).</w:t>
      </w:r>
      <w:r>
        <w:t xml:space="preserve"> </w:t>
      </w:r>
      <w:r w:rsidRPr="002D3D9C">
        <w:t xml:space="preserve"> Values are mean ranks unless otherwise stated</w:t>
      </w:r>
      <w:r w:rsidR="00554CB4">
        <w:t xml:space="preserve">.  </w:t>
      </w:r>
      <w:r w:rsidRPr="002D3D9C">
        <w:t xml:space="preserve">Distributions of </w:t>
      </w:r>
      <w:r>
        <w:t>pre-expectancy</w:t>
      </w:r>
      <w:r w:rsidRPr="002D3D9C">
        <w:t xml:space="preserve"> score </w:t>
      </w:r>
      <w:r>
        <w:t xml:space="preserve">at baseline </w:t>
      </w:r>
      <w:r w:rsidRPr="002D3D9C">
        <w:t>were not similar for all groups, as assessed by visual inspection of a boxplot</w:t>
      </w:r>
      <w:r>
        <w:t xml:space="preserve"> (see </w:t>
      </w:r>
      <w:r>
        <w:fldChar w:fldCharType="begin"/>
      </w:r>
      <w:r>
        <w:instrText xml:space="preserve"> REF _Ref526104963 \h </w:instrText>
      </w:r>
      <w:r>
        <w:fldChar w:fldCharType="separate"/>
      </w:r>
      <w:r w:rsidR="00574650">
        <w:t xml:space="preserve">Figure </w:t>
      </w:r>
      <w:r w:rsidR="00574650">
        <w:rPr>
          <w:noProof/>
        </w:rPr>
        <w:t>6</w:t>
      </w:r>
      <w:r w:rsidR="00574650">
        <w:t>.</w:t>
      </w:r>
      <w:r w:rsidR="00574650">
        <w:rPr>
          <w:noProof/>
        </w:rPr>
        <w:t>21</w:t>
      </w:r>
      <w:r>
        <w:fldChar w:fldCharType="end"/>
      </w:r>
      <w:r>
        <w:t>)</w:t>
      </w:r>
      <w:r w:rsidRPr="002D3D9C">
        <w:t>.</w:t>
      </w:r>
      <w:r>
        <w:t xml:space="preserve">  MYLO Guided with Speech</w:t>
      </w:r>
      <w:r w:rsidRPr="002D3D9C">
        <w:t xml:space="preserve"> (</w:t>
      </w:r>
      <w:r>
        <w:t>35.98</w:t>
      </w:r>
      <w:r w:rsidRPr="002D3D9C">
        <w:t>)</w:t>
      </w:r>
      <w:r>
        <w:t xml:space="preserve"> recorded higher pre-expectancy</w:t>
      </w:r>
      <w:r w:rsidRPr="002D3D9C">
        <w:t xml:space="preserve"> </w:t>
      </w:r>
      <w:r>
        <w:t>at baseline than</w:t>
      </w:r>
      <w:r w:rsidRPr="002D3D9C">
        <w:t xml:space="preserve"> </w:t>
      </w:r>
      <w:r>
        <w:t>MYLO</w:t>
      </w:r>
      <w:r w:rsidRPr="003C4007">
        <w:t xml:space="preserve"> </w:t>
      </w:r>
      <w:r w:rsidRPr="002D3D9C">
        <w:t>(</w:t>
      </w:r>
      <w:r>
        <w:t>34.22</w:t>
      </w:r>
      <w:r w:rsidRPr="002D3D9C">
        <w:t xml:space="preserve">) and </w:t>
      </w:r>
      <w:r>
        <w:t xml:space="preserve">MYLO Guided </w:t>
      </w:r>
      <w:r w:rsidRPr="002D3D9C">
        <w:t>(</w:t>
      </w:r>
      <w:r>
        <w:t xml:space="preserve">24.92) </w:t>
      </w:r>
      <w:r w:rsidRPr="002D3D9C">
        <w:t xml:space="preserve">groups, but the differences were not statistically significant, </w:t>
      </w:r>
      <w:r w:rsidRPr="002A6F26">
        <w:rPr>
          <w:i/>
        </w:rPr>
        <w:t>χ</w:t>
      </w:r>
      <w:r w:rsidRPr="002A6F26">
        <w:rPr>
          <w:i/>
          <w:vertAlign w:val="superscript"/>
        </w:rPr>
        <w:t>2</w:t>
      </w:r>
      <w:r w:rsidRPr="00355019">
        <w:t>(</w:t>
      </w:r>
      <w:r>
        <w:t>2</w:t>
      </w:r>
      <w:r w:rsidRPr="00355019">
        <w:t xml:space="preserve">) = </w:t>
      </w:r>
      <w:r>
        <w:t>4.191,</w:t>
      </w:r>
      <w:r w:rsidRPr="00355019">
        <w:t> </w:t>
      </w:r>
      <w:r w:rsidRPr="002A6F26">
        <w:rPr>
          <w:i/>
        </w:rPr>
        <w:t>p</w:t>
      </w:r>
      <w:r w:rsidRPr="00355019">
        <w:t> = .</w:t>
      </w:r>
      <w:r>
        <w:t>123</w:t>
      </w:r>
      <w:r w:rsidRPr="00355019">
        <w:t>.</w:t>
      </w:r>
    </w:p>
    <w:p w14:paraId="76C85E91" w14:textId="0C2F4A36" w:rsidR="00111E4D" w:rsidRDefault="00111E4D" w:rsidP="00111E4D">
      <w:pPr>
        <w:pStyle w:val="Caption"/>
        <w:keepNext/>
      </w:pPr>
      <w:bookmarkStart w:id="549" w:name="_Ref526104963"/>
      <w:bookmarkStart w:id="550" w:name="_Toc530684689"/>
      <w:proofErr w:type="gramStart"/>
      <w:r>
        <w:lastRenderedPageBreak/>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21</w:t>
      </w:r>
      <w:r w:rsidR="00371DCC">
        <w:fldChar w:fldCharType="end"/>
      </w:r>
      <w:bookmarkEnd w:id="549"/>
      <w:r>
        <w:t xml:space="preserve"> Baseline pre-expectancy </w:t>
      </w:r>
      <w:r w:rsidRPr="00011A59">
        <w:t>boxplot</w:t>
      </w:r>
      <w:bookmarkEnd w:id="550"/>
    </w:p>
    <w:p w14:paraId="7FE0CB25" w14:textId="77777777" w:rsidR="00111E4D" w:rsidRDefault="00111E4D" w:rsidP="00111E4D">
      <w:r w:rsidRPr="00E9531E">
        <w:rPr>
          <w:noProof/>
          <w:lang w:eastAsia="en-GB"/>
        </w:rPr>
        <w:drawing>
          <wp:inline distT="0" distB="0" distL="0" distR="0" wp14:anchorId="55081780" wp14:editId="327A7480">
            <wp:extent cx="3780000" cy="2259600"/>
            <wp:effectExtent l="0" t="0" r="0" b="762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780000" cy="2259600"/>
                    </a:xfrm>
                    <a:prstGeom prst="rect">
                      <a:avLst/>
                    </a:prstGeom>
                  </pic:spPr>
                </pic:pic>
              </a:graphicData>
            </a:graphic>
          </wp:inline>
        </w:drawing>
      </w:r>
    </w:p>
    <w:p w14:paraId="6DDE4EFD" w14:textId="25299F08" w:rsidR="00111E4D" w:rsidRPr="00624000" w:rsidRDefault="008F5CAB" w:rsidP="00111E4D">
      <w:pPr>
        <w:pStyle w:val="Heading3"/>
      </w:pPr>
      <w:bookmarkStart w:id="551" w:name="_Toc3538179"/>
      <w:r w:rsidRPr="008F5CAB">
        <w:t>Does System Usability Account for Differences in a Participants’ Working Alliance and Agreement on the Tasks of Therapy with a Conversational Agent for Problem-Solving?</w:t>
      </w:r>
      <w:bookmarkEnd w:id="551"/>
    </w:p>
    <w:p w14:paraId="04892631" w14:textId="77777777" w:rsidR="00111E4D" w:rsidRDefault="00111E4D" w:rsidP="00111E4D">
      <w:pPr>
        <w:pStyle w:val="Heading4"/>
      </w:pPr>
      <w:bookmarkStart w:id="552" w:name="_Hlk526105572"/>
      <w:r>
        <w:t>System Usability and Working Alliance Inventory</w:t>
      </w:r>
    </w:p>
    <w:p w14:paraId="1C8AD708" w14:textId="4C0A2FE5" w:rsidR="00111E4D" w:rsidRDefault="00111E4D" w:rsidP="00111E4D">
      <w:r w:rsidRPr="00EB616A">
        <w:t xml:space="preserve">A Spearman's rank-order correlation </w:t>
      </w:r>
      <w:r w:rsidRPr="00444DD2">
        <w:t xml:space="preserve">was run to assess the relationship between post-intervention </w:t>
      </w:r>
      <w:r>
        <w:t>system usability</w:t>
      </w:r>
      <w:r w:rsidRPr="00444DD2">
        <w:t xml:space="preserve"> (SUS Score) and </w:t>
      </w:r>
      <w:r>
        <w:t>working alliance (WAI-SR Overall)</w:t>
      </w:r>
      <w:r w:rsidRPr="00EB616A">
        <w:t>.</w:t>
      </w:r>
      <w:r>
        <w:t xml:space="preserve">  64</w:t>
      </w:r>
      <w:r w:rsidRPr="00EB616A">
        <w:t xml:space="preserve"> participants were </w:t>
      </w:r>
      <w:r w:rsidR="00513F14">
        <w:t>included</w:t>
      </w:r>
      <w:r w:rsidR="00554CB4">
        <w:t xml:space="preserve">.  </w:t>
      </w:r>
      <w:r w:rsidRPr="00EB616A">
        <w:t>Preliminary analysis showed the relationship to be monotonic, as assessed by visual inspecti</w:t>
      </w:r>
      <w:r>
        <w:t xml:space="preserve">on of a scatterplot.  </w:t>
      </w:r>
      <w:r w:rsidRPr="00567E8C">
        <w:rPr>
          <w:noProof/>
        </w:rPr>
        <w:t xml:space="preserve">There was a statistically significant, </w:t>
      </w:r>
      <w:r>
        <w:rPr>
          <w:noProof/>
        </w:rPr>
        <w:t>medium</w:t>
      </w:r>
      <w:r w:rsidRPr="00567E8C">
        <w:rPr>
          <w:noProof/>
        </w:rPr>
        <w:t xml:space="preserve"> positive correlation between</w:t>
      </w:r>
      <w:r w:rsidRPr="00EB616A">
        <w:t xml:space="preserve"> </w:t>
      </w:r>
      <w:r>
        <w:t>system usability</w:t>
      </w:r>
      <w:r w:rsidRPr="00EB616A">
        <w:t xml:space="preserve"> </w:t>
      </w:r>
      <w:r>
        <w:t xml:space="preserve">score </w:t>
      </w:r>
      <w:r w:rsidRPr="00EB616A">
        <w:t xml:space="preserve">and </w:t>
      </w:r>
      <w:r>
        <w:t>work alliance task rating</w:t>
      </w:r>
      <w:r w:rsidRPr="00EB616A">
        <w:t>, </w:t>
      </w:r>
      <w:proofErr w:type="gramStart"/>
      <w:r w:rsidR="00513F14" w:rsidRPr="00D14936">
        <w:rPr>
          <w:i/>
        </w:rPr>
        <w:t>r</w:t>
      </w:r>
      <w:r w:rsidR="00513F14" w:rsidRPr="000A7423">
        <w:rPr>
          <w:i/>
        </w:rPr>
        <w:t>(</w:t>
      </w:r>
      <w:proofErr w:type="gramEnd"/>
      <w:r w:rsidR="00513F14" w:rsidRPr="000A7423">
        <w:rPr>
          <w:i/>
        </w:rPr>
        <w:t>61)</w:t>
      </w:r>
      <w:r w:rsidR="00513F14">
        <w:rPr>
          <w:i/>
        </w:rPr>
        <w:t xml:space="preserve"> </w:t>
      </w:r>
      <w:r w:rsidRPr="00EB616A">
        <w:t>= .</w:t>
      </w:r>
      <w:r>
        <w:t xml:space="preserve">449, </w:t>
      </w:r>
      <w:r w:rsidRPr="002441EE">
        <w:rPr>
          <w:i/>
        </w:rPr>
        <w:t>p</w:t>
      </w:r>
      <w:r w:rsidRPr="00EB616A">
        <w:t> </w:t>
      </w:r>
      <w:r>
        <w:t>&lt; .001</w:t>
      </w:r>
      <w:r w:rsidRPr="00EB616A">
        <w:t>.</w:t>
      </w:r>
      <w:r>
        <w:t xml:space="preserve">  </w:t>
      </w:r>
      <w:r w:rsidRPr="003519D0">
        <w:t xml:space="preserve">The result suggests that </w:t>
      </w:r>
      <w:r>
        <w:t xml:space="preserve">the higher </w:t>
      </w:r>
      <w:r w:rsidRPr="003519D0">
        <w:t>participants score</w:t>
      </w:r>
      <w:r>
        <w:t>d</w:t>
      </w:r>
      <w:r w:rsidRPr="003519D0">
        <w:t xml:space="preserve"> </w:t>
      </w:r>
      <w:r>
        <w:t>system usability,</w:t>
      </w:r>
      <w:r w:rsidRPr="003519D0">
        <w:t xml:space="preserve"> </w:t>
      </w:r>
      <w:r w:rsidRPr="008F70E4">
        <w:rPr>
          <w:noProof/>
        </w:rPr>
        <w:t>the</w:t>
      </w:r>
      <w:r>
        <w:t xml:space="preserve"> higher </w:t>
      </w:r>
      <w:r w:rsidRPr="008F70E4">
        <w:rPr>
          <w:noProof/>
        </w:rPr>
        <w:t>they</w:t>
      </w:r>
      <w:r>
        <w:t xml:space="preserve"> would score the working alliance with</w:t>
      </w:r>
      <w:r w:rsidRPr="003519D0">
        <w:t xml:space="preserve"> </w:t>
      </w:r>
      <w:r>
        <w:t xml:space="preserve">a conversational agent for </w:t>
      </w:r>
      <w:r w:rsidRPr="00B356A7">
        <w:rPr>
          <w:noProof/>
        </w:rPr>
        <w:t>problem</w:t>
      </w:r>
      <w:r>
        <w:rPr>
          <w:noProof/>
        </w:rPr>
        <w:t>-</w:t>
      </w:r>
      <w:r w:rsidRPr="00B356A7">
        <w:rPr>
          <w:noProof/>
        </w:rPr>
        <w:t>solving</w:t>
      </w:r>
      <w:r>
        <w:t>.</w:t>
      </w:r>
    </w:p>
    <w:p w14:paraId="15680E59" w14:textId="5964D831" w:rsidR="00111E4D" w:rsidRDefault="00111E4D" w:rsidP="00111E4D">
      <w:pPr>
        <w:pStyle w:val="Caption"/>
        <w:keepNext/>
      </w:pPr>
      <w:bookmarkStart w:id="553" w:name="_Toc530684690"/>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22</w:t>
      </w:r>
      <w:r w:rsidR="00371DCC">
        <w:fldChar w:fldCharType="end"/>
      </w:r>
      <w:r w:rsidRPr="006A0742">
        <w:t xml:space="preserve"> </w:t>
      </w:r>
      <w:r w:rsidRPr="00976D5A">
        <w:t>System usability (post) and</w:t>
      </w:r>
      <w:r>
        <w:t xml:space="preserve"> working alliance </w:t>
      </w:r>
      <w:r w:rsidRPr="00976D5A">
        <w:t>scatterplot</w:t>
      </w:r>
      <w:bookmarkEnd w:id="553"/>
    </w:p>
    <w:p w14:paraId="53FB27E6" w14:textId="77777777" w:rsidR="00111E4D" w:rsidRDefault="00111E4D" w:rsidP="00111E4D">
      <w:pPr>
        <w:rPr>
          <w:rFonts w:ascii="Times New Roman" w:eastAsiaTheme="minorHAnsi" w:hAnsi="Times New Roman" w:cs="Times New Roman"/>
          <w:sz w:val="24"/>
          <w:szCs w:val="24"/>
        </w:rPr>
      </w:pPr>
      <w:r w:rsidRPr="00E865AE">
        <w:rPr>
          <w:rFonts w:ascii="Times New Roman" w:eastAsiaTheme="minorHAnsi" w:hAnsi="Times New Roman" w:cs="Times New Roman"/>
          <w:noProof/>
          <w:sz w:val="24"/>
          <w:szCs w:val="24"/>
          <w:lang w:eastAsia="en-GB"/>
        </w:rPr>
        <w:drawing>
          <wp:inline distT="0" distB="0" distL="0" distR="0" wp14:anchorId="1ED414AA" wp14:editId="49298025">
            <wp:extent cx="3060000" cy="2434623"/>
            <wp:effectExtent l="0" t="0" r="762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060000" cy="2434623"/>
                    </a:xfrm>
                    <a:prstGeom prst="rect">
                      <a:avLst/>
                    </a:prstGeom>
                  </pic:spPr>
                </pic:pic>
              </a:graphicData>
            </a:graphic>
          </wp:inline>
        </w:drawing>
      </w:r>
    </w:p>
    <w:p w14:paraId="65368BE7" w14:textId="77777777" w:rsidR="00111E4D" w:rsidRDefault="00111E4D" w:rsidP="00111E4D">
      <w:pPr>
        <w:pStyle w:val="Heading4"/>
      </w:pPr>
      <w:r>
        <w:t>System Usability and Working Alliance Inventory Bond</w:t>
      </w:r>
    </w:p>
    <w:p w14:paraId="78A20597" w14:textId="6D22581F" w:rsidR="00111E4D" w:rsidRDefault="00111E4D" w:rsidP="00111E4D">
      <w:r w:rsidRPr="00EB616A">
        <w:t xml:space="preserve">A Spearman's rank-order correlation </w:t>
      </w:r>
      <w:r w:rsidRPr="00444DD2">
        <w:t xml:space="preserve">was run to assess the relationship between post-intervention </w:t>
      </w:r>
      <w:r>
        <w:t>system usability</w:t>
      </w:r>
      <w:r w:rsidRPr="00444DD2">
        <w:t xml:space="preserve"> (SUS Score) and </w:t>
      </w:r>
      <w:r>
        <w:t>working alliance bond (WAI-SR Bond)</w:t>
      </w:r>
      <w:r w:rsidRPr="00EB616A">
        <w:t>.</w:t>
      </w:r>
      <w:r>
        <w:t xml:space="preserve">  64</w:t>
      </w:r>
      <w:r w:rsidRPr="00EB616A">
        <w:t xml:space="preserve"> participants were </w:t>
      </w:r>
      <w:r w:rsidR="000A7423">
        <w:t>included</w:t>
      </w:r>
      <w:r w:rsidR="00554CB4">
        <w:t xml:space="preserve">.  </w:t>
      </w:r>
      <w:r w:rsidRPr="00EB616A">
        <w:t>Preliminary analysis showed the relationship to be monotonic, as assessed by visual inspection of a scatterplot</w:t>
      </w:r>
      <w:r w:rsidR="00554CB4">
        <w:t xml:space="preserve">.  </w:t>
      </w:r>
      <w:r w:rsidRPr="00EB616A">
        <w:t xml:space="preserve">There was </w:t>
      </w:r>
      <w:r w:rsidRPr="00EB616A">
        <w:lastRenderedPageBreak/>
        <w:t xml:space="preserve">a statistically significant, </w:t>
      </w:r>
      <w:r>
        <w:t>small</w:t>
      </w:r>
      <w:r w:rsidRPr="00EB616A">
        <w:t xml:space="preserve"> positive correlation between </w:t>
      </w:r>
      <w:r>
        <w:t>system usability</w:t>
      </w:r>
      <w:r w:rsidRPr="00EB616A">
        <w:t xml:space="preserve"> </w:t>
      </w:r>
      <w:r>
        <w:t xml:space="preserve">score </w:t>
      </w:r>
      <w:r w:rsidRPr="00EB616A">
        <w:t xml:space="preserve">and </w:t>
      </w:r>
      <w:r>
        <w:t>work alliance task rating</w:t>
      </w:r>
      <w:r w:rsidRPr="00EB616A">
        <w:t>, </w:t>
      </w:r>
      <w:proofErr w:type="gramStart"/>
      <w:r w:rsidRPr="00D14936">
        <w:rPr>
          <w:i/>
        </w:rPr>
        <w:t>r</w:t>
      </w:r>
      <w:r w:rsidR="000A7423" w:rsidRPr="000A7423">
        <w:rPr>
          <w:i/>
        </w:rPr>
        <w:t>(</w:t>
      </w:r>
      <w:proofErr w:type="gramEnd"/>
      <w:r w:rsidR="000A7423" w:rsidRPr="000A7423">
        <w:rPr>
          <w:i/>
        </w:rPr>
        <w:t>61)</w:t>
      </w:r>
      <w:r w:rsidR="00513F14">
        <w:rPr>
          <w:i/>
        </w:rPr>
        <w:t xml:space="preserve"> </w:t>
      </w:r>
      <w:r w:rsidRPr="00EB616A">
        <w:t>= .</w:t>
      </w:r>
      <w:r>
        <w:t>282</w:t>
      </w:r>
      <w:r w:rsidRPr="00EB616A">
        <w:t>,</w:t>
      </w:r>
      <w:r>
        <w:rPr>
          <w:i/>
        </w:rPr>
        <w:t xml:space="preserve"> </w:t>
      </w:r>
      <w:r w:rsidRPr="002441EE">
        <w:rPr>
          <w:i/>
        </w:rPr>
        <w:t>p</w:t>
      </w:r>
      <w:r w:rsidRPr="00EB616A">
        <w:t> </w:t>
      </w:r>
      <w:r>
        <w:t>= .025</w:t>
      </w:r>
      <w:r w:rsidRPr="00EB616A">
        <w:t>.</w:t>
      </w:r>
    </w:p>
    <w:p w14:paraId="7ABD688A" w14:textId="60121A4A" w:rsidR="00111E4D" w:rsidRPr="006A0742" w:rsidRDefault="00111E4D" w:rsidP="00111E4D">
      <w:pPr>
        <w:pStyle w:val="Caption"/>
        <w:keepNext/>
      </w:pPr>
      <w:bookmarkStart w:id="554" w:name="_Toc530684691"/>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23</w:t>
      </w:r>
      <w:r w:rsidR="00371DCC">
        <w:fldChar w:fldCharType="end"/>
      </w:r>
      <w:r w:rsidRPr="006A0742">
        <w:t xml:space="preserve"> </w:t>
      </w:r>
      <w:r w:rsidRPr="00976D5A">
        <w:t>System usability (post) and</w:t>
      </w:r>
      <w:r>
        <w:t xml:space="preserve"> working alliance bond </w:t>
      </w:r>
      <w:r w:rsidRPr="00976D5A">
        <w:t>(</w:t>
      </w:r>
      <w:r>
        <w:t>bond</w:t>
      </w:r>
      <w:r w:rsidRPr="00976D5A">
        <w:t>) scatterplot</w:t>
      </w:r>
      <w:bookmarkEnd w:id="554"/>
    </w:p>
    <w:p w14:paraId="4F606B8B" w14:textId="77777777" w:rsidR="00111E4D" w:rsidRPr="00EB616A" w:rsidRDefault="00111E4D" w:rsidP="00111E4D">
      <w:r w:rsidRPr="00E865AE">
        <w:rPr>
          <w:noProof/>
          <w:lang w:eastAsia="en-GB"/>
        </w:rPr>
        <w:drawing>
          <wp:inline distT="0" distB="0" distL="0" distR="0" wp14:anchorId="5825E2BB" wp14:editId="4078113A">
            <wp:extent cx="3060000" cy="2408741"/>
            <wp:effectExtent l="0" t="0" r="762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60000" cy="2408741"/>
                    </a:xfrm>
                    <a:prstGeom prst="rect">
                      <a:avLst/>
                    </a:prstGeom>
                  </pic:spPr>
                </pic:pic>
              </a:graphicData>
            </a:graphic>
          </wp:inline>
        </w:drawing>
      </w:r>
    </w:p>
    <w:p w14:paraId="410AA59D" w14:textId="77777777" w:rsidR="00111E4D" w:rsidRDefault="00111E4D" w:rsidP="00111E4D">
      <w:pPr>
        <w:pStyle w:val="Heading4"/>
      </w:pPr>
      <w:r>
        <w:t>System Usability and Working Alliance Inventory Goal</w:t>
      </w:r>
    </w:p>
    <w:p w14:paraId="50804403" w14:textId="363367D0" w:rsidR="00111E4D" w:rsidRPr="00EB616A" w:rsidRDefault="00111E4D" w:rsidP="00111E4D">
      <w:r w:rsidRPr="00EB616A">
        <w:t xml:space="preserve">A Spearman's rank-order correlation </w:t>
      </w:r>
      <w:r w:rsidRPr="00444DD2">
        <w:t xml:space="preserve">was run to assess the relationship between post-intervention </w:t>
      </w:r>
      <w:r>
        <w:t>system usability</w:t>
      </w:r>
      <w:r w:rsidRPr="00444DD2">
        <w:t xml:space="preserve"> (SUS Score) and </w:t>
      </w:r>
      <w:r>
        <w:t>working alliance task (WAI-SR Task)</w:t>
      </w:r>
      <w:r w:rsidRPr="00EB616A">
        <w:t>.</w:t>
      </w:r>
      <w:r>
        <w:t xml:space="preserve">  64</w:t>
      </w:r>
      <w:r w:rsidRPr="00EB616A">
        <w:t xml:space="preserve"> participants were </w:t>
      </w:r>
      <w:r w:rsidR="00EF5929">
        <w:t>included</w:t>
      </w:r>
      <w:r w:rsidR="00554CB4">
        <w:t xml:space="preserve">.  </w:t>
      </w:r>
      <w:r w:rsidRPr="00EB616A">
        <w:t>Preliminary analysis showed the relationship to be monotonic, as assessed by visual inspection of a scatterplot</w:t>
      </w:r>
      <w:r w:rsidR="00554CB4">
        <w:t xml:space="preserve">.  </w:t>
      </w:r>
      <w:r w:rsidRPr="00EB616A">
        <w:t xml:space="preserve">There was a statistically significant, </w:t>
      </w:r>
      <w:r>
        <w:t>small</w:t>
      </w:r>
      <w:r w:rsidRPr="00EB616A">
        <w:t xml:space="preserve"> positive correlation between </w:t>
      </w:r>
      <w:r>
        <w:t>system usability</w:t>
      </w:r>
      <w:r w:rsidRPr="00EB616A">
        <w:t xml:space="preserve"> </w:t>
      </w:r>
      <w:r>
        <w:t xml:space="preserve">score </w:t>
      </w:r>
      <w:r w:rsidRPr="00EB616A">
        <w:t xml:space="preserve">and </w:t>
      </w:r>
      <w:r>
        <w:t>work alliance task rating</w:t>
      </w:r>
      <w:r w:rsidRPr="00EB616A">
        <w:t>, </w:t>
      </w:r>
      <w:proofErr w:type="gramStart"/>
      <w:r w:rsidR="00EF5929" w:rsidRPr="00D14936">
        <w:rPr>
          <w:i/>
        </w:rPr>
        <w:t>r</w:t>
      </w:r>
      <w:r w:rsidR="00EF5929" w:rsidRPr="000A7423">
        <w:rPr>
          <w:i/>
        </w:rPr>
        <w:t>(</w:t>
      </w:r>
      <w:proofErr w:type="gramEnd"/>
      <w:r w:rsidR="00EF5929" w:rsidRPr="000A7423">
        <w:rPr>
          <w:i/>
        </w:rPr>
        <w:t>61)</w:t>
      </w:r>
      <w:r w:rsidR="00513F14">
        <w:rPr>
          <w:i/>
        </w:rPr>
        <w:t xml:space="preserve"> </w:t>
      </w:r>
      <w:r w:rsidRPr="00EB616A">
        <w:t>= .</w:t>
      </w:r>
      <w:r>
        <w:t>272</w:t>
      </w:r>
      <w:r w:rsidR="00EF5929">
        <w:t xml:space="preserve">, </w:t>
      </w:r>
      <w:r w:rsidRPr="00D14936">
        <w:rPr>
          <w:i/>
        </w:rPr>
        <w:t>p</w:t>
      </w:r>
      <w:r w:rsidRPr="00EB616A">
        <w:t> </w:t>
      </w:r>
      <w:r>
        <w:t>=</w:t>
      </w:r>
      <w:r w:rsidRPr="00EB616A">
        <w:t xml:space="preserve"> .</w:t>
      </w:r>
      <w:r>
        <w:t>031</w:t>
      </w:r>
      <w:r w:rsidRPr="00EB616A">
        <w:t>.</w:t>
      </w:r>
    </w:p>
    <w:p w14:paraId="63BE07F8" w14:textId="77777777" w:rsidR="00111E4D" w:rsidRDefault="00111E4D" w:rsidP="00111E4D">
      <w:pPr>
        <w:pStyle w:val="Heading4"/>
      </w:pPr>
      <w:r>
        <w:t>System Usability and Working Alliance Inventory Task</w:t>
      </w:r>
    </w:p>
    <w:p w14:paraId="0C44AFFB" w14:textId="461C703A" w:rsidR="00111E4D" w:rsidRDefault="00111E4D" w:rsidP="00111E4D">
      <w:r w:rsidRPr="00EB616A">
        <w:t xml:space="preserve">A Spearman's rank-order correlation </w:t>
      </w:r>
      <w:r w:rsidRPr="00444DD2">
        <w:t xml:space="preserve">was run to assess the relationship between post-intervention </w:t>
      </w:r>
      <w:r>
        <w:t>system usability</w:t>
      </w:r>
      <w:r w:rsidRPr="00444DD2">
        <w:t xml:space="preserve"> (SUS Score) and </w:t>
      </w:r>
      <w:r>
        <w:t>working alliance task (WAI-SR Task)</w:t>
      </w:r>
      <w:r w:rsidRPr="00EB616A">
        <w:t>.</w:t>
      </w:r>
      <w:r>
        <w:t xml:space="preserve">  64</w:t>
      </w:r>
      <w:r w:rsidRPr="00EB616A">
        <w:t xml:space="preserve"> participants were </w:t>
      </w:r>
      <w:r w:rsidR="00EF5929">
        <w:t>included</w:t>
      </w:r>
      <w:r w:rsidR="00554CB4">
        <w:t xml:space="preserve">.  </w:t>
      </w:r>
      <w:r w:rsidRPr="00EB616A">
        <w:t>Preliminary analysis showed the relationship to be monotonic, as assessed by visual inspection of a scatterplot</w:t>
      </w:r>
      <w:r w:rsidR="00554CB4">
        <w:t xml:space="preserve">.  </w:t>
      </w:r>
      <w:r w:rsidRPr="00567E8C">
        <w:rPr>
          <w:noProof/>
        </w:rPr>
        <w:t xml:space="preserve">There was a statistically significant, </w:t>
      </w:r>
      <w:r>
        <w:rPr>
          <w:noProof/>
        </w:rPr>
        <w:t>large</w:t>
      </w:r>
      <w:r w:rsidRPr="00567E8C">
        <w:rPr>
          <w:noProof/>
        </w:rPr>
        <w:t xml:space="preserve"> positive correlation between</w:t>
      </w:r>
      <w:r w:rsidRPr="00EB616A">
        <w:t xml:space="preserve"> </w:t>
      </w:r>
      <w:r>
        <w:t>system usability</w:t>
      </w:r>
      <w:r w:rsidRPr="00EB616A">
        <w:t xml:space="preserve"> </w:t>
      </w:r>
      <w:r>
        <w:t xml:space="preserve">score </w:t>
      </w:r>
      <w:r w:rsidRPr="00EB616A">
        <w:t xml:space="preserve">and </w:t>
      </w:r>
      <w:r>
        <w:t>work alliance task rating</w:t>
      </w:r>
      <w:r w:rsidRPr="00EB616A">
        <w:t>, </w:t>
      </w:r>
      <w:proofErr w:type="gramStart"/>
      <w:r w:rsidR="00EF5929" w:rsidRPr="00D14936">
        <w:rPr>
          <w:i/>
        </w:rPr>
        <w:t>r</w:t>
      </w:r>
      <w:r w:rsidR="00EF5929" w:rsidRPr="000A7423">
        <w:rPr>
          <w:i/>
        </w:rPr>
        <w:t>(</w:t>
      </w:r>
      <w:proofErr w:type="gramEnd"/>
      <w:r w:rsidR="00EF5929" w:rsidRPr="000A7423">
        <w:rPr>
          <w:i/>
        </w:rPr>
        <w:t>61)</w:t>
      </w:r>
      <w:r w:rsidR="00513F14">
        <w:rPr>
          <w:i/>
        </w:rPr>
        <w:t xml:space="preserve"> </w:t>
      </w:r>
      <w:r w:rsidRPr="00EB616A">
        <w:t>= .</w:t>
      </w:r>
      <w:r>
        <w:t>582</w:t>
      </w:r>
      <w:r w:rsidRPr="00EB616A">
        <w:t>, </w:t>
      </w:r>
      <w:r w:rsidRPr="00D14936">
        <w:rPr>
          <w:i/>
        </w:rPr>
        <w:t>p</w:t>
      </w:r>
      <w:r w:rsidRPr="00EB616A">
        <w:t> &lt; .</w:t>
      </w:r>
      <w:r>
        <w:t>001</w:t>
      </w:r>
      <w:r w:rsidRPr="00EB616A">
        <w:t>.</w:t>
      </w:r>
    </w:p>
    <w:p w14:paraId="421FDF77" w14:textId="787E2A69" w:rsidR="00111E4D" w:rsidRDefault="00111E4D" w:rsidP="00111E4D">
      <w:pPr>
        <w:pStyle w:val="Caption"/>
        <w:keepNext/>
      </w:pPr>
      <w:bookmarkStart w:id="555" w:name="_Toc530684692"/>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24</w:t>
      </w:r>
      <w:r w:rsidR="00371DCC">
        <w:fldChar w:fldCharType="end"/>
      </w:r>
      <w:r w:rsidRPr="006A0742">
        <w:t xml:space="preserve"> </w:t>
      </w:r>
      <w:r w:rsidRPr="00976D5A">
        <w:t>System usability (post) and</w:t>
      </w:r>
      <w:r>
        <w:t xml:space="preserve"> working alliance task </w:t>
      </w:r>
      <w:r w:rsidRPr="00976D5A">
        <w:t>(</w:t>
      </w:r>
      <w:r>
        <w:t>task</w:t>
      </w:r>
      <w:r w:rsidRPr="00976D5A">
        <w:t>) scatterplot</w:t>
      </w:r>
      <w:bookmarkEnd w:id="555"/>
    </w:p>
    <w:p w14:paraId="5BCCA34F" w14:textId="77777777" w:rsidR="00111E4D" w:rsidRPr="00EB616A" w:rsidRDefault="00111E4D" w:rsidP="00111E4D">
      <w:r w:rsidRPr="00E865AE">
        <w:rPr>
          <w:noProof/>
          <w:lang w:eastAsia="en-GB"/>
        </w:rPr>
        <w:drawing>
          <wp:inline distT="0" distB="0" distL="0" distR="0" wp14:anchorId="5939AA1F" wp14:editId="14404F1E">
            <wp:extent cx="3060000" cy="2409419"/>
            <wp:effectExtent l="0" t="0" r="762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060000" cy="2409419"/>
                    </a:xfrm>
                    <a:prstGeom prst="rect">
                      <a:avLst/>
                    </a:prstGeom>
                  </pic:spPr>
                </pic:pic>
              </a:graphicData>
            </a:graphic>
          </wp:inline>
        </w:drawing>
      </w:r>
    </w:p>
    <w:p w14:paraId="54A1E7B0" w14:textId="4239E9C7" w:rsidR="00111E4D" w:rsidRDefault="00111E4D" w:rsidP="00111E4D">
      <w:r>
        <w:lastRenderedPageBreak/>
        <w:t xml:space="preserve">These findings suggest that those who rate higher system usability may experience a stronger work alliance with a self-help conversation agent.  When examining the sub-scores of goal, task and </w:t>
      </w:r>
      <w:r w:rsidRPr="008F70E4">
        <w:rPr>
          <w:noProof/>
        </w:rPr>
        <w:t>bond</w:t>
      </w:r>
      <w:r>
        <w:rPr>
          <w:noProof/>
        </w:rPr>
        <w:t>,</w:t>
      </w:r>
      <w:r>
        <w:t xml:space="preserve"> it becomes apparent that usability may predominantly affect the task sub-score of the work alliance, thus aligning well with the purpose of usability (see </w:t>
      </w:r>
      <w:r>
        <w:fldChar w:fldCharType="begin"/>
      </w:r>
      <w:r>
        <w:instrText xml:space="preserve"> REF _Ref523851427 \h </w:instrText>
      </w:r>
      <w:r>
        <w:fldChar w:fldCharType="separate"/>
      </w:r>
      <w:r w:rsidR="00574650">
        <w:t xml:space="preserve">Table </w:t>
      </w:r>
      <w:r w:rsidR="00574650">
        <w:rPr>
          <w:noProof/>
        </w:rPr>
        <w:t>6</w:t>
      </w:r>
      <w:r w:rsidR="00574650">
        <w:t>.</w:t>
      </w:r>
      <w:r w:rsidR="00574650">
        <w:rPr>
          <w:noProof/>
        </w:rPr>
        <w:t>5</w:t>
      </w:r>
      <w:r>
        <w:fldChar w:fldCharType="end"/>
      </w:r>
      <w:r>
        <w:t>).</w:t>
      </w:r>
    </w:p>
    <w:p w14:paraId="62422A8B" w14:textId="182AC943" w:rsidR="00111E4D" w:rsidRDefault="00111E4D" w:rsidP="00111E4D">
      <w:pPr>
        <w:pStyle w:val="Caption"/>
        <w:keepNext/>
      </w:pPr>
      <w:bookmarkStart w:id="556" w:name="_Ref523851427"/>
      <w:bookmarkStart w:id="557" w:name="_Toc530759498"/>
      <w:proofErr w:type="gramStart"/>
      <w:r>
        <w:t xml:space="preserve">Table </w:t>
      </w:r>
      <w:r w:rsidR="007E7BB7">
        <w:fldChar w:fldCharType="begin"/>
      </w:r>
      <w:r w:rsidR="007E7BB7">
        <w:instrText xml:space="preserve"> STYLEREF 1 \s </w:instrText>
      </w:r>
      <w:r w:rsidR="007E7BB7">
        <w:fldChar w:fldCharType="separate"/>
      </w:r>
      <w:r w:rsidR="00574650">
        <w:rPr>
          <w:noProof/>
        </w:rPr>
        <w:t>6</w:t>
      </w:r>
      <w:r w:rsidR="007E7BB7">
        <w:fldChar w:fldCharType="end"/>
      </w:r>
      <w:r w:rsidR="007E7BB7">
        <w:t>.</w:t>
      </w:r>
      <w:proofErr w:type="gramEnd"/>
      <w:r w:rsidR="007E7BB7">
        <w:fldChar w:fldCharType="begin"/>
      </w:r>
      <w:r w:rsidR="007E7BB7">
        <w:instrText xml:space="preserve"> SEQ Table \* ARABIC \s 1 </w:instrText>
      </w:r>
      <w:r w:rsidR="007E7BB7">
        <w:fldChar w:fldCharType="separate"/>
      </w:r>
      <w:r w:rsidR="00574650">
        <w:rPr>
          <w:noProof/>
        </w:rPr>
        <w:t>5</w:t>
      </w:r>
      <w:r w:rsidR="007E7BB7">
        <w:fldChar w:fldCharType="end"/>
      </w:r>
      <w:bookmarkEnd w:id="556"/>
      <w:r>
        <w:t xml:space="preserve"> Correlations between System Usability Score and Working Alliance Inventory and </w:t>
      </w:r>
      <w:r w:rsidRPr="00B356A7">
        <w:rPr>
          <w:noProof/>
        </w:rPr>
        <w:t>subscales</w:t>
      </w:r>
      <w:bookmarkEnd w:id="557"/>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568"/>
        <w:gridCol w:w="4051"/>
        <w:gridCol w:w="764"/>
        <w:gridCol w:w="1192"/>
        <w:gridCol w:w="1192"/>
        <w:gridCol w:w="1188"/>
        <w:gridCol w:w="1182"/>
      </w:tblGrid>
      <w:tr w:rsidR="00111E4D" w:rsidRPr="0084683A" w14:paraId="3ECBEC03" w14:textId="77777777" w:rsidTr="00111E4D">
        <w:tc>
          <w:tcPr>
            <w:tcW w:w="280" w:type="pct"/>
            <w:tcBorders>
              <w:top w:val="single" w:sz="4" w:space="0" w:color="auto"/>
              <w:bottom w:val="single" w:sz="4" w:space="0" w:color="auto"/>
            </w:tcBorders>
          </w:tcPr>
          <w:p w14:paraId="1F670E02" w14:textId="77777777" w:rsidR="00111E4D" w:rsidRPr="0084683A" w:rsidRDefault="00111E4D" w:rsidP="00111E4D">
            <w:pPr>
              <w:pStyle w:val="NoSpacing"/>
            </w:pPr>
          </w:p>
        </w:tc>
        <w:tc>
          <w:tcPr>
            <w:tcW w:w="1998" w:type="pct"/>
            <w:tcBorders>
              <w:top w:val="single" w:sz="4" w:space="0" w:color="auto"/>
              <w:bottom w:val="single" w:sz="4" w:space="0" w:color="auto"/>
            </w:tcBorders>
            <w:vAlign w:val="center"/>
          </w:tcPr>
          <w:p w14:paraId="4F9131B3" w14:textId="77777777" w:rsidR="00111E4D" w:rsidRPr="0084683A" w:rsidRDefault="00111E4D" w:rsidP="00111E4D">
            <w:pPr>
              <w:pStyle w:val="NoSpacing"/>
            </w:pPr>
          </w:p>
        </w:tc>
        <w:tc>
          <w:tcPr>
            <w:tcW w:w="377" w:type="pct"/>
            <w:tcBorders>
              <w:top w:val="single" w:sz="4" w:space="0" w:color="auto"/>
              <w:bottom w:val="single" w:sz="4" w:space="0" w:color="auto"/>
            </w:tcBorders>
            <w:vAlign w:val="center"/>
          </w:tcPr>
          <w:p w14:paraId="102C8B1A" w14:textId="77777777" w:rsidR="00111E4D" w:rsidRPr="0084683A" w:rsidRDefault="00111E4D" w:rsidP="00111E4D">
            <w:pPr>
              <w:pStyle w:val="NoSpacing"/>
            </w:pPr>
            <w:r w:rsidRPr="0084683A">
              <w:t>1</w:t>
            </w:r>
          </w:p>
        </w:tc>
        <w:tc>
          <w:tcPr>
            <w:tcW w:w="588" w:type="pct"/>
            <w:tcBorders>
              <w:top w:val="single" w:sz="4" w:space="0" w:color="auto"/>
              <w:bottom w:val="single" w:sz="4" w:space="0" w:color="auto"/>
            </w:tcBorders>
            <w:vAlign w:val="center"/>
          </w:tcPr>
          <w:p w14:paraId="17E12D94" w14:textId="77777777" w:rsidR="00111E4D" w:rsidRPr="0084683A" w:rsidRDefault="00111E4D" w:rsidP="00111E4D">
            <w:pPr>
              <w:pStyle w:val="NoSpacing"/>
            </w:pPr>
            <w:r w:rsidRPr="0084683A">
              <w:t>2</w:t>
            </w:r>
          </w:p>
        </w:tc>
        <w:tc>
          <w:tcPr>
            <w:tcW w:w="588" w:type="pct"/>
            <w:tcBorders>
              <w:top w:val="single" w:sz="4" w:space="0" w:color="auto"/>
              <w:bottom w:val="single" w:sz="4" w:space="0" w:color="auto"/>
            </w:tcBorders>
            <w:vAlign w:val="center"/>
          </w:tcPr>
          <w:p w14:paraId="349E4508" w14:textId="77777777" w:rsidR="00111E4D" w:rsidRPr="0084683A" w:rsidRDefault="00111E4D" w:rsidP="00111E4D">
            <w:pPr>
              <w:pStyle w:val="NoSpacing"/>
            </w:pPr>
            <w:r w:rsidRPr="0084683A">
              <w:t>3</w:t>
            </w:r>
          </w:p>
        </w:tc>
        <w:tc>
          <w:tcPr>
            <w:tcW w:w="586" w:type="pct"/>
            <w:tcBorders>
              <w:top w:val="single" w:sz="4" w:space="0" w:color="auto"/>
              <w:bottom w:val="single" w:sz="4" w:space="0" w:color="auto"/>
            </w:tcBorders>
          </w:tcPr>
          <w:p w14:paraId="36CB1B93" w14:textId="77777777" w:rsidR="00111E4D" w:rsidRPr="0084683A" w:rsidRDefault="00111E4D" w:rsidP="00111E4D">
            <w:pPr>
              <w:pStyle w:val="NoSpacing"/>
            </w:pPr>
            <w:r w:rsidRPr="0084683A">
              <w:t>4</w:t>
            </w:r>
          </w:p>
        </w:tc>
        <w:tc>
          <w:tcPr>
            <w:tcW w:w="583" w:type="pct"/>
            <w:tcBorders>
              <w:top w:val="single" w:sz="4" w:space="0" w:color="auto"/>
              <w:bottom w:val="single" w:sz="4" w:space="0" w:color="auto"/>
            </w:tcBorders>
          </w:tcPr>
          <w:p w14:paraId="28ED9DD0" w14:textId="77777777" w:rsidR="00111E4D" w:rsidRPr="0084683A" w:rsidRDefault="00111E4D" w:rsidP="00111E4D">
            <w:pPr>
              <w:pStyle w:val="NoSpacing"/>
            </w:pPr>
            <w:r w:rsidRPr="0084683A">
              <w:t>5</w:t>
            </w:r>
          </w:p>
        </w:tc>
      </w:tr>
      <w:tr w:rsidR="00111E4D" w:rsidRPr="0084683A" w14:paraId="64CB75D0" w14:textId="77777777" w:rsidTr="00111E4D">
        <w:tc>
          <w:tcPr>
            <w:tcW w:w="280" w:type="pct"/>
            <w:tcBorders>
              <w:top w:val="single" w:sz="4" w:space="0" w:color="auto"/>
            </w:tcBorders>
          </w:tcPr>
          <w:p w14:paraId="3029F274" w14:textId="77777777" w:rsidR="00111E4D" w:rsidRPr="0084683A" w:rsidRDefault="00111E4D" w:rsidP="00111E4D">
            <w:pPr>
              <w:pStyle w:val="NoSpacing"/>
            </w:pPr>
            <w:r w:rsidRPr="0084683A">
              <w:t>1</w:t>
            </w:r>
          </w:p>
        </w:tc>
        <w:tc>
          <w:tcPr>
            <w:tcW w:w="1998" w:type="pct"/>
            <w:tcBorders>
              <w:top w:val="single" w:sz="4" w:space="0" w:color="auto"/>
            </w:tcBorders>
            <w:shd w:val="clear" w:color="auto" w:fill="auto"/>
            <w:vAlign w:val="center"/>
          </w:tcPr>
          <w:p w14:paraId="54470AEE" w14:textId="77777777" w:rsidR="00111E4D" w:rsidRPr="0084683A" w:rsidRDefault="00111E4D" w:rsidP="00111E4D">
            <w:pPr>
              <w:pStyle w:val="NoSpacing"/>
            </w:pPr>
            <w:r w:rsidRPr="0084683A">
              <w:t>System Usability Score</w:t>
            </w:r>
          </w:p>
        </w:tc>
        <w:tc>
          <w:tcPr>
            <w:tcW w:w="377" w:type="pct"/>
            <w:tcBorders>
              <w:top w:val="single" w:sz="4" w:space="0" w:color="auto"/>
            </w:tcBorders>
            <w:shd w:val="clear" w:color="auto" w:fill="auto"/>
            <w:vAlign w:val="center"/>
          </w:tcPr>
          <w:p w14:paraId="447B2E8B" w14:textId="77777777" w:rsidR="00111E4D" w:rsidRPr="0084683A" w:rsidRDefault="00111E4D" w:rsidP="00111E4D">
            <w:pPr>
              <w:pStyle w:val="NoSpacing"/>
            </w:pPr>
            <w:r w:rsidRPr="0084683A">
              <w:t>-</w:t>
            </w:r>
          </w:p>
        </w:tc>
        <w:tc>
          <w:tcPr>
            <w:tcW w:w="588" w:type="pct"/>
            <w:tcBorders>
              <w:top w:val="single" w:sz="4" w:space="0" w:color="auto"/>
            </w:tcBorders>
            <w:shd w:val="clear" w:color="auto" w:fill="auto"/>
            <w:vAlign w:val="center"/>
          </w:tcPr>
          <w:p w14:paraId="44B55B6B" w14:textId="77777777" w:rsidR="00111E4D" w:rsidRPr="0084683A" w:rsidRDefault="00111E4D" w:rsidP="00111E4D">
            <w:pPr>
              <w:pStyle w:val="NoSpacing"/>
            </w:pPr>
            <w:r w:rsidRPr="0084683A">
              <w:t>.449**</w:t>
            </w:r>
          </w:p>
        </w:tc>
        <w:tc>
          <w:tcPr>
            <w:tcW w:w="588" w:type="pct"/>
            <w:tcBorders>
              <w:top w:val="single" w:sz="4" w:space="0" w:color="auto"/>
            </w:tcBorders>
            <w:shd w:val="clear" w:color="auto" w:fill="auto"/>
            <w:vAlign w:val="center"/>
          </w:tcPr>
          <w:p w14:paraId="7C80F84D" w14:textId="77777777" w:rsidR="00111E4D" w:rsidRPr="0084683A" w:rsidRDefault="00111E4D" w:rsidP="00111E4D">
            <w:pPr>
              <w:pStyle w:val="NoSpacing"/>
            </w:pPr>
            <w:r w:rsidRPr="0084683A">
              <w:t>.282*</w:t>
            </w:r>
          </w:p>
        </w:tc>
        <w:tc>
          <w:tcPr>
            <w:tcW w:w="586" w:type="pct"/>
            <w:tcBorders>
              <w:top w:val="single" w:sz="4" w:space="0" w:color="auto"/>
            </w:tcBorders>
          </w:tcPr>
          <w:p w14:paraId="7AC29968" w14:textId="77777777" w:rsidR="00111E4D" w:rsidRPr="0084683A" w:rsidRDefault="00111E4D" w:rsidP="00111E4D">
            <w:pPr>
              <w:pStyle w:val="NoSpacing"/>
            </w:pPr>
            <w:r w:rsidRPr="0084683A">
              <w:t>.272*</w:t>
            </w:r>
          </w:p>
        </w:tc>
        <w:tc>
          <w:tcPr>
            <w:tcW w:w="583" w:type="pct"/>
            <w:tcBorders>
              <w:top w:val="single" w:sz="4" w:space="0" w:color="auto"/>
            </w:tcBorders>
          </w:tcPr>
          <w:p w14:paraId="1684194E" w14:textId="77777777" w:rsidR="00111E4D" w:rsidRPr="0084683A" w:rsidRDefault="00111E4D" w:rsidP="00111E4D">
            <w:pPr>
              <w:pStyle w:val="NoSpacing"/>
            </w:pPr>
            <w:r w:rsidRPr="0084683A">
              <w:t>.582**</w:t>
            </w:r>
          </w:p>
        </w:tc>
      </w:tr>
      <w:tr w:rsidR="00111E4D" w:rsidRPr="0084683A" w14:paraId="2A239A3B" w14:textId="77777777" w:rsidTr="00111E4D">
        <w:tc>
          <w:tcPr>
            <w:tcW w:w="280" w:type="pct"/>
          </w:tcPr>
          <w:p w14:paraId="6C739A68" w14:textId="77777777" w:rsidR="00111E4D" w:rsidRPr="0084683A" w:rsidRDefault="00111E4D" w:rsidP="00111E4D">
            <w:pPr>
              <w:pStyle w:val="NoSpacing"/>
            </w:pPr>
            <w:r w:rsidRPr="0084683A">
              <w:t>2</w:t>
            </w:r>
          </w:p>
        </w:tc>
        <w:tc>
          <w:tcPr>
            <w:tcW w:w="1998" w:type="pct"/>
            <w:shd w:val="clear" w:color="auto" w:fill="auto"/>
            <w:vAlign w:val="center"/>
          </w:tcPr>
          <w:p w14:paraId="29F76C90" w14:textId="77777777" w:rsidR="00111E4D" w:rsidRPr="0084683A" w:rsidRDefault="00111E4D" w:rsidP="00111E4D">
            <w:pPr>
              <w:pStyle w:val="NoSpacing"/>
            </w:pPr>
            <w:r w:rsidRPr="0084683A">
              <w:t>Work Alliance Inventory – Overall</w:t>
            </w:r>
          </w:p>
        </w:tc>
        <w:tc>
          <w:tcPr>
            <w:tcW w:w="377" w:type="pct"/>
            <w:shd w:val="clear" w:color="auto" w:fill="auto"/>
            <w:vAlign w:val="center"/>
          </w:tcPr>
          <w:p w14:paraId="140C8FA1" w14:textId="77777777" w:rsidR="00111E4D" w:rsidRPr="0084683A" w:rsidRDefault="00111E4D" w:rsidP="00111E4D">
            <w:pPr>
              <w:pStyle w:val="NoSpacing"/>
            </w:pPr>
          </w:p>
        </w:tc>
        <w:tc>
          <w:tcPr>
            <w:tcW w:w="588" w:type="pct"/>
            <w:shd w:val="clear" w:color="auto" w:fill="auto"/>
            <w:vAlign w:val="center"/>
          </w:tcPr>
          <w:p w14:paraId="40EED99F" w14:textId="77777777" w:rsidR="00111E4D" w:rsidRPr="0084683A" w:rsidRDefault="00111E4D" w:rsidP="00111E4D">
            <w:pPr>
              <w:pStyle w:val="NoSpacing"/>
            </w:pPr>
            <w:r w:rsidRPr="0084683A">
              <w:t>-</w:t>
            </w:r>
          </w:p>
        </w:tc>
        <w:tc>
          <w:tcPr>
            <w:tcW w:w="588" w:type="pct"/>
            <w:shd w:val="clear" w:color="auto" w:fill="auto"/>
            <w:vAlign w:val="center"/>
          </w:tcPr>
          <w:p w14:paraId="261F8334" w14:textId="77777777" w:rsidR="00111E4D" w:rsidRPr="0084683A" w:rsidRDefault="00111E4D" w:rsidP="00111E4D">
            <w:pPr>
              <w:pStyle w:val="NoSpacing"/>
            </w:pPr>
            <w:r w:rsidRPr="0084683A">
              <w:t>.915**</w:t>
            </w:r>
          </w:p>
        </w:tc>
        <w:tc>
          <w:tcPr>
            <w:tcW w:w="586" w:type="pct"/>
          </w:tcPr>
          <w:p w14:paraId="21F91E96" w14:textId="77777777" w:rsidR="00111E4D" w:rsidRPr="0084683A" w:rsidRDefault="00111E4D" w:rsidP="00111E4D">
            <w:pPr>
              <w:pStyle w:val="NoSpacing"/>
            </w:pPr>
            <w:r w:rsidRPr="0084683A">
              <w:t>.851**</w:t>
            </w:r>
          </w:p>
        </w:tc>
        <w:tc>
          <w:tcPr>
            <w:tcW w:w="583" w:type="pct"/>
          </w:tcPr>
          <w:p w14:paraId="6D1718E9" w14:textId="77777777" w:rsidR="00111E4D" w:rsidRPr="0084683A" w:rsidRDefault="00111E4D" w:rsidP="00111E4D">
            <w:pPr>
              <w:pStyle w:val="NoSpacing"/>
            </w:pPr>
            <w:r w:rsidRPr="0084683A">
              <w:t>.841**</w:t>
            </w:r>
          </w:p>
        </w:tc>
      </w:tr>
      <w:tr w:rsidR="00111E4D" w:rsidRPr="0084683A" w14:paraId="7CA45BCF" w14:textId="77777777" w:rsidTr="00111E4D">
        <w:tc>
          <w:tcPr>
            <w:tcW w:w="280" w:type="pct"/>
          </w:tcPr>
          <w:p w14:paraId="32E09F61" w14:textId="77777777" w:rsidR="00111E4D" w:rsidRPr="0084683A" w:rsidRDefault="00111E4D" w:rsidP="00111E4D">
            <w:pPr>
              <w:pStyle w:val="NoSpacing"/>
            </w:pPr>
            <w:r w:rsidRPr="0084683A">
              <w:t>3</w:t>
            </w:r>
          </w:p>
        </w:tc>
        <w:tc>
          <w:tcPr>
            <w:tcW w:w="1998" w:type="pct"/>
            <w:shd w:val="clear" w:color="auto" w:fill="auto"/>
            <w:vAlign w:val="center"/>
          </w:tcPr>
          <w:p w14:paraId="6E4F0CD3" w14:textId="77777777" w:rsidR="00111E4D" w:rsidRPr="0084683A" w:rsidRDefault="00111E4D" w:rsidP="00111E4D">
            <w:pPr>
              <w:pStyle w:val="NoSpacing"/>
            </w:pPr>
            <w:r w:rsidRPr="0084683A">
              <w:t>Work Alliance Inventory – Bond</w:t>
            </w:r>
          </w:p>
        </w:tc>
        <w:tc>
          <w:tcPr>
            <w:tcW w:w="377" w:type="pct"/>
            <w:shd w:val="clear" w:color="auto" w:fill="auto"/>
            <w:vAlign w:val="center"/>
          </w:tcPr>
          <w:p w14:paraId="69ABEA85" w14:textId="77777777" w:rsidR="00111E4D" w:rsidRPr="0084683A" w:rsidRDefault="00111E4D" w:rsidP="00111E4D">
            <w:pPr>
              <w:pStyle w:val="NoSpacing"/>
            </w:pPr>
          </w:p>
        </w:tc>
        <w:tc>
          <w:tcPr>
            <w:tcW w:w="588" w:type="pct"/>
            <w:shd w:val="clear" w:color="auto" w:fill="auto"/>
            <w:vAlign w:val="center"/>
          </w:tcPr>
          <w:p w14:paraId="0350D181" w14:textId="77777777" w:rsidR="00111E4D" w:rsidRPr="0084683A" w:rsidRDefault="00111E4D" w:rsidP="00111E4D">
            <w:pPr>
              <w:pStyle w:val="NoSpacing"/>
            </w:pPr>
          </w:p>
        </w:tc>
        <w:tc>
          <w:tcPr>
            <w:tcW w:w="588" w:type="pct"/>
            <w:shd w:val="clear" w:color="auto" w:fill="auto"/>
            <w:vAlign w:val="center"/>
          </w:tcPr>
          <w:p w14:paraId="4E81E587" w14:textId="77777777" w:rsidR="00111E4D" w:rsidRPr="0084683A" w:rsidRDefault="00111E4D" w:rsidP="00111E4D">
            <w:pPr>
              <w:pStyle w:val="NoSpacing"/>
            </w:pPr>
            <w:r w:rsidRPr="0084683A">
              <w:t>-</w:t>
            </w:r>
          </w:p>
        </w:tc>
        <w:tc>
          <w:tcPr>
            <w:tcW w:w="586" w:type="pct"/>
          </w:tcPr>
          <w:p w14:paraId="684F5791" w14:textId="77777777" w:rsidR="00111E4D" w:rsidRPr="0084683A" w:rsidRDefault="00111E4D" w:rsidP="00111E4D">
            <w:pPr>
              <w:pStyle w:val="NoSpacing"/>
            </w:pPr>
            <w:r w:rsidRPr="0084683A">
              <w:t>.800**</w:t>
            </w:r>
          </w:p>
        </w:tc>
        <w:tc>
          <w:tcPr>
            <w:tcW w:w="583" w:type="pct"/>
          </w:tcPr>
          <w:p w14:paraId="46DF3941" w14:textId="77777777" w:rsidR="00111E4D" w:rsidRPr="0084683A" w:rsidRDefault="00111E4D" w:rsidP="00111E4D">
            <w:pPr>
              <w:pStyle w:val="NoSpacing"/>
            </w:pPr>
            <w:r w:rsidRPr="0084683A">
              <w:t>.611**</w:t>
            </w:r>
          </w:p>
        </w:tc>
      </w:tr>
      <w:tr w:rsidR="00111E4D" w:rsidRPr="0084683A" w14:paraId="0FAD7E17" w14:textId="77777777" w:rsidTr="00111E4D">
        <w:tc>
          <w:tcPr>
            <w:tcW w:w="280" w:type="pct"/>
          </w:tcPr>
          <w:p w14:paraId="4863154D" w14:textId="77777777" w:rsidR="00111E4D" w:rsidRPr="0084683A" w:rsidRDefault="00111E4D" w:rsidP="00111E4D">
            <w:pPr>
              <w:pStyle w:val="NoSpacing"/>
            </w:pPr>
            <w:r w:rsidRPr="0084683A">
              <w:t>4</w:t>
            </w:r>
          </w:p>
        </w:tc>
        <w:tc>
          <w:tcPr>
            <w:tcW w:w="1998" w:type="pct"/>
            <w:shd w:val="clear" w:color="auto" w:fill="auto"/>
            <w:vAlign w:val="center"/>
          </w:tcPr>
          <w:p w14:paraId="1C35039E" w14:textId="77777777" w:rsidR="00111E4D" w:rsidRPr="0084683A" w:rsidRDefault="00111E4D" w:rsidP="00111E4D">
            <w:pPr>
              <w:pStyle w:val="NoSpacing"/>
            </w:pPr>
            <w:r w:rsidRPr="0084683A">
              <w:t>Work Alliance Inventory – Goal</w:t>
            </w:r>
          </w:p>
        </w:tc>
        <w:tc>
          <w:tcPr>
            <w:tcW w:w="377" w:type="pct"/>
            <w:shd w:val="clear" w:color="auto" w:fill="auto"/>
            <w:vAlign w:val="center"/>
          </w:tcPr>
          <w:p w14:paraId="38D8734E" w14:textId="77777777" w:rsidR="00111E4D" w:rsidRPr="0084683A" w:rsidRDefault="00111E4D" w:rsidP="00111E4D">
            <w:pPr>
              <w:pStyle w:val="NoSpacing"/>
            </w:pPr>
          </w:p>
        </w:tc>
        <w:tc>
          <w:tcPr>
            <w:tcW w:w="588" w:type="pct"/>
            <w:shd w:val="clear" w:color="auto" w:fill="auto"/>
            <w:vAlign w:val="center"/>
          </w:tcPr>
          <w:p w14:paraId="62CC45EF" w14:textId="77777777" w:rsidR="00111E4D" w:rsidRPr="0084683A" w:rsidRDefault="00111E4D" w:rsidP="00111E4D">
            <w:pPr>
              <w:pStyle w:val="NoSpacing"/>
            </w:pPr>
          </w:p>
        </w:tc>
        <w:tc>
          <w:tcPr>
            <w:tcW w:w="588" w:type="pct"/>
            <w:shd w:val="clear" w:color="auto" w:fill="auto"/>
            <w:vAlign w:val="center"/>
          </w:tcPr>
          <w:p w14:paraId="51A3D06B" w14:textId="77777777" w:rsidR="00111E4D" w:rsidRPr="0084683A" w:rsidRDefault="00111E4D" w:rsidP="00111E4D">
            <w:pPr>
              <w:pStyle w:val="NoSpacing"/>
            </w:pPr>
          </w:p>
        </w:tc>
        <w:tc>
          <w:tcPr>
            <w:tcW w:w="586" w:type="pct"/>
            <w:vAlign w:val="center"/>
          </w:tcPr>
          <w:p w14:paraId="147F769C" w14:textId="77777777" w:rsidR="00111E4D" w:rsidRPr="0084683A" w:rsidRDefault="00111E4D" w:rsidP="00111E4D">
            <w:pPr>
              <w:pStyle w:val="NoSpacing"/>
            </w:pPr>
            <w:r w:rsidRPr="0084683A">
              <w:t>-</w:t>
            </w:r>
          </w:p>
        </w:tc>
        <w:tc>
          <w:tcPr>
            <w:tcW w:w="583" w:type="pct"/>
          </w:tcPr>
          <w:p w14:paraId="78F5FB10" w14:textId="77777777" w:rsidR="00111E4D" w:rsidRPr="0084683A" w:rsidRDefault="00111E4D" w:rsidP="00111E4D">
            <w:pPr>
              <w:pStyle w:val="NoSpacing"/>
            </w:pPr>
            <w:r w:rsidRPr="0084683A">
              <w:t>.639**</w:t>
            </w:r>
          </w:p>
        </w:tc>
      </w:tr>
      <w:tr w:rsidR="00111E4D" w:rsidRPr="0084683A" w14:paraId="3659DABB" w14:textId="77777777" w:rsidTr="00111E4D">
        <w:tc>
          <w:tcPr>
            <w:tcW w:w="280" w:type="pct"/>
            <w:tcBorders>
              <w:bottom w:val="single" w:sz="4" w:space="0" w:color="auto"/>
            </w:tcBorders>
          </w:tcPr>
          <w:p w14:paraId="0DCAF3C7" w14:textId="77777777" w:rsidR="00111E4D" w:rsidRPr="0084683A" w:rsidRDefault="00111E4D" w:rsidP="00111E4D">
            <w:pPr>
              <w:pStyle w:val="NoSpacing"/>
            </w:pPr>
            <w:r w:rsidRPr="0084683A">
              <w:t>5</w:t>
            </w:r>
          </w:p>
        </w:tc>
        <w:tc>
          <w:tcPr>
            <w:tcW w:w="1998" w:type="pct"/>
            <w:tcBorders>
              <w:bottom w:val="single" w:sz="4" w:space="0" w:color="auto"/>
            </w:tcBorders>
            <w:shd w:val="clear" w:color="auto" w:fill="auto"/>
            <w:vAlign w:val="center"/>
          </w:tcPr>
          <w:p w14:paraId="3DF6CE58" w14:textId="77777777" w:rsidR="00111E4D" w:rsidRPr="0084683A" w:rsidRDefault="00111E4D" w:rsidP="00111E4D">
            <w:pPr>
              <w:pStyle w:val="NoSpacing"/>
            </w:pPr>
            <w:r w:rsidRPr="0084683A">
              <w:t>Work Alliance Inventory – Task</w:t>
            </w:r>
          </w:p>
        </w:tc>
        <w:tc>
          <w:tcPr>
            <w:tcW w:w="377" w:type="pct"/>
            <w:tcBorders>
              <w:bottom w:val="single" w:sz="4" w:space="0" w:color="auto"/>
            </w:tcBorders>
            <w:shd w:val="clear" w:color="auto" w:fill="auto"/>
            <w:vAlign w:val="center"/>
          </w:tcPr>
          <w:p w14:paraId="4056D086" w14:textId="77777777" w:rsidR="00111E4D" w:rsidRPr="0084683A" w:rsidRDefault="00111E4D" w:rsidP="00111E4D">
            <w:pPr>
              <w:pStyle w:val="NoSpacing"/>
            </w:pPr>
          </w:p>
        </w:tc>
        <w:tc>
          <w:tcPr>
            <w:tcW w:w="588" w:type="pct"/>
            <w:tcBorders>
              <w:bottom w:val="single" w:sz="4" w:space="0" w:color="auto"/>
            </w:tcBorders>
            <w:shd w:val="clear" w:color="auto" w:fill="auto"/>
            <w:vAlign w:val="center"/>
          </w:tcPr>
          <w:p w14:paraId="5D8A7441" w14:textId="77777777" w:rsidR="00111E4D" w:rsidRPr="0084683A" w:rsidRDefault="00111E4D" w:rsidP="00111E4D">
            <w:pPr>
              <w:pStyle w:val="NoSpacing"/>
            </w:pPr>
          </w:p>
        </w:tc>
        <w:tc>
          <w:tcPr>
            <w:tcW w:w="588" w:type="pct"/>
            <w:tcBorders>
              <w:bottom w:val="single" w:sz="4" w:space="0" w:color="auto"/>
            </w:tcBorders>
            <w:shd w:val="clear" w:color="auto" w:fill="auto"/>
            <w:vAlign w:val="center"/>
          </w:tcPr>
          <w:p w14:paraId="239AB7B5" w14:textId="77777777" w:rsidR="00111E4D" w:rsidRPr="0084683A" w:rsidRDefault="00111E4D" w:rsidP="00111E4D">
            <w:pPr>
              <w:pStyle w:val="NoSpacing"/>
            </w:pPr>
          </w:p>
        </w:tc>
        <w:tc>
          <w:tcPr>
            <w:tcW w:w="586" w:type="pct"/>
            <w:tcBorders>
              <w:bottom w:val="single" w:sz="4" w:space="0" w:color="auto"/>
            </w:tcBorders>
            <w:vAlign w:val="center"/>
          </w:tcPr>
          <w:p w14:paraId="01866948" w14:textId="77777777" w:rsidR="00111E4D" w:rsidRPr="0084683A" w:rsidRDefault="00111E4D" w:rsidP="00111E4D">
            <w:pPr>
              <w:pStyle w:val="NoSpacing"/>
            </w:pPr>
          </w:p>
        </w:tc>
        <w:tc>
          <w:tcPr>
            <w:tcW w:w="583" w:type="pct"/>
            <w:tcBorders>
              <w:bottom w:val="single" w:sz="4" w:space="0" w:color="auto"/>
            </w:tcBorders>
          </w:tcPr>
          <w:p w14:paraId="1C81B06C" w14:textId="77777777" w:rsidR="00111E4D" w:rsidRPr="0084683A" w:rsidRDefault="00111E4D" w:rsidP="00111E4D">
            <w:pPr>
              <w:pStyle w:val="NoSpacing"/>
            </w:pPr>
            <w:r w:rsidRPr="0084683A">
              <w:t>-</w:t>
            </w:r>
          </w:p>
        </w:tc>
      </w:tr>
      <w:tr w:rsidR="00111E4D" w:rsidRPr="0084683A" w14:paraId="46ADFD01" w14:textId="77777777" w:rsidTr="00111E4D">
        <w:trPr>
          <w:trHeight w:val="293"/>
        </w:trPr>
        <w:tc>
          <w:tcPr>
            <w:tcW w:w="4417" w:type="pct"/>
            <w:gridSpan w:val="6"/>
            <w:tcBorders>
              <w:top w:val="single" w:sz="4" w:space="0" w:color="auto"/>
            </w:tcBorders>
          </w:tcPr>
          <w:p w14:paraId="3028FF74" w14:textId="77777777" w:rsidR="00111E4D" w:rsidRPr="0084683A" w:rsidRDefault="00111E4D" w:rsidP="00111E4D">
            <w:pPr>
              <w:pStyle w:val="NoSpacing"/>
            </w:pPr>
            <w:r w:rsidRPr="0084683A">
              <w:t>*</w:t>
            </w:r>
            <w:r w:rsidRPr="00567E8C">
              <w:rPr>
                <w:noProof/>
              </w:rPr>
              <w:t>Correlation is significant at the 0.05 level</w:t>
            </w:r>
            <w:r w:rsidRPr="0084683A">
              <w:t xml:space="preserve"> (two-tailed).</w:t>
            </w:r>
            <w:r w:rsidRPr="0084683A">
              <w:br/>
              <w:t>**</w:t>
            </w:r>
            <w:r w:rsidRPr="00567E8C">
              <w:rPr>
                <w:noProof/>
              </w:rPr>
              <w:t>Correlation is significant at the 0.01 level</w:t>
            </w:r>
            <w:r w:rsidRPr="0084683A">
              <w:t xml:space="preserve"> (two-tailed).</w:t>
            </w:r>
          </w:p>
        </w:tc>
        <w:tc>
          <w:tcPr>
            <w:tcW w:w="583" w:type="pct"/>
            <w:tcBorders>
              <w:top w:val="single" w:sz="4" w:space="0" w:color="auto"/>
            </w:tcBorders>
          </w:tcPr>
          <w:p w14:paraId="2FDCDA43" w14:textId="77777777" w:rsidR="00111E4D" w:rsidRPr="0084683A" w:rsidRDefault="00111E4D" w:rsidP="00111E4D">
            <w:pPr>
              <w:pStyle w:val="NoSpacing"/>
            </w:pPr>
          </w:p>
        </w:tc>
      </w:tr>
    </w:tbl>
    <w:p w14:paraId="1BCFDFD7" w14:textId="294E8A73" w:rsidR="00111E4D" w:rsidRPr="00624000" w:rsidRDefault="008F5CAB" w:rsidP="00111E4D">
      <w:pPr>
        <w:pStyle w:val="Heading3"/>
      </w:pPr>
      <w:bookmarkStart w:id="558" w:name="_Toc3538180"/>
      <w:bookmarkEnd w:id="552"/>
      <w:r w:rsidRPr="008F5CAB">
        <w:t>Does System Usability Account for Differences in a Participants' Perceived Treatment Credibility of a Conversational Agent for Problem-Solving?</w:t>
      </w:r>
      <w:bookmarkEnd w:id="558"/>
    </w:p>
    <w:p w14:paraId="10CAF1BB" w14:textId="598FCC53" w:rsidR="00111E4D" w:rsidRDefault="00111E4D" w:rsidP="00111E4D">
      <w:r w:rsidRPr="00EB616A">
        <w:t xml:space="preserve">A Spearman's rank-order correlation </w:t>
      </w:r>
      <w:r w:rsidRPr="00444DD2">
        <w:t xml:space="preserve">was run to assess the relationship between post-intervention </w:t>
      </w:r>
      <w:r>
        <w:t>system usability</w:t>
      </w:r>
      <w:r w:rsidRPr="00444DD2">
        <w:t xml:space="preserve"> (SUS Score) and </w:t>
      </w:r>
      <w:r>
        <w:t>treatment credibility score (CS)</w:t>
      </w:r>
      <w:r w:rsidRPr="00444DD2">
        <w:t>.</w:t>
      </w:r>
      <w:r>
        <w:t xml:space="preserve">  64</w:t>
      </w:r>
      <w:r w:rsidRPr="00EB616A">
        <w:t xml:space="preserve"> participants were </w:t>
      </w:r>
      <w:r w:rsidR="00DD4864">
        <w:t>included</w:t>
      </w:r>
      <w:r w:rsidR="00554CB4">
        <w:t xml:space="preserve">.  </w:t>
      </w:r>
      <w:r w:rsidRPr="00EB616A">
        <w:t>Preliminary analysis showed the relationship to be monotonic, as assessed by visual inspection of a scatterplot</w:t>
      </w:r>
      <w:r w:rsidR="00554CB4">
        <w:t xml:space="preserve">.  </w:t>
      </w:r>
      <w:r w:rsidRPr="00567E8C">
        <w:rPr>
          <w:noProof/>
        </w:rPr>
        <w:t xml:space="preserve">There was a statistically significant, </w:t>
      </w:r>
      <w:r>
        <w:rPr>
          <w:noProof/>
        </w:rPr>
        <w:t>large</w:t>
      </w:r>
      <w:r w:rsidRPr="00567E8C">
        <w:rPr>
          <w:noProof/>
        </w:rPr>
        <w:t xml:space="preserve"> positive correlation between</w:t>
      </w:r>
      <w:r w:rsidRPr="00EB616A">
        <w:t xml:space="preserve"> </w:t>
      </w:r>
      <w:r>
        <w:t>system usability</w:t>
      </w:r>
      <w:r w:rsidRPr="00EB616A">
        <w:t xml:space="preserve"> </w:t>
      </w:r>
      <w:r>
        <w:t xml:space="preserve">score </w:t>
      </w:r>
      <w:r w:rsidRPr="00EB616A">
        <w:t xml:space="preserve">and </w:t>
      </w:r>
      <w:r>
        <w:t>treatment credibility score</w:t>
      </w:r>
      <w:r w:rsidRPr="00EB616A">
        <w:t>, </w:t>
      </w:r>
      <w:proofErr w:type="gramStart"/>
      <w:r w:rsidR="00DD4864" w:rsidRPr="00D14936">
        <w:rPr>
          <w:i/>
        </w:rPr>
        <w:t>r</w:t>
      </w:r>
      <w:r w:rsidR="00DD4864" w:rsidRPr="000A7423">
        <w:rPr>
          <w:i/>
        </w:rPr>
        <w:t>(</w:t>
      </w:r>
      <w:proofErr w:type="gramEnd"/>
      <w:r w:rsidR="00DD4864" w:rsidRPr="000A7423">
        <w:rPr>
          <w:i/>
        </w:rPr>
        <w:t>61)</w:t>
      </w:r>
      <w:r w:rsidRPr="00EB616A">
        <w:t xml:space="preserve"> = .</w:t>
      </w:r>
      <w:r>
        <w:t>563</w:t>
      </w:r>
      <w:r w:rsidRPr="00EB616A">
        <w:t>,</w:t>
      </w:r>
      <w:r w:rsidR="00620112" w:rsidRPr="00D14936">
        <w:rPr>
          <w:i/>
        </w:rPr>
        <w:t xml:space="preserve"> </w:t>
      </w:r>
      <w:r w:rsidRPr="00D14936">
        <w:rPr>
          <w:i/>
        </w:rPr>
        <w:t>p</w:t>
      </w:r>
      <w:r w:rsidRPr="00EB616A">
        <w:t> &lt; .</w:t>
      </w:r>
      <w:r>
        <w:t>001</w:t>
      </w:r>
      <w:r w:rsidRPr="00EB616A">
        <w:t>.</w:t>
      </w:r>
      <w:r>
        <w:t xml:space="preserve">  </w:t>
      </w:r>
      <w:r w:rsidRPr="003519D0">
        <w:t xml:space="preserve">The result suggests that participants who score </w:t>
      </w:r>
      <w:r>
        <w:t>system usability</w:t>
      </w:r>
      <w:r w:rsidRPr="003519D0">
        <w:t xml:space="preserve"> highly </w:t>
      </w:r>
      <w:r>
        <w:t xml:space="preserve">may also be those who attribute greater treatment credibility to conversational agents for </w:t>
      </w:r>
      <w:r w:rsidRPr="00B356A7">
        <w:rPr>
          <w:noProof/>
        </w:rPr>
        <w:t>problem</w:t>
      </w:r>
      <w:r>
        <w:rPr>
          <w:noProof/>
        </w:rPr>
        <w:t>-</w:t>
      </w:r>
      <w:r w:rsidRPr="00B356A7">
        <w:rPr>
          <w:noProof/>
        </w:rPr>
        <w:t>solving</w:t>
      </w:r>
      <w:r>
        <w:t>.</w:t>
      </w:r>
    </w:p>
    <w:p w14:paraId="54A8565E" w14:textId="285342E9" w:rsidR="00111E4D" w:rsidRDefault="00111E4D" w:rsidP="00111E4D">
      <w:pPr>
        <w:pStyle w:val="Caption"/>
        <w:keepNext/>
      </w:pPr>
      <w:bookmarkStart w:id="559" w:name="_Ref523840753"/>
      <w:bookmarkStart w:id="560" w:name="_Toc530684693"/>
      <w:proofErr w:type="gramStart"/>
      <w:r>
        <w:t xml:space="preserve">Figure </w:t>
      </w:r>
      <w:r w:rsidR="00371DCC">
        <w:fldChar w:fldCharType="begin"/>
      </w:r>
      <w:r w:rsidR="00371DCC">
        <w:instrText xml:space="preserve"> STYLEREF 1 \s </w:instrText>
      </w:r>
      <w:r w:rsidR="00371DCC">
        <w:fldChar w:fldCharType="separate"/>
      </w:r>
      <w:r w:rsidR="00574650">
        <w:rPr>
          <w:noProof/>
        </w:rPr>
        <w:t>6</w:t>
      </w:r>
      <w:r w:rsidR="00371DCC">
        <w:fldChar w:fldCharType="end"/>
      </w:r>
      <w:r w:rsidR="00371DCC">
        <w:t>.</w:t>
      </w:r>
      <w:proofErr w:type="gramEnd"/>
      <w:r w:rsidR="00371DCC">
        <w:fldChar w:fldCharType="begin"/>
      </w:r>
      <w:r w:rsidR="00371DCC">
        <w:instrText xml:space="preserve"> SEQ Figure \* ARABIC \s 1 </w:instrText>
      </w:r>
      <w:r w:rsidR="00371DCC">
        <w:fldChar w:fldCharType="separate"/>
      </w:r>
      <w:r w:rsidR="00574650">
        <w:rPr>
          <w:noProof/>
        </w:rPr>
        <w:t>25</w:t>
      </w:r>
      <w:r w:rsidR="00371DCC">
        <w:fldChar w:fldCharType="end"/>
      </w:r>
      <w:bookmarkEnd w:id="559"/>
      <w:r>
        <w:t xml:space="preserve"> System usability (post) and </w:t>
      </w:r>
      <w:r>
        <w:rPr>
          <w:shd w:val="clear" w:color="auto" w:fill="FFFFFF"/>
        </w:rPr>
        <w:t xml:space="preserve">treatment </w:t>
      </w:r>
      <w:r>
        <w:t xml:space="preserve">credibility </w:t>
      </w:r>
      <w:r w:rsidRPr="008219B1">
        <w:t>(post) scatterplot</w:t>
      </w:r>
      <w:bookmarkEnd w:id="560"/>
    </w:p>
    <w:p w14:paraId="59064045" w14:textId="77777777" w:rsidR="00111E4D" w:rsidRDefault="00111E4D" w:rsidP="00111E4D">
      <w:pPr>
        <w:autoSpaceDE w:val="0"/>
        <w:autoSpaceDN w:val="0"/>
        <w:adjustRightInd w:val="0"/>
        <w:spacing w:after="0" w:line="240" w:lineRule="auto"/>
        <w:rPr>
          <w:rFonts w:ascii="Times New Roman" w:eastAsiaTheme="minorHAnsi" w:hAnsi="Times New Roman" w:cs="Times New Roman"/>
          <w:sz w:val="24"/>
          <w:szCs w:val="24"/>
        </w:rPr>
      </w:pPr>
      <w:r w:rsidRPr="00ED5330">
        <w:rPr>
          <w:rFonts w:ascii="Times New Roman" w:eastAsiaTheme="minorHAnsi" w:hAnsi="Times New Roman" w:cs="Times New Roman"/>
          <w:noProof/>
          <w:sz w:val="24"/>
          <w:szCs w:val="24"/>
          <w:lang w:eastAsia="en-GB"/>
        </w:rPr>
        <w:drawing>
          <wp:inline distT="0" distB="0" distL="0" distR="0" wp14:anchorId="0227DBF0" wp14:editId="4E2D35D7">
            <wp:extent cx="3060000" cy="2406368"/>
            <wp:effectExtent l="0" t="0" r="762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60000" cy="2406368"/>
                    </a:xfrm>
                    <a:prstGeom prst="rect">
                      <a:avLst/>
                    </a:prstGeom>
                  </pic:spPr>
                </pic:pic>
              </a:graphicData>
            </a:graphic>
          </wp:inline>
        </w:drawing>
      </w:r>
    </w:p>
    <w:p w14:paraId="5FDC7506" w14:textId="77777777" w:rsidR="00111E4D" w:rsidRDefault="00111E4D" w:rsidP="00111E4D">
      <w:pPr>
        <w:spacing w:line="259" w:lineRule="auto"/>
      </w:pPr>
      <w:r>
        <w:br w:type="page"/>
      </w:r>
    </w:p>
    <w:p w14:paraId="27825ED8" w14:textId="77777777" w:rsidR="00111E4D" w:rsidRDefault="00111E4D" w:rsidP="00111E4D">
      <w:pPr>
        <w:pStyle w:val="Heading2"/>
      </w:pPr>
      <w:bookmarkStart w:id="561" w:name="_Toc530598225"/>
      <w:bookmarkStart w:id="562" w:name="_Toc530660578"/>
      <w:bookmarkStart w:id="563" w:name="_Toc3538181"/>
      <w:r>
        <w:lastRenderedPageBreak/>
        <w:t>Discussion</w:t>
      </w:r>
      <w:bookmarkEnd w:id="561"/>
      <w:bookmarkEnd w:id="562"/>
      <w:bookmarkEnd w:id="563"/>
    </w:p>
    <w:p w14:paraId="4F7D3B04" w14:textId="248F71D3" w:rsidR="00111E4D" w:rsidRDefault="00111E4D" w:rsidP="00111E4D">
      <w:r>
        <w:t>The present study had three aims</w:t>
      </w:r>
      <w:r w:rsidR="00554CB4">
        <w:t xml:space="preserve">.  </w:t>
      </w:r>
      <w:r>
        <w:t>Firstly, to investigate whether enhanced interface features improve the effectiveness, acceptability and usability of a computer-based problem-solving program with an older adult sample.  Secondly, the study aimed to investigate whether giving introductory information regarding MYLO’s therapeutic methodology affects older adults’ initial</w:t>
      </w:r>
      <w:r w:rsidDel="001B5599">
        <w:t xml:space="preserve"> </w:t>
      </w:r>
      <w:r>
        <w:t>treatment expectancy and credibility.  Thirdly</w:t>
      </w:r>
      <w:r w:rsidRPr="00C040D7">
        <w:t xml:space="preserve">, </w:t>
      </w:r>
      <w:r>
        <w:t xml:space="preserve">the study investigated whether </w:t>
      </w:r>
      <w:r w:rsidRPr="001C1ADF">
        <w:t xml:space="preserve">system usability </w:t>
      </w:r>
      <w:r>
        <w:t xml:space="preserve">affects the </w:t>
      </w:r>
      <w:r w:rsidRPr="001C1ADF">
        <w:t>working alliance</w:t>
      </w:r>
      <w:r>
        <w:t xml:space="preserve"> and </w:t>
      </w:r>
      <w:r>
        <w:rPr>
          <w:shd w:val="clear" w:color="auto" w:fill="FFFFFF"/>
        </w:rPr>
        <w:t xml:space="preserve">treatment </w:t>
      </w:r>
      <w:r>
        <w:t xml:space="preserve">credibility of a conversational agent for </w:t>
      </w:r>
      <w:r w:rsidRPr="008252AB">
        <w:rPr>
          <w:noProof/>
        </w:rPr>
        <w:t>problem</w:t>
      </w:r>
      <w:r>
        <w:rPr>
          <w:noProof/>
        </w:rPr>
        <w:t>-</w:t>
      </w:r>
      <w:r w:rsidRPr="008252AB">
        <w:rPr>
          <w:noProof/>
        </w:rPr>
        <w:t>solving</w:t>
      </w:r>
      <w:r>
        <w:t>.</w:t>
      </w:r>
    </w:p>
    <w:p w14:paraId="124DEB49" w14:textId="2904C8DD" w:rsidR="00111E4D" w:rsidRDefault="00111E4D" w:rsidP="00111E4D">
      <w:r>
        <w:t xml:space="preserve">It was </w:t>
      </w:r>
      <w:r w:rsidRPr="008252AB">
        <w:rPr>
          <w:noProof/>
        </w:rPr>
        <w:t>hypothesised</w:t>
      </w:r>
      <w:r>
        <w:t xml:space="preserve"> that enhanced interface features would make MYLO a more effective conversational agent for </w:t>
      </w:r>
      <w:r w:rsidRPr="008252AB">
        <w:rPr>
          <w:noProof/>
        </w:rPr>
        <w:t>problem</w:t>
      </w:r>
      <w:r>
        <w:rPr>
          <w:noProof/>
        </w:rPr>
        <w:t>-</w:t>
      </w:r>
      <w:r w:rsidRPr="008252AB">
        <w:rPr>
          <w:noProof/>
        </w:rPr>
        <w:t>solving</w:t>
      </w:r>
      <w:r>
        <w:t>.  Irrespective of which version was used, all groups had significant reductions in distress</w:t>
      </w:r>
      <w:r w:rsidRPr="00DA6CD9">
        <w:t xml:space="preserve"> </w:t>
      </w:r>
      <w:r>
        <w:t>from baseline to follow-up</w:t>
      </w:r>
      <w:r w:rsidR="00554CB4">
        <w:t xml:space="preserve">.  </w:t>
      </w:r>
      <w:r>
        <w:t xml:space="preserve">When comparing groups at each time point, no significant differences were found suggesting that all programs were </w:t>
      </w:r>
      <w:r>
        <w:rPr>
          <w:noProof/>
        </w:rPr>
        <w:t>effective</w:t>
      </w:r>
      <w:r>
        <w:t xml:space="preserve"> as an aid to lowering problem related distress.  However, only M+G and M+G+S groups showed a significant change in depression from baseline and follow-up.  When comparing groups at each time point for depression, no significant differences were found.  This may suggest that the enhancements may have helped participants understand the underlying MOL therapy and as a result had some effect on lowering depression levels over time.  In </w:t>
      </w:r>
      <w:r w:rsidRPr="008F70E4">
        <w:rPr>
          <w:noProof/>
        </w:rPr>
        <w:t>contrast</w:t>
      </w:r>
      <w:r>
        <w:rPr>
          <w:noProof/>
        </w:rPr>
        <w:t>,</w:t>
      </w:r>
      <w:r>
        <w:t xml:space="preserve"> there were no differences in changes in anxiety between participants in all three conditions suggesting that the enhanced versions of MYLO were no more </w:t>
      </w:r>
      <w:r w:rsidR="00685031">
        <w:t>effective</w:t>
      </w:r>
      <w:r>
        <w:t xml:space="preserve"> to older adults than the standard version of MYLO when dealing with anxiety.  Overall these findings may indicate that the addition of speech and a guide to therapy may have helped to improve MYLO’s ability to reduce depression over time.  The reason for this may be due to the shift in issue focus.  The M group was shown to have more issues with UI and therapy than the M+G and M+G+S groups.</w:t>
      </w:r>
      <w:r w:rsidR="00554CB4">
        <w:t xml:space="preserve">  </w:t>
      </w:r>
      <w:r>
        <w:t>The enhanced UI and inclusion of a guide may have enabled participants to become more informed regarding what to expect from MYLO and as a result their perceptions of MYLOs issues may have changed and become more focused upon issues directly related to the AI rather than expectations of the therapy.</w:t>
      </w:r>
      <w:r w:rsidR="00554CB4">
        <w:t xml:space="preserve">  </w:t>
      </w:r>
      <w:r>
        <w:t xml:space="preserve">This is reflective of </w:t>
      </w:r>
      <w:r w:rsidRPr="00527DF9">
        <w:rPr>
          <w:noProof/>
        </w:rPr>
        <w:t>Cavanagh</w:t>
      </w:r>
      <w:r w:rsidRPr="00527DF9">
        <w:t xml:space="preserve"> </w:t>
      </w:r>
      <w:r w:rsidRPr="00527DF9">
        <w:fldChar w:fldCharType="begin" w:fldLock="1"/>
      </w:r>
      <w:r w:rsidR="003E44DA">
        <w:instrText>ADDIN CSL_CITATION {"citationItems":[{"id":"ITEM-1","itemData":{"DOI":"http://dx.doi.org/10.1093/med:psych/9780199590117.003.0021","ISBN":"978-0-19-959011-7 (Paperback)","ISSN":"978-0-19-959011-7 (Paperback)","abstract":"Internet interventions can offer significant benefits for the prevention and treatment of common mental health problems including anxiety and depression. Some internet interventions attract many users, but evidence to date suggests that a significant number of people maybe unwilling to engage with internet interventions or having started, use them only very briefly. Identifying and overcoming the barriers to engagement and helping people to stick with internet interventions for long enough to achieve a sustainable benefit may be a key role for low intensity (LI) practitioners. This chapter explores the challenges of engagement, adherence, and attrition in relation to internet interventions and outlines some possible solutions to these challenges, including the potential importance of the therapeutic alliance triad between the patient, internet intervention, and LI practitioner. It draws on the evidence base for internet interventions; extrapolates from research on standalone computerized cognitive behavioural therapy (cCBT) programs and other self-help services; and looks at the implications for LI practitioners supporting clients to use internet interventions. (PsycINFO Database Record (c) 2016 APA, all rights reserved)","author":[{"dropping-particle":"","family":"Cavanagh","given":"Kate","non-dropping-particle":"","parse-names":false,"suffix":""}],"container-title":"Oxford guide to low intensity CBT interventions","id":"ITEM-1","issued":{"date-parts":[["2010","1"]]},"number-of-pages":"227-233","publisher":"Oxford University Press","title":"Turn on, tune in and (don't) drop out - engagement, adherence, attrition, and alliance with internet-based interventions","type":"book","volume":"1"},"uris":["http://www.mendeley.com/documents/?uuid=b91753fc-9e22-35b3-88b9-25e307f39577"]}],"mendeley":{"formattedCitation":"(Cavanagh, 2010)","manualFormatting":"(2015)","plainTextFormattedCitation":"(Cavanagh, 2010)","previouslyFormattedCitation":"(Cavanagh, 2010)"},"properties":{"noteIndex":0},"schema":"https://github.com/citation-style-language/schema/raw/master/csl-citation.json"}</w:instrText>
      </w:r>
      <w:r w:rsidRPr="00527DF9">
        <w:fldChar w:fldCharType="separate"/>
      </w:r>
      <w:r w:rsidRPr="00527DF9">
        <w:rPr>
          <w:noProof/>
        </w:rPr>
        <w:t>(2015)</w:t>
      </w:r>
      <w:r w:rsidRPr="00527DF9">
        <w:fldChar w:fldCharType="end"/>
      </w:r>
      <w:r>
        <w:t xml:space="preserve"> in which it is </w:t>
      </w:r>
      <w:r w:rsidRPr="00527DF9">
        <w:t xml:space="preserve">suggested </w:t>
      </w:r>
      <w:r>
        <w:t xml:space="preserve">that guides may </w:t>
      </w:r>
      <w:r w:rsidRPr="00527DF9">
        <w:t>increas</w:t>
      </w:r>
      <w:r>
        <w:t>e</w:t>
      </w:r>
      <w:r w:rsidRPr="00527DF9">
        <w:t xml:space="preserve"> treatment expectations </w:t>
      </w:r>
      <w:r>
        <w:t>and</w:t>
      </w:r>
      <w:r w:rsidRPr="00527DF9">
        <w:t xml:space="preserve"> help users to engage with treatment</w:t>
      </w:r>
      <w:r>
        <w:t>.</w:t>
      </w:r>
    </w:p>
    <w:p w14:paraId="52481966" w14:textId="2251764B" w:rsidR="00111E4D" w:rsidRDefault="00111E4D" w:rsidP="00111E4D">
      <w:r>
        <w:t xml:space="preserve">It was also </w:t>
      </w:r>
      <w:r w:rsidRPr="008252AB">
        <w:rPr>
          <w:noProof/>
        </w:rPr>
        <w:t>hypothesised</w:t>
      </w:r>
      <w:r>
        <w:t xml:space="preserve"> that enhanced interface features would make MYLO a more acceptable conversational agent for </w:t>
      </w:r>
      <w:r w:rsidRPr="008252AB">
        <w:rPr>
          <w:noProof/>
        </w:rPr>
        <w:t>problem</w:t>
      </w:r>
      <w:r>
        <w:rPr>
          <w:noProof/>
        </w:rPr>
        <w:t>-</w:t>
      </w:r>
      <w:r w:rsidRPr="008252AB">
        <w:rPr>
          <w:noProof/>
        </w:rPr>
        <w:t>solving</w:t>
      </w:r>
      <w:r>
        <w:t xml:space="preserve"> with older adults.  Only M group showed a significant change in rating of resolution from baseline and follow-up.  None of the groups showed a statistically significant change in problem resolution between post-intervention and follow-up.  It is hard to determine what this result is showing particularly when contrasted with the significant decreases in depression found only in the M+G and M+G+S groups.  It may be that a more robust scale that is not based on a single Likert is needed in order to measure resolution more accurately.  Net promoter score (NPS) was shown to be non-significantly different between </w:t>
      </w:r>
      <w:r w:rsidRPr="000C7BBE">
        <w:rPr>
          <w:noProof/>
        </w:rPr>
        <w:t>group</w:t>
      </w:r>
      <w:r>
        <w:rPr>
          <w:noProof/>
        </w:rPr>
        <w:t>s</w:t>
      </w:r>
      <w:r>
        <w:t>.</w:t>
      </w:r>
      <w:r w:rsidR="00554CB4">
        <w:t xml:space="preserve">  </w:t>
      </w:r>
      <w:r>
        <w:t>The enhanced interface features such as speech may have had a reverse effect on MYLO highlighting the flaws in its AI when generating responses.</w:t>
      </w:r>
    </w:p>
    <w:p w14:paraId="33033BA4" w14:textId="47952995" w:rsidR="00111E4D" w:rsidRDefault="00111E4D" w:rsidP="00111E4D">
      <w:r>
        <w:t xml:space="preserve">It was </w:t>
      </w:r>
      <w:r w:rsidRPr="008252AB">
        <w:rPr>
          <w:noProof/>
        </w:rPr>
        <w:t>hypothesised</w:t>
      </w:r>
      <w:r>
        <w:t xml:space="preserve"> that enhanced interface features would result in MYLO having higher system usability; again, this was found not to be significant between groups.  There were marginal differences in system </w:t>
      </w:r>
      <w:r>
        <w:lastRenderedPageBreak/>
        <w:t xml:space="preserve">usability but nothing to indicate that interface enhancements had any significant effect.  Overall there were no significant group effects found in relation to measures of effectiveness, acceptability and usability.  An explanation for this finding may stem from MYLO’s UI not being the root cause of the issues older adults experienced with MYLO.  Categorised feedback of recommended improvements from participants in each MYLO group showed AI improvements across groups to be the most highlighted area of improvement when compared to UI (see </w:t>
      </w:r>
      <w:r>
        <w:rPr>
          <w:b/>
        </w:rPr>
        <w:fldChar w:fldCharType="begin"/>
      </w:r>
      <w:r>
        <w:instrText xml:space="preserve"> REF _Ref523777859 \h </w:instrText>
      </w:r>
      <w:r>
        <w:rPr>
          <w:b/>
        </w:rPr>
      </w:r>
      <w:r>
        <w:rPr>
          <w:b/>
        </w:rPr>
        <w:fldChar w:fldCharType="separate"/>
      </w:r>
      <w:r w:rsidR="00574650">
        <w:t xml:space="preserve">Table </w:t>
      </w:r>
      <w:r w:rsidR="00574650">
        <w:rPr>
          <w:noProof/>
        </w:rPr>
        <w:t>6</w:t>
      </w:r>
      <w:r w:rsidR="00574650">
        <w:t>.</w:t>
      </w:r>
      <w:r w:rsidR="00574650">
        <w:rPr>
          <w:noProof/>
        </w:rPr>
        <w:t>4</w:t>
      </w:r>
      <w:r>
        <w:rPr>
          <w:b/>
        </w:rPr>
        <w:fldChar w:fldCharType="end"/>
      </w:r>
      <w:r>
        <w:t xml:space="preserve">).  These percentages indicated the issues older adults faced when using MYLO </w:t>
      </w:r>
      <w:r w:rsidRPr="00AC3A07">
        <w:rPr>
          <w:noProof/>
        </w:rPr>
        <w:t>m</w:t>
      </w:r>
      <w:r>
        <w:rPr>
          <w:noProof/>
        </w:rPr>
        <w:t>ight</w:t>
      </w:r>
      <w:r>
        <w:t xml:space="preserve"> predominantly be due to MYLO’s AI and not UI.  Future MYLO enhancements should f</w:t>
      </w:r>
      <w:r w:rsidRPr="000C7BBE">
        <w:rPr>
          <w:noProof/>
        </w:rPr>
        <w:t>ocus</w:t>
      </w:r>
      <w:r>
        <w:t xml:space="preserve"> on improving MYLO’s AI so that it is capable of generating responses appropriate to a user’s input.</w:t>
      </w:r>
    </w:p>
    <w:p w14:paraId="1E13D766" w14:textId="55886611" w:rsidR="00111E4D" w:rsidRDefault="00111E4D" w:rsidP="00111E4D">
      <w:r>
        <w:t xml:space="preserve">It was </w:t>
      </w:r>
      <w:r w:rsidRPr="008252AB">
        <w:rPr>
          <w:noProof/>
        </w:rPr>
        <w:t>hypothesised</w:t>
      </w:r>
      <w:r>
        <w:t xml:space="preserve"> that adding </w:t>
      </w:r>
      <w:r w:rsidRPr="00AC3A07">
        <w:rPr>
          <w:noProof/>
        </w:rPr>
        <w:t>introductory</w:t>
      </w:r>
      <w:r>
        <w:t xml:space="preserve"> guidance regarding MYLO and what it can and cannot do would increase MYLO’s treatment expectancy and credibility.  </w:t>
      </w:r>
      <w:r w:rsidRPr="00BC2532">
        <w:rPr>
          <w:noProof/>
        </w:rPr>
        <w:t xml:space="preserve">Ritterband </w:t>
      </w:r>
      <w:r w:rsidRPr="00BC2532">
        <w:rPr>
          <w:i/>
          <w:noProof/>
        </w:rPr>
        <w:t>et al</w:t>
      </w:r>
      <w:r w:rsidR="00554CB4">
        <w:rPr>
          <w:i/>
          <w:noProof/>
        </w:rPr>
        <w:t xml:space="preserve">. </w:t>
      </w:r>
      <w:r>
        <w:fldChar w:fldCharType="begin" w:fldLock="1"/>
      </w:r>
      <w:r>
        <w:instrText>ADDIN CSL_CITATION {"citationItems":[{"id":"ITEM-1","itemData":{"DOI":"10.1093/med:psych/9780199590117.003.0022","author":[{"dropping-particle":"","family":"Ritterband","given":"Lee","non-dropping-particle":"","parse-names":false,"suffix":""},{"dropping-particle":"","family":"Thorndike","given":"Frances","non-dropping-particle":"","parse-names":false,"suffix":""},{"dropping-particle":"","family":"Vasquez","given":"Desi","non-dropping-particle":"","parse-names":false,"suffix":""},{"dropping-particle":"","family":"Saylor","given":"Drew","non-dropping-particle":"","parse-names":false,"suffix":""}],"id":"ITEM-1","issued":{"date-parts":[["2015","1"]]},"publisher":"Oxford University Press","title":"Treatment credibility and satisfaction with internet interventions","type":"book","volume":"1"},"uris":["http://www.mendeley.com/documents/?uuid=b4ab6d6c-4c00-3390-bb56-d3bd38d00f4d"]}],"mendeley":{"formattedCitation":"(Ritterband &lt;i&gt;et al.&lt;/i&gt;, 2015)","manualFormatting":"(2015)","plainTextFormattedCitation":"(Ritterband et al., 2015)","previouslyFormattedCitation":"(Ritterband &lt;i&gt;et al.&lt;/i&gt;, 2015)"},"properties":{"noteIndex":0},"schema":"https://github.com/citation-style-language/schema/raw/master/csl-citation.json"}</w:instrText>
      </w:r>
      <w:r>
        <w:fldChar w:fldCharType="separate"/>
      </w:r>
      <w:r w:rsidRPr="00BC2532">
        <w:rPr>
          <w:noProof/>
        </w:rPr>
        <w:t>(2015)</w:t>
      </w:r>
      <w:r>
        <w:fldChar w:fldCharType="end"/>
      </w:r>
      <w:r>
        <w:t xml:space="preserve"> </w:t>
      </w:r>
      <w:r w:rsidRPr="000060D9">
        <w:rPr>
          <w:noProof/>
        </w:rPr>
        <w:t>ha</w:t>
      </w:r>
      <w:r>
        <w:rPr>
          <w:noProof/>
        </w:rPr>
        <w:t>ve</w:t>
      </w:r>
      <w:r>
        <w:t xml:space="preserve"> suggested that the look and feel of the e-therapy may play a </w:t>
      </w:r>
      <w:r>
        <w:rPr>
          <w:noProof/>
        </w:rPr>
        <w:t>significant</w:t>
      </w:r>
      <w:r>
        <w:t xml:space="preserve"> role in how patients rate its credibility.  </w:t>
      </w:r>
      <w:r w:rsidRPr="00567E8C">
        <w:rPr>
          <w:noProof/>
        </w:rPr>
        <w:t>No significant differences were found between groups regarding</w:t>
      </w:r>
      <w:r>
        <w:t xml:space="preserve"> pre-expectancy and credibility.  Giving users an idea of what to expect and different levels of interface features did not affect how participants felt about the potential of using MYLO at a surface level.  However, examination of the suggestions for improvement in the system feedback indicated that the standard MYLO group received more suggested improvements regarding the therapeutic content of MYLO.</w:t>
      </w:r>
    </w:p>
    <w:p w14:paraId="7A3B2F34" w14:textId="113F4749" w:rsidR="00111E4D" w:rsidRPr="00FB3DF7" w:rsidRDefault="00111E4D" w:rsidP="00111E4D">
      <w:r w:rsidRPr="00FB3DF7">
        <w:t xml:space="preserve">It was </w:t>
      </w:r>
      <w:r w:rsidRPr="00FB3DF7">
        <w:rPr>
          <w:noProof/>
        </w:rPr>
        <w:t>hypothesised</w:t>
      </w:r>
      <w:r w:rsidRPr="00FB3DF7">
        <w:t xml:space="preserve"> that older adults who rate a conversational agent with higher system usability would be associated with a stronger overall working alliance and task sub-score.  Findings indicated that system usability was significantly positively related to </w:t>
      </w:r>
      <w:r w:rsidRPr="00FB3DF7">
        <w:rPr>
          <w:noProof/>
        </w:rPr>
        <w:t>working</w:t>
      </w:r>
      <w:r w:rsidRPr="00FB3DF7">
        <w:t xml:space="preserve"> alliance and also its sub-scale task.  However, the causal direction of these relationships is unknown</w:t>
      </w:r>
      <w:r w:rsidR="00554CB4">
        <w:t xml:space="preserve">.  </w:t>
      </w:r>
      <w:proofErr w:type="spellStart"/>
      <w:r w:rsidRPr="00FB3DF7">
        <w:t>Widley</w:t>
      </w:r>
      <w:proofErr w:type="spellEnd"/>
      <w:r w:rsidRPr="00FB3DF7">
        <w:t xml:space="preserve"> used models of usability (ISO 2018) would suggest that usability feeds into user expectations and the user’s ‘relationship’ with a product, but it is also possible that this relationship is bidirectional</w:t>
      </w:r>
      <w:r w:rsidR="00554CB4">
        <w:t xml:space="preserve">.  </w:t>
      </w:r>
      <w:r w:rsidRPr="00FB3DF7">
        <w:t xml:space="preserve">Future research could examine e-therapies of low and high usability in order to draw inferences about the causal pathways at work between the variables.  If, however  system usability impacts a client’s </w:t>
      </w:r>
      <w:r w:rsidRPr="00FB3DF7">
        <w:rPr>
          <w:shd w:val="clear" w:color="auto" w:fill="FFFFFF"/>
        </w:rPr>
        <w:t xml:space="preserve">therapeutic alliance with a conversational agent for </w:t>
      </w:r>
      <w:r w:rsidRPr="00FB3DF7">
        <w:rPr>
          <w:noProof/>
          <w:shd w:val="clear" w:color="auto" w:fill="FFFFFF"/>
        </w:rPr>
        <w:t>problem-solving</w:t>
      </w:r>
      <w:r w:rsidRPr="00FB3DF7">
        <w:rPr>
          <w:shd w:val="clear" w:color="auto" w:fill="FFFFFF"/>
        </w:rPr>
        <w:t xml:space="preserve"> such as MYLO, this finding chimes  with the a</w:t>
      </w:r>
      <w:r w:rsidRPr="00FB3DF7">
        <w:t xml:space="preserve">pproximation that 10% to 15% of a (non-therapeutic) task's success or failure is loosely linked to system usability </w:t>
      </w:r>
      <w:r w:rsidRPr="00FB3DF7">
        <w:fldChar w:fldCharType="begin" w:fldLock="1"/>
      </w:r>
      <w:r w:rsidRPr="00FB3DF7">
        <w:instrText>ADDIN CSL_CITATION {"citationItems":[{"id":"ITEM-1","itemData":{"URL":"https://measuringu.com/task-comp-sus/","accessed":{"date-parts":[["2018","6","12"]]},"author":[{"dropping-particle":"","family":"Sauro","given":"Jeff","non-dropping-particle":"","parse-names":false,"suffix":""}],"container-title":"MeasuringU","id":"ITEM-1","issued":{"date-parts":[["2012"]]},"title":"Predicting Task Completion with the System Usability Scale","type":"webpage"},"uris":["http://www.mendeley.com/documents/?uuid=d372eb54-7644-3cf5-90ba-b60bb27dd0df"]}],"mendeley":{"formattedCitation":"(Sauro, 2012)","plainTextFormattedCitation":"(Sauro, 2012)","previouslyFormattedCitation":"(Sauro, 2012)"},"properties":{"noteIndex":0},"schema":"https://github.com/citation-style-language/schema/raw/master/csl-citation.json"}</w:instrText>
      </w:r>
      <w:r w:rsidRPr="00FB3DF7">
        <w:fldChar w:fldCharType="separate"/>
      </w:r>
      <w:r w:rsidRPr="00FB3DF7">
        <w:rPr>
          <w:noProof/>
        </w:rPr>
        <w:t>(Sauro, 2012)</w:t>
      </w:r>
      <w:r w:rsidRPr="00FB3DF7">
        <w:fldChar w:fldCharType="end"/>
      </w:r>
      <w:r w:rsidRPr="00FB3DF7">
        <w:t>.</w:t>
      </w:r>
    </w:p>
    <w:p w14:paraId="4B8EE536" w14:textId="28A0A897" w:rsidR="00111E4D" w:rsidRPr="00FB3DF7" w:rsidRDefault="00111E4D" w:rsidP="00111E4D">
      <w:pPr>
        <w:rPr>
          <w:shd w:val="clear" w:color="auto" w:fill="FFFFFF"/>
        </w:rPr>
      </w:pPr>
      <w:r w:rsidRPr="00FB3DF7">
        <w:rPr>
          <w:noProof/>
        </w:rPr>
        <w:t>Cavanagh</w:t>
      </w:r>
      <w:r w:rsidRPr="00FB3DF7">
        <w:t xml:space="preserve"> </w:t>
      </w:r>
      <w:r w:rsidRPr="00FB3DF7">
        <w:fldChar w:fldCharType="begin" w:fldLock="1"/>
      </w:r>
      <w:r w:rsidR="003E44DA">
        <w:instrText>ADDIN CSL_CITATION {"citationItems":[{"id":"ITEM-1","itemData":{"DOI":"http://dx.doi.org/10.1093/med:psych/9780199590117.003.0021","ISBN":"978-0-19-959011-7 (Paperback)","ISSN":"978-0-19-959011-7 (Paperback)","abstract":"Internet interventions can offer significant benefits for the prevention and treatment of common mental health problems including anxiety and depression. Some internet interventions attract many users, but evidence to date suggests that a significant number of people maybe unwilling to engage with internet interventions or having started, use them only very briefly. Identifying and overcoming the barriers to engagement and helping people to stick with internet interventions for long enough to achieve a sustainable benefit may be a key role for low intensity (LI) practitioners. This chapter explores the challenges of engagement, adherence, and attrition in relation to internet interventions and outlines some possible solutions to these challenges, including the potential importance of the therapeutic alliance triad between the patient, internet intervention, and LI practitioner. It draws on the evidence base for internet interventions; extrapolates from research on standalone computerized cognitive behavioural therapy (cCBT) programs and other self-help services; and looks at the implications for LI practitioners supporting clients to use internet interventions. (PsycINFO Database Record (c) 2016 APA, all rights reserved)","author":[{"dropping-particle":"","family":"Cavanagh","given":"Kate","non-dropping-particle":"","parse-names":false,"suffix":""}],"container-title":"Oxford guide to low intensity CBT interventions","id":"ITEM-1","issued":{"date-parts":[["2010","1"]]},"number-of-pages":"227-233","publisher":"Oxford University Press","title":"Turn on, tune in and (don't) drop out - engagement, adherence, attrition, and alliance with internet-based interventions","type":"book","volume":"1"},"uris":["http://www.mendeley.com/documents/?uuid=b91753fc-9e22-35b3-88b9-25e307f39577"]}],"mendeley":{"formattedCitation":"(Cavanagh, 2010)","manualFormatting":"(2015)","plainTextFormattedCitation":"(Cavanagh, 2010)","previouslyFormattedCitation":"(Cavanagh, 2010)"},"properties":{"noteIndex":0},"schema":"https://github.com/citation-style-language/schema/raw/master/csl-citation.json"}</w:instrText>
      </w:r>
      <w:r w:rsidRPr="00FB3DF7">
        <w:fldChar w:fldCharType="separate"/>
      </w:r>
      <w:r w:rsidRPr="00FB3DF7">
        <w:rPr>
          <w:noProof/>
        </w:rPr>
        <w:t>(2015)</w:t>
      </w:r>
      <w:r w:rsidRPr="00FB3DF7">
        <w:fldChar w:fldCharType="end"/>
      </w:r>
      <w:r w:rsidRPr="00FB3DF7">
        <w:t xml:space="preserve"> proposes the idea of </w:t>
      </w:r>
      <w:r w:rsidRPr="00FB3DF7">
        <w:rPr>
          <w:shd w:val="clear" w:color="auto" w:fill="FFFFFF"/>
        </w:rPr>
        <w:t>a triadic relationship between program user, e-therapy and human support.  This study has explored one side of the triadic relationship between program user and conversational agent (e-therapy) and how usability interacts with it.  Exploring the dynamic between a program user, conversational agent and supportive practitioner in relation to usability may be worthy of investigation.  There may be</w:t>
      </w:r>
      <w:r w:rsidRPr="00FB3DF7">
        <w:t xml:space="preserve"> two therapeutic alliances (a dual alliance) working in tandem within this context - an alliance with the e-therapy and an alliance with the human support, both of which could affect the overall therapeutic alliance, for good or for ill.</w:t>
      </w:r>
    </w:p>
    <w:p w14:paraId="43FC2441" w14:textId="0CB8DD6F" w:rsidR="00111E4D" w:rsidRDefault="00111E4D" w:rsidP="00111E4D">
      <w:r w:rsidRPr="00FB3DF7">
        <w:t xml:space="preserve">It was </w:t>
      </w:r>
      <w:r w:rsidRPr="00FB3DF7">
        <w:rPr>
          <w:noProof/>
        </w:rPr>
        <w:t>hypothesised</w:t>
      </w:r>
      <w:r w:rsidRPr="00FB3DF7">
        <w:t xml:space="preserve"> that older adults who perceived the conversational agent as having </w:t>
      </w:r>
      <w:r w:rsidRPr="00FB3DF7">
        <w:rPr>
          <w:noProof/>
        </w:rPr>
        <w:t>higher</w:t>
      </w:r>
      <w:r w:rsidRPr="00FB3DF7">
        <w:t xml:space="preserve"> usability would be those who also assigned it higher ratings of </w:t>
      </w:r>
      <w:r w:rsidRPr="00FB3DF7">
        <w:rPr>
          <w:shd w:val="clear" w:color="auto" w:fill="FFFFFF"/>
        </w:rPr>
        <w:t xml:space="preserve">treatment </w:t>
      </w:r>
      <w:r w:rsidRPr="00FB3DF7">
        <w:t xml:space="preserve">credibility.  Findings indicated that system usability was significantly positively related to </w:t>
      </w:r>
      <w:r w:rsidRPr="00FB3DF7">
        <w:rPr>
          <w:shd w:val="clear" w:color="auto" w:fill="FFFFFF"/>
        </w:rPr>
        <w:t xml:space="preserve">treatment </w:t>
      </w:r>
      <w:r w:rsidRPr="00FB3DF7">
        <w:t xml:space="preserve">credibility.  This may indicate that usability impacts a client’s </w:t>
      </w:r>
      <w:r w:rsidRPr="00FB3DF7">
        <w:rPr>
          <w:shd w:val="clear" w:color="auto" w:fill="FFFFFF"/>
        </w:rPr>
        <w:lastRenderedPageBreak/>
        <w:t>rating of treatment credibility</w:t>
      </w:r>
      <w:r w:rsidRPr="00FB3DF7">
        <w:rPr>
          <w:noProof/>
          <w:shd w:val="clear" w:color="auto" w:fill="FFFFFF"/>
        </w:rPr>
        <w:t xml:space="preserve"> for conversation agents</w:t>
      </w:r>
      <w:r w:rsidRPr="00FB3DF7">
        <w:rPr>
          <w:shd w:val="clear" w:color="auto" w:fill="FFFFFF"/>
        </w:rPr>
        <w:t xml:space="preserve"> for problem-solving or vice versa</w:t>
      </w:r>
      <w:r w:rsidR="00554CB4">
        <w:rPr>
          <w:shd w:val="clear" w:color="auto" w:fill="FFFFFF"/>
        </w:rPr>
        <w:t xml:space="preserve">.  </w:t>
      </w:r>
      <w:r w:rsidRPr="00FB3DF7">
        <w:t>Future research could examine the impact of low and high usability in an e-therapy on credibility specifically</w:t>
      </w:r>
      <w:r w:rsidR="00554CB4">
        <w:t xml:space="preserve">.  </w:t>
      </w:r>
      <w:r w:rsidRPr="00FB3DF7">
        <w:t>However, one way in which usability might exert an influence on credibility is via confidence</w:t>
      </w:r>
      <w:r w:rsidR="00554CB4">
        <w:t xml:space="preserve">.  </w:t>
      </w:r>
      <w:r w:rsidRPr="00FB3DF7">
        <w:t xml:space="preserve">The usability of an agent instils confidence within the person using it.  A number of studies have suggested that users find confidence in systems based on both their visual design and information structure </w:t>
      </w:r>
      <w:r w:rsidRPr="00FB3DF7">
        <w:fldChar w:fldCharType="begin" w:fldLock="1"/>
      </w:r>
      <w:r w:rsidR="000B6CC8">
        <w:instrText>ADDIN CSL_CITATION {"citationItems":[{"id":"ITEM-1","itemData":{"DOI":"10.5057/ijae.IJAE-D-15-00042","ISSN":"2187-5413","author":[{"dropping-particle":"","family":"Kim","given":"Kieun","non-dropping-particle":"","parse-names":false,"suffix":""}],"container-title":"International Journal of Affective Engineering","id":"ITEM-1","issue":"2","issued":{"date-parts":[["2016"]]},"page":"109-114","publisher":"Japan Society of Kansei Engineering","title":"The Relationship of UX and Perceptions of Credibility","type":"article-journal","volume":"15"},"uris":["http://www.mendeley.com/documents/?uuid=0e16eb92-6b71-33cc-bdf7-ac87e062e39f"]},{"id":"ITEM-2","itemData":{"DOI":"10.1002/asi.21224","ISSN":"15322882","author":[{"dropping-particle":"","family":"Robins","given":"David","non-dropping-particle":"","parse-names":false,"suffix":""},{"dropping-particle":"","family":"Holmes","given":"Jason","non-dropping-particle":"","parse-names":false,"suffix":""},{"dropping-particle":"","family":"Stansbury","given":"Mary","non-dropping-particle":"","parse-names":false,"suffix":""}],"container-title":"Journal of the American Society for Information Science and Technology","id":"ITEM-2","issue":"1","issued":{"date-parts":[["2010","1","1"]]},"page":"13-29","publisher":"Wiley-Blackwell","title":"Consumer health information on the Web: The relationship of visual design and perceptions of credibility","type":"article-journal","volume":"61"},"uris":["http://www.mendeley.com/documents/?uuid=222f8962-022a-377e-8f89-a6133e559a20"]}],"mendeley":{"formattedCitation":"(Robins, Holmes and Stansbury, 2010; Kim, 2016)","plainTextFormattedCitation":"(Robins, Holmes and Stansbury, 2010; Kim, 2016)","previouslyFormattedCitation":"(Robins, Holmes and Stansbury, 2010; Kim, 2016)"},"properties":{"noteIndex":0},"schema":"https://github.com/citation-style-language/schema/raw/master/csl-citation.json"}</w:instrText>
      </w:r>
      <w:r w:rsidRPr="00FB3DF7">
        <w:fldChar w:fldCharType="separate"/>
      </w:r>
      <w:r w:rsidRPr="00FB3DF7">
        <w:rPr>
          <w:noProof/>
        </w:rPr>
        <w:t>(Robins, Holmes and Stansbury, 2010; Kim, 2016)</w:t>
      </w:r>
      <w:r w:rsidRPr="00FB3DF7">
        <w:fldChar w:fldCharType="end"/>
      </w:r>
      <w:r w:rsidRPr="00FB3DF7">
        <w:t xml:space="preserve">.  So, when a user finds MYLO or one of its variants usable, they are likely to give the system more credibility.  Other studies have also found associations between usability and user loyalty and satisfaction </w:t>
      </w:r>
      <w:r w:rsidRPr="00FB3DF7">
        <w:fldChar w:fldCharType="begin" w:fldLock="1"/>
      </w:r>
      <w:r w:rsidRPr="00FB3DF7">
        <w:instrText>ADDIN CSL_CITATION {"citationItems":[{"id":"ITEM-1","itemData":{"DOI":"10.1016/j.midw.2009.05.005","ISBN":"ISSN-1556-3847","ISSN":"ISSN-1556-3847","abstract":"This session reports on research in the areas of aesthetics and design, usability, visual aesthetics in education as it relates to online education. The focus of the presentation is on defining the role of visual content and aesthetics in the user interface and exploring what importance aesthetics and visual content have to education. Research has demonstrated that aesthetics plays an important role in shaping user responses to products and websites. Users also portray on aesthetic factors to evaluate usability and credibility of the source. In an online course setting, it is important for educational institutions and faculty to consider the educational function of visual content and the aesthetic judgments that are being made by learners. Including visual content and applying aesthetic standards throughout online course development can ultimately improve not only the visual appearance of course content but can also improve how learners respond to and interact with those courses.","author":[{"dropping-particle":"","family":"David","given":"Alicia","non-dropping-particle":"","parse-names":false,"suffix":""},{"dropping-particle":"","family":"Glore","given":"Peyton","non-dropping-particle":"","parse-names":false,"suffix":""}],"container-title":"Online Journal of Distance Learning Administration","id":"ITEM-1","issue":"4","issued":{"date-parts":[["2013"]]},"page":"1-8","title":"The impact of design and aesthetics on usability, credibility, and learning in an online environment","type":"article-journal","volume":"13"},"uris":["http://www.mendeley.com/documents/?uuid=8d630707-d4bd-4c18-b562-57999df36bc4"]},{"id":"ITEM-2","itemData":{"DOI":"10.1016/J.IM.2005.01.002","ISSN":"0378-7206","abstract":"We performed a study to determine the influence that perceived usability has on the user's loyalty to websites that they visit. The results of the empirical analysis confirmed that the trust of the user increases when the user perceived that the system was usable and that there was a consequent increase in the degree of website loyalty. In the same way, greater usability was found to have a positive influence on user satisfaction, and this also generated greater website loyalty. Finally, it was found that user trust was partially dependent on the degree of consumer website satisfaction.","author":[{"dropping-particle":"","family":"Flavián","given":"Carlos","non-dropping-particle":"","parse-names":false,"suffix":""},{"dropping-particle":"","family":"Guinalíu","given":"Miguel","non-dropping-particle":"","parse-names":false,"suffix":""},{"dropping-particle":"","family":"Gurrea","given":"Raquel","non-dropping-particle":"","parse-names":false,"suffix":""}],"container-title":"Information &amp; Management","id":"ITEM-2","issue":"1","issued":{"date-parts":[["2006","1","1"]]},"page":"1-14","publisher":"North-Holland","title":"The role played by perceived usability, satisfaction and consumer trust on website loyalty","type":"article-journal","volume":"43"},"uris":["http://www.mendeley.com/documents/?uuid=7495bac4-28b8-3c42-9ae0-0ad0e62aa0fd"]}],"mendeley":{"formattedCitation":"(Flavián, Guinalíu and Gurrea, 2006; David and Glore, 2013)","plainTextFormattedCitation":"(Flavián, Guinalíu and Gurrea, 2006; David and Glore, 2013)","previouslyFormattedCitation":"(Flavián, Guinalíu and Gurrea, 2006; David and Glore, 2013)"},"properties":{"noteIndex":0},"schema":"https://github.com/citation-style-language/schema/raw/master/csl-citation.json"}</w:instrText>
      </w:r>
      <w:r w:rsidRPr="00FB3DF7">
        <w:fldChar w:fldCharType="separate"/>
      </w:r>
      <w:r w:rsidRPr="00FB3DF7">
        <w:rPr>
          <w:noProof/>
        </w:rPr>
        <w:t>(Flavián, Guinalíu and Gurrea, 2006; David and Glore, 2013)</w:t>
      </w:r>
      <w:r w:rsidRPr="00FB3DF7">
        <w:fldChar w:fldCharType="end"/>
      </w:r>
      <w:r w:rsidRPr="00FB3DF7">
        <w:t>.</w:t>
      </w:r>
    </w:p>
    <w:p w14:paraId="3B07B113" w14:textId="4D6964D6" w:rsidR="00111E4D" w:rsidRPr="00007572" w:rsidRDefault="00111E4D" w:rsidP="00111E4D">
      <w:pPr>
        <w:pStyle w:val="Heading3"/>
      </w:pPr>
      <w:bookmarkStart w:id="564" w:name="_Toc530598226"/>
      <w:bookmarkStart w:id="565" w:name="_Toc530660579"/>
      <w:bookmarkStart w:id="566" w:name="_Toc3538182"/>
      <w:r>
        <w:t xml:space="preserve">Strengths and </w:t>
      </w:r>
      <w:r w:rsidR="005E0265">
        <w:t>L</w:t>
      </w:r>
      <w:r>
        <w:t>imitations</w:t>
      </w:r>
      <w:bookmarkEnd w:id="564"/>
      <w:bookmarkEnd w:id="565"/>
      <w:bookmarkEnd w:id="566"/>
    </w:p>
    <w:p w14:paraId="3120E91D" w14:textId="3E637D21" w:rsidR="00111E4D" w:rsidRPr="00FB2879" w:rsidRDefault="00111E4D" w:rsidP="00111E4D">
      <w:r w:rsidRPr="00FB2879">
        <w:t xml:space="preserve">There has been little research examining the medium of </w:t>
      </w:r>
      <w:r w:rsidRPr="00FB2879">
        <w:rPr>
          <w:rFonts w:eastAsia="Arial" w:cs="Arial"/>
        </w:rPr>
        <w:t>conversation agents for problem solving with older adults</w:t>
      </w:r>
      <w:r w:rsidR="00554CB4">
        <w:t xml:space="preserve">.  </w:t>
      </w:r>
      <w:r w:rsidRPr="00FB2879">
        <w:t>This study aimed to address that gap</w:t>
      </w:r>
      <w:r w:rsidR="00554CB4">
        <w:t xml:space="preserve">.  </w:t>
      </w:r>
      <w:r w:rsidRPr="00FB2879">
        <w:t xml:space="preserve">However, as with the previous chapter, there are some limitations with the sampling and the design of the study that should be taken into consideration. </w:t>
      </w:r>
    </w:p>
    <w:p w14:paraId="569BD4C0" w14:textId="1B04A17B" w:rsidR="00111E4D" w:rsidRPr="00FB2879" w:rsidRDefault="00111E4D" w:rsidP="00111E4D">
      <w:proofErr w:type="gramStart"/>
      <w:r w:rsidRPr="00FB2879">
        <w:t>Regarding the sampling, as with Chapter 5, the participants were predominantly from the U3A community, representing a specific sub-group of older adults, likely to have higher SES.</w:t>
      </w:r>
      <w:proofErr w:type="gramEnd"/>
      <w:r w:rsidRPr="00FB2879">
        <w:t xml:space="preserve">  Due to sampling being predominantly from this group recruitment fatigue (whereby a large number of those interested in </w:t>
      </w:r>
      <w:r w:rsidRPr="00C501FD">
        <w:rPr>
          <w:color w:val="000000" w:themeColor="text1"/>
        </w:rPr>
        <w:t xml:space="preserve">conversational agents were recruited for the study in Chapter 5, leaving far fewer available for involvement in this study) resulted in a failure to reach the targeted </w:t>
      </w:r>
      <w:r w:rsidR="00282CBE" w:rsidRPr="00C501FD">
        <w:rPr>
          <w:color w:val="000000" w:themeColor="text1"/>
        </w:rPr>
        <w:t>121</w:t>
      </w:r>
      <w:r w:rsidRPr="00C501FD">
        <w:rPr>
          <w:color w:val="000000" w:themeColor="text1"/>
        </w:rPr>
        <w:t xml:space="preserve"> participants per group</w:t>
      </w:r>
      <w:r w:rsidR="00282CBE" w:rsidRPr="00C501FD">
        <w:rPr>
          <w:color w:val="000000" w:themeColor="text1"/>
        </w:rPr>
        <w:t xml:space="preserve"> which may have </w:t>
      </w:r>
      <w:r w:rsidR="00F62949" w:rsidRPr="00C501FD">
        <w:rPr>
          <w:color w:val="000000" w:themeColor="text1"/>
        </w:rPr>
        <w:t>impacted on the power of the analyses and</w:t>
      </w:r>
      <w:r w:rsidR="00282CBE" w:rsidRPr="00C501FD">
        <w:rPr>
          <w:color w:val="000000" w:themeColor="text1"/>
        </w:rPr>
        <w:t xml:space="preserve"> </w:t>
      </w:r>
      <w:r w:rsidR="00F62949" w:rsidRPr="00C501FD">
        <w:rPr>
          <w:color w:val="000000" w:themeColor="text1"/>
        </w:rPr>
        <w:t>on the</w:t>
      </w:r>
      <w:r w:rsidR="00282CBE" w:rsidRPr="00C501FD">
        <w:rPr>
          <w:color w:val="000000" w:themeColor="text1"/>
        </w:rPr>
        <w:t xml:space="preserve"> overall outcomes of this study</w:t>
      </w:r>
      <w:r w:rsidR="00F62949" w:rsidRPr="00C501FD">
        <w:rPr>
          <w:color w:val="000000" w:themeColor="text1"/>
        </w:rPr>
        <w:t xml:space="preserve">. This, in turn, may have </w:t>
      </w:r>
      <w:r w:rsidR="005838AC" w:rsidRPr="00C501FD">
        <w:rPr>
          <w:color w:val="000000" w:themeColor="text1"/>
        </w:rPr>
        <w:t>resulted in a different depiction of older adult’s experiences of MYLO’s with enhanced features</w:t>
      </w:r>
      <w:r w:rsidRPr="00C501FD">
        <w:rPr>
          <w:color w:val="000000" w:themeColor="text1"/>
        </w:rPr>
        <w:t>.  As with the last study, the sample was predominantly female</w:t>
      </w:r>
      <w:r w:rsidRPr="00FB2879">
        <w:t>, White British, and the study advertisement asked volunteers if they would be interested in talking to a computer and testing out a computerised problem-solving program.  The type of problem was never specified, and participants were never screened or assessed prior to taking part, raising the possibility that individuals who participated who did not feel as distressed about their given problem as those who did not.</w:t>
      </w:r>
    </w:p>
    <w:p w14:paraId="333DB413" w14:textId="45AA3590" w:rsidR="00111E4D" w:rsidRPr="00FB2879" w:rsidRDefault="00111E4D" w:rsidP="00111E4D">
      <w:r w:rsidRPr="00FB2879">
        <w:t>Regarding the design, there are two issues that warrant consideration</w:t>
      </w:r>
      <w:r w:rsidR="00554CB4">
        <w:t xml:space="preserve">.  </w:t>
      </w:r>
      <w:r w:rsidRPr="00FB2879">
        <w:t>Firstly, enabling two of the groups to view the therapy guide prior to taking their baseline measures was an oversight in the study’s design and while the groups did not show a significant difference in the measures taken it cannot be ruled out that an effect took place during this time.  Secondly, it is possible that the voice used for speech synthesis in the M+G+S group was not appealing to participants</w:t>
      </w:r>
      <w:r w:rsidR="00554CB4">
        <w:t xml:space="preserve">.  </w:t>
      </w:r>
      <w:r w:rsidRPr="00FB2879">
        <w:t>Some of the feedback given indicated that participants may have felt the voice was not appropriate to their taste e.g. (</w:t>
      </w:r>
      <w:proofErr w:type="gramStart"/>
      <w:r w:rsidRPr="00FB2879">
        <w:t>‘Less</w:t>
      </w:r>
      <w:proofErr w:type="gramEnd"/>
      <w:r w:rsidRPr="00FB2879">
        <w:t xml:space="preserve"> mechanical voice’, ‘Need choice between male or female voice’).  It is also difficult to tell if the M+G and M+G+S groups were sufficiently different</w:t>
      </w:r>
      <w:r w:rsidR="00554CB4">
        <w:t xml:space="preserve">.  </w:t>
      </w:r>
      <w:r w:rsidRPr="00FB2879">
        <w:t>The M+G group had a guide, whereas the M+G+S group had a guide and speech, so these two groups differed only on the speech component</w:t>
      </w:r>
      <w:r w:rsidR="00554CB4">
        <w:t xml:space="preserve">.  </w:t>
      </w:r>
      <w:r w:rsidRPr="00FB2879">
        <w:t xml:space="preserve">This alone might not have been sufficient to produce different effects between the groups.  It may be that incorporating an avatar into the speech group may have given more varied results between </w:t>
      </w:r>
      <w:proofErr w:type="gramStart"/>
      <w:r w:rsidRPr="00FB2879">
        <w:t>groups,</w:t>
      </w:r>
      <w:proofErr w:type="gramEnd"/>
      <w:r w:rsidRPr="00FB2879">
        <w:t xml:space="preserve"> however, the results from the pilot survey did not indicate avatars as a preferred enhancement for the target group.</w:t>
      </w:r>
    </w:p>
    <w:p w14:paraId="61320D13" w14:textId="6697162A" w:rsidR="00111E4D" w:rsidRDefault="00111E4D" w:rsidP="00111E4D">
      <w:pPr>
        <w:pStyle w:val="Heading3"/>
      </w:pPr>
      <w:bookmarkStart w:id="567" w:name="_Toc530598227"/>
      <w:bookmarkStart w:id="568" w:name="_Toc530660580"/>
      <w:bookmarkStart w:id="569" w:name="_Toc3538183"/>
      <w:r>
        <w:lastRenderedPageBreak/>
        <w:t xml:space="preserve">Directions for </w:t>
      </w:r>
      <w:r w:rsidR="005E0265">
        <w:t>F</w:t>
      </w:r>
      <w:r>
        <w:t xml:space="preserve">uture </w:t>
      </w:r>
      <w:r w:rsidR="005E0265">
        <w:t>R</w:t>
      </w:r>
      <w:r>
        <w:t>esearch</w:t>
      </w:r>
      <w:bookmarkEnd w:id="567"/>
      <w:bookmarkEnd w:id="568"/>
      <w:bookmarkEnd w:id="569"/>
    </w:p>
    <w:p w14:paraId="582C7961" w14:textId="77777777" w:rsidR="00111E4D" w:rsidRDefault="00111E4D" w:rsidP="00111E4D">
      <w:r>
        <w:t xml:space="preserve">The present study has built upon the previous research around the acceptability of MYLO and provides support for the notion that enhanced interface features may improve older adults’ acceptability of a problem-solving program.  The study also investigated the impact of system usability on both </w:t>
      </w:r>
      <w:r>
        <w:rPr>
          <w:shd w:val="clear" w:color="auto" w:fill="FFFFFF"/>
        </w:rPr>
        <w:t xml:space="preserve">treatment </w:t>
      </w:r>
      <w:r>
        <w:t xml:space="preserve">credibility and the therapeutic relationship of a problem-solving program.  As a result of this, the following new avenues of further research </w:t>
      </w:r>
      <w:r w:rsidRPr="00AB5AC3">
        <w:rPr>
          <w:noProof/>
        </w:rPr>
        <w:t>are proposed</w:t>
      </w:r>
      <w:r>
        <w:t xml:space="preserve">.  Firstly, further investigation needs to </w:t>
      </w:r>
      <w:r w:rsidRPr="00AB5AC3">
        <w:rPr>
          <w:noProof/>
        </w:rPr>
        <w:t>f</w:t>
      </w:r>
      <w:r>
        <w:rPr>
          <w:noProof/>
        </w:rPr>
        <w:t>ocus</w:t>
      </w:r>
      <w:r>
        <w:t xml:space="preserve"> upon usability, </w:t>
      </w:r>
      <w:r w:rsidRPr="00AB5AC3">
        <w:rPr>
          <w:noProof/>
        </w:rPr>
        <w:t>and</w:t>
      </w:r>
      <w:r>
        <w:t xml:space="preserve"> its effects on </w:t>
      </w:r>
      <w:r w:rsidRPr="00AB5AC3">
        <w:rPr>
          <w:noProof/>
        </w:rPr>
        <w:t xml:space="preserve">the </w:t>
      </w:r>
      <w:r>
        <w:rPr>
          <w:shd w:val="clear" w:color="auto" w:fill="FFFFFF"/>
        </w:rPr>
        <w:t xml:space="preserve">treatment </w:t>
      </w:r>
      <w:r>
        <w:t xml:space="preserve">credibility and the therapeutic relationship of computer-based therapy as this is a </w:t>
      </w:r>
      <w:r w:rsidRPr="00AB5AC3">
        <w:rPr>
          <w:noProof/>
        </w:rPr>
        <w:t>fairly</w:t>
      </w:r>
      <w:r>
        <w:t xml:space="preserve"> new avenue of research.  Secondly, more should be done to explore how conversational agents can </w:t>
      </w:r>
      <w:r w:rsidRPr="00AB5AC3">
        <w:rPr>
          <w:noProof/>
        </w:rPr>
        <w:t>be used</w:t>
      </w:r>
      <w:r>
        <w:t xml:space="preserve"> as </w:t>
      </w:r>
      <w:r w:rsidRPr="00AC3A07">
        <w:rPr>
          <w:noProof/>
        </w:rPr>
        <w:t>a hybrid</w:t>
      </w:r>
      <w:r>
        <w:t xml:space="preserve"> part of self-guided therapy within the ‘triangle of alliance’ model set out by Cavanagh (2010).</w:t>
      </w:r>
    </w:p>
    <w:p w14:paraId="3D395229" w14:textId="24E52C58" w:rsidR="00111E4D" w:rsidRDefault="00111E4D" w:rsidP="00111E4D">
      <w:pPr>
        <w:pStyle w:val="Heading3"/>
      </w:pPr>
      <w:bookmarkStart w:id="570" w:name="_Toc530598228"/>
      <w:bookmarkStart w:id="571" w:name="_Toc530660581"/>
      <w:bookmarkStart w:id="572" w:name="_Toc3538184"/>
      <w:r>
        <w:t xml:space="preserve">Summary and </w:t>
      </w:r>
      <w:r w:rsidR="005E0265">
        <w:t>C</w:t>
      </w:r>
      <w:r>
        <w:t>onclusion</w:t>
      </w:r>
      <w:bookmarkEnd w:id="570"/>
      <w:bookmarkEnd w:id="571"/>
      <w:bookmarkEnd w:id="572"/>
    </w:p>
    <w:p w14:paraId="5B11B327" w14:textId="77777777" w:rsidR="00111E4D" w:rsidRPr="00E565F1" w:rsidRDefault="00111E4D" w:rsidP="00111E4D">
      <w:r>
        <w:t xml:space="preserve">The present study has sought to expand on the research of a computer-based problem-solving program known as MYLO by testing its acceptability, effectiveness and usability with enhanced interface elements in a non-clinical older adult sample.  The results indicated that enhanced interface features </w:t>
      </w:r>
      <w:r w:rsidRPr="00AC3A07">
        <w:rPr>
          <w:noProof/>
        </w:rPr>
        <w:t>m</w:t>
      </w:r>
      <w:r>
        <w:rPr>
          <w:noProof/>
        </w:rPr>
        <w:t>ight</w:t>
      </w:r>
      <w:r>
        <w:t xml:space="preserve"> not improve the acceptability, effectiveness, </w:t>
      </w:r>
      <w:r w:rsidRPr="00AB5AC3">
        <w:rPr>
          <w:noProof/>
        </w:rPr>
        <w:t>and</w:t>
      </w:r>
      <w:r>
        <w:t xml:space="preserve"> usability of MYLO.  System feedback indicated that the AI was the element that received the most suggestions for improvement, possibly implying that interface features alone cannot make a difference to MYLOs acceptability, effectiveness or usability.  The study has also discovered that usability may play a small role in the development of the agreement of tasks within the therapeutic relationship and usability may also play a role in </w:t>
      </w:r>
      <w:r>
        <w:rPr>
          <w:shd w:val="clear" w:color="auto" w:fill="FFFFFF"/>
        </w:rPr>
        <w:t xml:space="preserve">treatment </w:t>
      </w:r>
      <w:r>
        <w:t>credibility.</w:t>
      </w:r>
    </w:p>
    <w:p w14:paraId="4B057712" w14:textId="77777777" w:rsidR="00111E4D" w:rsidRPr="00111E4D" w:rsidRDefault="00111E4D" w:rsidP="00111E4D"/>
    <w:p w14:paraId="3ABCBBF2" w14:textId="77777777" w:rsidR="00366B7A" w:rsidRDefault="00366B7A" w:rsidP="00366B7A">
      <w:pPr>
        <w:sectPr w:rsidR="00366B7A" w:rsidSect="00452C07">
          <w:pgSz w:w="11906" w:h="16838"/>
          <w:pgMar w:top="851" w:right="851" w:bottom="851" w:left="1134" w:header="708" w:footer="708" w:gutter="0"/>
          <w:cols w:space="708"/>
          <w:docGrid w:linePitch="360"/>
        </w:sectPr>
      </w:pPr>
    </w:p>
    <w:p w14:paraId="76B103BE" w14:textId="7FE97865" w:rsidR="00366B7A" w:rsidRPr="00366B7A" w:rsidRDefault="00366B7A" w:rsidP="00366B7A"/>
    <w:p w14:paraId="075C03BA" w14:textId="77777777" w:rsidR="007A529B" w:rsidRDefault="007A529B" w:rsidP="007A529B">
      <w:pPr>
        <w:pStyle w:val="Heading1"/>
      </w:pPr>
      <w:bookmarkStart w:id="573" w:name="_Toc530660582"/>
      <w:bookmarkStart w:id="574" w:name="_Toc3538185"/>
      <w:r w:rsidRPr="00846B48">
        <w:t xml:space="preserve">Discussion and Future </w:t>
      </w:r>
      <w:r>
        <w:t>W</w:t>
      </w:r>
      <w:r w:rsidRPr="00846B48">
        <w:t>ork, Conclusion</w:t>
      </w:r>
      <w:bookmarkEnd w:id="573"/>
      <w:bookmarkEnd w:id="574"/>
    </w:p>
    <w:p w14:paraId="7007BB94" w14:textId="77777777" w:rsidR="007A529B" w:rsidRPr="00A7431A" w:rsidRDefault="007A529B" w:rsidP="007A529B">
      <w:pPr>
        <w:pStyle w:val="Heading2"/>
      </w:pPr>
      <w:bookmarkStart w:id="575" w:name="_Toc530660583"/>
      <w:bookmarkStart w:id="576" w:name="_Toc3538186"/>
      <w:r w:rsidRPr="00A7431A">
        <w:t xml:space="preserve">Research </w:t>
      </w:r>
      <w:r>
        <w:t>S</w:t>
      </w:r>
      <w:r w:rsidRPr="00A7431A">
        <w:t>ummary</w:t>
      </w:r>
      <w:bookmarkEnd w:id="575"/>
      <w:bookmarkEnd w:id="576"/>
    </w:p>
    <w:p w14:paraId="73B401C4" w14:textId="6F82C296" w:rsidR="007A529B" w:rsidRDefault="007A529B" w:rsidP="007A529B">
      <w:r w:rsidRPr="0092441B">
        <w:rPr>
          <w:noProof/>
        </w:rPr>
        <w:t>Th</w:t>
      </w:r>
      <w:r>
        <w:rPr>
          <w:noProof/>
        </w:rPr>
        <w:t>is thesis has aimed</w:t>
      </w:r>
      <w:r>
        <w:t xml:space="preserve"> to determine whether e-therapy interfaces can be enhanced to increase usability and acceptability in older adults.  Specifically, we have examined whether the usability and acceptability of an automated conversational agent for problem solving could </w:t>
      </w:r>
      <w:r w:rsidRPr="00173D5C">
        <w:rPr>
          <w:noProof/>
        </w:rPr>
        <w:t>be improved</w:t>
      </w:r>
      <w:r>
        <w:t xml:space="preserve"> for older adults’ use, by adding interface features.</w:t>
      </w:r>
      <w:r w:rsidR="00554CB4">
        <w:t xml:space="preserve">  </w:t>
      </w:r>
      <w:r>
        <w:t>The starting point for this research programme (which began in 2015) was to survey the existing e-therapy landscape within the real-world setting of the NHS, with a focus on provision for older adults.</w:t>
      </w:r>
      <w:r w:rsidR="00554CB4">
        <w:t xml:space="preserve">  </w:t>
      </w:r>
      <w:r>
        <w:rPr>
          <w:noProof/>
        </w:rPr>
        <w:t>The data used to address this topic were, in the most part, acquired</w:t>
      </w:r>
      <w:r w:rsidRPr="00173D5C">
        <w:rPr>
          <w:noProof/>
        </w:rPr>
        <w:t xml:space="preserve"> </w:t>
      </w:r>
      <w:r>
        <w:t xml:space="preserve">from NHS services via Freedom of Information (FOI) Act 2000 requests </w:t>
      </w:r>
      <w:r>
        <w:rPr>
          <w:rFonts w:cs="Times New Roman"/>
          <w:szCs w:val="24"/>
        </w:rPr>
        <w:t>o</w:t>
      </w:r>
      <w:r w:rsidRPr="00172C39">
        <w:rPr>
          <w:rFonts w:cs="Times New Roman"/>
          <w:szCs w:val="24"/>
        </w:rPr>
        <w:t>n the 13</w:t>
      </w:r>
      <w:r w:rsidRPr="00172C39">
        <w:rPr>
          <w:rFonts w:cs="Times New Roman"/>
          <w:szCs w:val="24"/>
          <w:vertAlign w:val="superscript"/>
        </w:rPr>
        <w:t>th</w:t>
      </w:r>
      <w:r w:rsidRPr="00172C39">
        <w:rPr>
          <w:rFonts w:cs="Times New Roman"/>
          <w:szCs w:val="24"/>
        </w:rPr>
        <w:t xml:space="preserve"> of February 2015</w:t>
      </w:r>
      <w:r>
        <w:t>.  Findings highlighted a high level of variation in e-therapy offerings in services across England, and a distinct lack of any real older adult-tailored e</w:t>
      </w:r>
      <w:r>
        <w:noBreakHyphen/>
        <w:t xml:space="preserve">therapy provision.  </w:t>
      </w:r>
      <w:r w:rsidRPr="00A07828">
        <w:t>This initial study also generated a list of e</w:t>
      </w:r>
      <w:r w:rsidRPr="00A07828">
        <w:noBreakHyphen/>
        <w:t>therapies used within NHS services in 2015, something which at that time the NHS did not have</w:t>
      </w:r>
      <w:r w:rsidR="00554CB4">
        <w:t xml:space="preserve">.  </w:t>
      </w:r>
      <w:r>
        <w:t xml:space="preserve">As such, the publication of these findings </w:t>
      </w:r>
      <w:r>
        <w:fldChar w:fldCharType="begin" w:fldLock="1"/>
      </w:r>
      <w:r>
        <w:instrText>ADDIN CSL_CITATION {"citationItems":[{"id":"ITEM-1","itemData":{"DOI":"10.1136/bmjopen-2016-014844","ISSN":"2044-6055","abstract":"AbstractObjective To document the range of web and smartphone apps used and recommended for stress, anxiety or depression by the National Health Service (NHS) in England.","author":[{"dropping-particle":"","family":"Bennion","given":"M R","non-dropping-particle":"","parse-names":false,"suffix":""},{"dropping-particle":"","family":"Hardy","given":"G","non-dropping-particle":"","parse-names":false,"suffix":""},{"dropping-particle":"","family":"Moore","given":"R K","non-dropping-particle":"","parse-names":false,"suffix":""},{"dropping-particle":"","family":"Millings","given":"A","non-dropping-particle":"","parse-names":false,"suffix":""}],"container-title":"BMJ Open","id":"ITEM-1","issue":"1","issued":{"date-parts":[["2017","1","23"]]},"page":"e014844","title":"E-therapies in England for stress, anxiety or depression: what is being used in the NHS? A survey of mental health services","type":"article-journal","volume":"7"},"uris":["http://www.mendeley.com/documents/?uuid=556ea185-6792-4d98-a23a-9fd6f0b2957c"]}],"mendeley":{"formattedCitation":"(Bennion &lt;i&gt;et al.&lt;/i&gt;, 2017)","plainTextFormattedCitation":"(Bennion et al., 2017)","previouslyFormattedCitation":"(Bennion &lt;i&gt;et al.&lt;/i&gt;, 2017)"},"properties":{"noteIndex":0},"schema":"https://github.com/citation-style-language/schema/raw/master/csl-citation.json"}</w:instrText>
      </w:r>
      <w:r>
        <w:fldChar w:fldCharType="separate"/>
      </w:r>
      <w:r w:rsidRPr="001D3636">
        <w:rPr>
          <w:noProof/>
        </w:rPr>
        <w:t xml:space="preserve">(Bennion </w:t>
      </w:r>
      <w:r w:rsidRPr="001D3636">
        <w:rPr>
          <w:i/>
          <w:noProof/>
        </w:rPr>
        <w:t>et al.</w:t>
      </w:r>
      <w:r w:rsidRPr="001D3636">
        <w:rPr>
          <w:noProof/>
        </w:rPr>
        <w:t>, 2017)</w:t>
      </w:r>
      <w:r>
        <w:fldChar w:fldCharType="end"/>
      </w:r>
      <w:r>
        <w:t xml:space="preserve"> was welcomed by NHS </w:t>
      </w:r>
      <w:r w:rsidRPr="00895C41">
        <w:t xml:space="preserve">officials (see Appendix </w:t>
      </w:r>
      <w:r w:rsidR="00895C41" w:rsidRPr="00895C41">
        <w:t>B1</w:t>
      </w:r>
      <w:r w:rsidRPr="00895C41">
        <w:t>).</w:t>
      </w:r>
    </w:p>
    <w:p w14:paraId="5BB4B6B6" w14:textId="0E19D8DD" w:rsidR="007A529B" w:rsidRDefault="007A529B" w:rsidP="007A529B">
      <w:r>
        <w:t>Having established what e-therapies were being used within the NHS, the overarching aim of the next two chapters was to evaluate the quality of the e-therapies offered by NHS services</w:t>
      </w:r>
      <w:r w:rsidR="00554CB4">
        <w:t xml:space="preserve">.  </w:t>
      </w:r>
      <w:r>
        <w:t>This was achieved in two ways.</w:t>
      </w:r>
    </w:p>
    <w:p w14:paraId="3ED23D5B" w14:textId="010F5E88" w:rsidR="007A529B" w:rsidRDefault="007A529B" w:rsidP="007A529B">
      <w:r>
        <w:t>Firstly, indicators of quality were identified, and the e-therapies were appraised against those indicators (Chapter three).</w:t>
      </w:r>
      <w:r w:rsidR="00B233DE">
        <w:t xml:space="preserve"> </w:t>
      </w:r>
      <w:r>
        <w:t xml:space="preserve"> This was achieved by surveying the developers of each of the identified e-therapies asking about academic and clinical involvement, clinical theory, published studies, and any other evidence of effectiveness</w:t>
      </w:r>
      <w:r w:rsidR="00554CB4">
        <w:t xml:space="preserve">.  </w:t>
      </w:r>
      <w:r>
        <w:t xml:space="preserve">The data collected from the survey highlighted the divide in quality between web and mobile app types.  </w:t>
      </w:r>
      <w:r w:rsidRPr="00A07828">
        <w:t xml:space="preserve">Web apps were found to be significantly stronger in all but one area, namely the use of clinical theory.  It </w:t>
      </w:r>
      <w:r w:rsidRPr="00A07828">
        <w:rPr>
          <w:noProof/>
        </w:rPr>
        <w:t>is suggested</w:t>
      </w:r>
      <w:r w:rsidRPr="00A07828">
        <w:t xml:space="preserve"> that this difference </w:t>
      </w:r>
      <w:r w:rsidRPr="00A07828">
        <w:rPr>
          <w:noProof/>
        </w:rPr>
        <w:t>might</w:t>
      </w:r>
      <w:r w:rsidRPr="00A07828">
        <w:t xml:space="preserve"> </w:t>
      </w:r>
      <w:r w:rsidRPr="00A07828">
        <w:rPr>
          <w:noProof/>
        </w:rPr>
        <w:t>be attributed</w:t>
      </w:r>
      <w:r w:rsidRPr="00A07828">
        <w:t xml:space="preserve"> to the </w:t>
      </w:r>
      <w:r w:rsidRPr="00A07828">
        <w:rPr>
          <w:noProof/>
        </w:rPr>
        <w:t>half-decade</w:t>
      </w:r>
      <w:r w:rsidRPr="00A07828">
        <w:t xml:space="preserve"> age gap and evolutionary differences </w:t>
      </w:r>
      <w:r w:rsidRPr="00A07828">
        <w:rPr>
          <w:noProof/>
        </w:rPr>
        <w:t>between</w:t>
      </w:r>
      <w:r w:rsidRPr="00A07828">
        <w:t xml:space="preserve"> the two technologies.</w:t>
      </w:r>
    </w:p>
    <w:p w14:paraId="2288B2B6" w14:textId="0533D2A0" w:rsidR="007A529B" w:rsidRDefault="007A529B" w:rsidP="007A529B">
      <w:r>
        <w:t xml:space="preserve">Secondly, clinical effectiveness of the e-therapies was evaluated via meta-analysis, and by treating age as a moderator, a focus on older adults was attempted (Chapter 4).  A series of database searches was carried out to collect papers relevant to the e-therapies identified in Chapter two.  The papers </w:t>
      </w:r>
      <w:r w:rsidRPr="002067BE">
        <w:rPr>
          <w:noProof/>
        </w:rPr>
        <w:t>were then merged</w:t>
      </w:r>
      <w:r>
        <w:t xml:space="preserve"> with the publications reported by the developers in Chapter three.</w:t>
      </w:r>
      <w:r w:rsidR="00554CB4">
        <w:t xml:space="preserve">  </w:t>
      </w:r>
      <w:r>
        <w:t>Studies employing a Randomised Controlled Trial (RCTs) design were selected, study quality was evaluated, and the required data extracted.  The data indicated that the studies predominately did not target those over 65 for involvement</w:t>
      </w:r>
      <w:r w:rsidR="00554CB4">
        <w:rPr>
          <w:noProof/>
        </w:rPr>
        <w:t xml:space="preserve">.  </w:t>
      </w:r>
      <w:r>
        <w:rPr>
          <w:noProof/>
        </w:rPr>
        <w:t>On the other hand,</w:t>
      </w:r>
      <w:r>
        <w:t xml:space="preserve"> few studies excluded older adults.</w:t>
      </w:r>
      <w:r w:rsidRPr="004F0AA6">
        <w:t xml:space="preserve"> </w:t>
      </w:r>
      <w:r>
        <w:t xml:space="preserve"> Meta-analyses results showed that the older the participant was, </w:t>
      </w:r>
      <w:r w:rsidRPr="002067BE">
        <w:rPr>
          <w:noProof/>
        </w:rPr>
        <w:t>the</w:t>
      </w:r>
      <w:r>
        <w:t xml:space="preserve"> less </w:t>
      </w:r>
      <w:r w:rsidRPr="00A06670">
        <w:rPr>
          <w:noProof/>
        </w:rPr>
        <w:t>effective</w:t>
      </w:r>
      <w:r>
        <w:t xml:space="preserve"> the e-therapy became.  However, the major caveat of this work is the extremely low numbers of older adults represented in the studies included</w:t>
      </w:r>
      <w:r w:rsidR="00554CB4">
        <w:t xml:space="preserve">.  </w:t>
      </w:r>
      <w:r w:rsidRPr="00A07828">
        <w:t xml:space="preserve">So, while the findings may indicate that </w:t>
      </w:r>
      <w:r w:rsidRPr="00A07828">
        <w:rPr>
          <w:noProof/>
        </w:rPr>
        <w:t xml:space="preserve">e-therapies within the NHS may </w:t>
      </w:r>
      <w:r w:rsidRPr="00A07828">
        <w:rPr>
          <w:noProof/>
        </w:rPr>
        <w:lastRenderedPageBreak/>
        <w:t>be of benefit to younger adults, they are less suitable for older generations, more research is needed targeting older demographics to fully address this issue.</w:t>
      </w:r>
    </w:p>
    <w:p w14:paraId="713CC41C" w14:textId="77777777" w:rsidR="007A529B" w:rsidRDefault="007A529B" w:rsidP="007A529B">
      <w:r>
        <w:t>Given the lack of support for an existing NHS-used e-therapy for older adults, and the potential difficulty in working with a proprietary/commercial e-therapy for academic research and development, in Chapters 5 and 6, a researcher-developed, conversational agent e-therapy called MYLO was used.</w:t>
      </w:r>
    </w:p>
    <w:p w14:paraId="433C57C3" w14:textId="6C691CF0" w:rsidR="007A529B" w:rsidRDefault="007A529B" w:rsidP="007A529B">
      <w:r>
        <w:t xml:space="preserve">In Chapter five, the aim was to see if a conversational agent for </w:t>
      </w:r>
      <w:r w:rsidRPr="002067BE">
        <w:rPr>
          <w:noProof/>
        </w:rPr>
        <w:t>problem</w:t>
      </w:r>
      <w:r>
        <w:rPr>
          <w:noProof/>
        </w:rPr>
        <w:t>-</w:t>
      </w:r>
      <w:r w:rsidRPr="002067BE">
        <w:rPr>
          <w:noProof/>
        </w:rPr>
        <w:t>solving</w:t>
      </w:r>
      <w:r>
        <w:t xml:space="preserve"> called Manage </w:t>
      </w:r>
      <w:r w:rsidRPr="002067BE">
        <w:rPr>
          <w:noProof/>
        </w:rPr>
        <w:t>Your</w:t>
      </w:r>
      <w:r>
        <w:t xml:space="preserve"> Life Online (MYLO) was acceptable to older adults and to </w:t>
      </w:r>
      <w:r w:rsidRPr="00A06670">
        <w:rPr>
          <w:noProof/>
        </w:rPr>
        <w:t>investigate</w:t>
      </w:r>
      <w:r>
        <w:t xml:space="preserve"> whether system usability correlated with measurements of acceptability.  For this </w:t>
      </w:r>
      <w:r w:rsidRPr="002067BE">
        <w:rPr>
          <w:noProof/>
        </w:rPr>
        <w:t>study</w:t>
      </w:r>
      <w:r>
        <w:rPr>
          <w:noProof/>
        </w:rPr>
        <w:t>,</w:t>
      </w:r>
      <w:r>
        <w:t xml:space="preserve"> MYLO </w:t>
      </w:r>
      <w:r w:rsidRPr="002067BE">
        <w:rPr>
          <w:noProof/>
        </w:rPr>
        <w:t>was compared</w:t>
      </w:r>
      <w:r>
        <w:t xml:space="preserve"> to </w:t>
      </w:r>
      <w:r w:rsidRPr="00A06670">
        <w:rPr>
          <w:noProof/>
        </w:rPr>
        <w:t>a control conversational</w:t>
      </w:r>
      <w:r>
        <w:t xml:space="preserve"> agent called ELIZA.  </w:t>
      </w:r>
      <w:r w:rsidRPr="00373828">
        <w:t>All respondents, irrespective of group experienced significant reductions in distress, depression, anxiety, stress, and total DASS-21 scores between baselines</w:t>
      </w:r>
      <w:r>
        <w:t xml:space="preserve"> </w:t>
      </w:r>
      <w:r w:rsidRPr="00373828">
        <w:t>and follow up</w:t>
      </w:r>
      <w:r>
        <w:t xml:space="preserve"> but unlike previous studies</w:t>
      </w:r>
      <w:r>
        <w:rPr>
          <w:noProof/>
        </w:rPr>
        <w:t>,</w:t>
      </w:r>
      <w:r>
        <w:t xml:space="preserve"> MYLO was not found to be better at resolving problems.  The study went on to </w:t>
      </w:r>
      <w:r w:rsidRPr="00A06670">
        <w:rPr>
          <w:noProof/>
        </w:rPr>
        <w:t>investigat</w:t>
      </w:r>
      <w:r>
        <w:rPr>
          <w:noProof/>
        </w:rPr>
        <w:t>e</w:t>
      </w:r>
      <w:r>
        <w:t xml:space="preserve"> the possibility of a </w:t>
      </w:r>
      <w:r w:rsidRPr="0052362C">
        <w:rPr>
          <w:noProof/>
        </w:rPr>
        <w:t>relationship</w:t>
      </w:r>
      <w:r>
        <w:t xml:space="preserve"> </w:t>
      </w:r>
      <w:r>
        <w:rPr>
          <w:noProof/>
        </w:rPr>
        <w:t>between</w:t>
      </w:r>
      <w:r>
        <w:t xml:space="preserve"> system usability and measures of acceptability.  It was found that </w:t>
      </w:r>
      <w:r w:rsidRPr="00A07828">
        <w:t>system usability correlated significantly positively with problem resolution, helpfulness and the likelihood of using the conversational agent again</w:t>
      </w:r>
      <w:r w:rsidR="00554CB4">
        <w:t xml:space="preserve">.  </w:t>
      </w:r>
      <w:r>
        <w:t>These correlations helped to pave the direction of investigation for the final two studies of this body of work.</w:t>
      </w:r>
    </w:p>
    <w:p w14:paraId="7CFFBBC3" w14:textId="1853A057" w:rsidR="007A529B" w:rsidRDefault="007A529B" w:rsidP="007A529B">
      <w:r>
        <w:t xml:space="preserve">In Chapter six the aims were to:  </w:t>
      </w:r>
      <w:proofErr w:type="spellStart"/>
      <w:r>
        <w:t>i</w:t>
      </w:r>
      <w:proofErr w:type="spellEnd"/>
      <w:r>
        <w:t xml:space="preserve">) establish which of three UI enhancements (speech synthesis, speech recognition and avatars) older adults felt would make MYLO more acceptable, and ii) see if adding speech synthesis to a conversational agent for problem-solving improved acceptability with older adults.  Secondary aims looked at whether adding a guide to the agent prior to use improved participant pre-credibility and expectations and whether system usability correlated with measures of the working alliance and treatment credibility.  For this study, the MYLO software previously used in </w:t>
      </w:r>
      <w:r w:rsidR="004C4A0A">
        <w:t>C</w:t>
      </w:r>
      <w:r>
        <w:t xml:space="preserve">hapter five was compared to two variants.  MYLO Guided, an enhanced version of the MYLO software from </w:t>
      </w:r>
      <w:r w:rsidR="004C4A0A">
        <w:t>C</w:t>
      </w:r>
      <w:r>
        <w:t>hapter five with the addition of introductory guidance and instructions about MYLO and the underlying MOL therapy, and MYLO Guided with Speech, an enhanced version of the MYLO Guided software with the addition of synthesised speech that reads the onscreen text aloud to the participant during the introduction, instructions and conversation.</w:t>
      </w:r>
    </w:p>
    <w:p w14:paraId="79D32591" w14:textId="59F6C55A" w:rsidR="007A529B" w:rsidRDefault="007A529B" w:rsidP="007A529B">
      <w:r>
        <w:t>Findings were that a</w:t>
      </w:r>
      <w:r w:rsidRPr="00373828">
        <w:t>ll respondents, irrespective of group experienced significant reductions in distress between baselines</w:t>
      </w:r>
      <w:r>
        <w:t xml:space="preserve"> </w:t>
      </w:r>
      <w:r w:rsidRPr="00373828">
        <w:t>and follow up</w:t>
      </w:r>
      <w:r>
        <w:t>.</w:t>
      </w:r>
      <w:r>
        <w:rPr>
          <w:noProof/>
        </w:rPr>
        <w:t xml:space="preserve">  MYLO Guided and MYLO Guided with Speech were found to reduce depression </w:t>
      </w:r>
      <w:r w:rsidRPr="00373828">
        <w:t>between baselines</w:t>
      </w:r>
      <w:r>
        <w:t xml:space="preserve"> </w:t>
      </w:r>
      <w:r w:rsidRPr="00373828">
        <w:t>and follow up</w:t>
      </w:r>
      <w:r>
        <w:rPr>
          <w:noProof/>
        </w:rPr>
        <w:t>, while</w:t>
      </w:r>
      <w:r>
        <w:t xml:space="preserve"> MYLO was found to increase problem resolution </w:t>
      </w:r>
      <w:r w:rsidRPr="00373828">
        <w:t xml:space="preserve">between </w:t>
      </w:r>
      <w:r>
        <w:t xml:space="preserve">post-intervention </w:t>
      </w:r>
      <w:r w:rsidRPr="00373828">
        <w:t>and follow up</w:t>
      </w:r>
      <w:r>
        <w:t xml:space="preserve">.  The study went on to </w:t>
      </w:r>
      <w:r w:rsidRPr="00A06670">
        <w:rPr>
          <w:noProof/>
        </w:rPr>
        <w:t>investigat</w:t>
      </w:r>
      <w:r>
        <w:rPr>
          <w:noProof/>
        </w:rPr>
        <w:t>e</w:t>
      </w:r>
      <w:r>
        <w:t xml:space="preserve"> the possibility of a </w:t>
      </w:r>
      <w:r w:rsidRPr="0052362C">
        <w:rPr>
          <w:noProof/>
        </w:rPr>
        <w:t>relationship</w:t>
      </w:r>
      <w:r>
        <w:t xml:space="preserve"> </w:t>
      </w:r>
      <w:r>
        <w:rPr>
          <w:noProof/>
        </w:rPr>
        <w:t>between</w:t>
      </w:r>
      <w:r>
        <w:t xml:space="preserve"> system usability and measures of acceptability.  It was found that </w:t>
      </w:r>
      <w:r w:rsidRPr="00A07828">
        <w:t>system usability correlated a strong positive with work alliance inventory and its sub type task, along with treatment credibility.  Small positive correlations were also found between working alliance bond and goal</w:t>
      </w:r>
      <w:r w:rsidR="00554CB4">
        <w:t xml:space="preserve">.  </w:t>
      </w:r>
      <w:r>
        <w:t>These correlations may help to pave the direction of investigation for future work.</w:t>
      </w:r>
    </w:p>
    <w:p w14:paraId="34552416" w14:textId="77777777" w:rsidR="007A529B" w:rsidRPr="004817EB" w:rsidRDefault="007A529B" w:rsidP="007A529B">
      <w:pPr>
        <w:pStyle w:val="Heading2"/>
      </w:pPr>
      <w:bookmarkStart w:id="577" w:name="_Toc530660584"/>
      <w:bookmarkStart w:id="578" w:name="_Toc3538187"/>
      <w:r>
        <w:lastRenderedPageBreak/>
        <w:t>General Discussion</w:t>
      </w:r>
      <w:bookmarkEnd w:id="577"/>
      <w:bookmarkEnd w:id="578"/>
    </w:p>
    <w:p w14:paraId="415635EF" w14:textId="2A3ADDD9" w:rsidR="007A529B" w:rsidRDefault="007A529B" w:rsidP="007A529B">
      <w:r>
        <w:t xml:space="preserve">The noteworthy findings from the above body of work are: </w:t>
      </w:r>
      <w:proofErr w:type="spellStart"/>
      <w:r>
        <w:t>i</w:t>
      </w:r>
      <w:proofErr w:type="spellEnd"/>
      <w:r>
        <w:t>) NHS England lacks appropriate record-keeping regarding e-therapies being recommended and used; ii) there is disparity between the quality of web apps and that of phone-based apps; iii) older adults have been neglected in e-therapy research; and iv) usability is a key but under-researched aspect of e-therapies</w:t>
      </w:r>
      <w:r w:rsidR="00554CB4">
        <w:t xml:space="preserve">.  </w:t>
      </w:r>
      <w:r>
        <w:t>We will discuss each in turn.</w:t>
      </w:r>
    </w:p>
    <w:p w14:paraId="235FF8C7" w14:textId="77777777" w:rsidR="007A529B" w:rsidRPr="004817EB" w:rsidRDefault="007A529B" w:rsidP="007A529B">
      <w:pPr>
        <w:pStyle w:val="Heading3"/>
      </w:pPr>
      <w:bookmarkStart w:id="579" w:name="_Toc530660585"/>
      <w:bookmarkStart w:id="580" w:name="_Toc3538188"/>
      <w:r w:rsidRPr="004817EB">
        <w:t xml:space="preserve">NHS England </w:t>
      </w:r>
      <w:r>
        <w:t>R</w:t>
      </w:r>
      <w:r w:rsidRPr="004817EB">
        <w:t xml:space="preserve">ecords on </w:t>
      </w:r>
      <w:r>
        <w:t>E</w:t>
      </w:r>
      <w:r w:rsidRPr="004817EB">
        <w:t xml:space="preserve">-therapy </w:t>
      </w:r>
      <w:r>
        <w:t>U</w:t>
      </w:r>
      <w:r w:rsidRPr="004817EB">
        <w:t>se</w:t>
      </w:r>
      <w:bookmarkEnd w:id="579"/>
      <w:bookmarkEnd w:id="580"/>
    </w:p>
    <w:p w14:paraId="33D7B3CC" w14:textId="075FE9DB" w:rsidR="007A529B" w:rsidRDefault="007A529B" w:rsidP="007A529B">
      <w:pPr>
        <w:rPr>
          <w:rFonts w:cs="Times New Roman"/>
          <w:szCs w:val="24"/>
        </w:rPr>
      </w:pPr>
      <w:r>
        <w:t xml:space="preserve">The amount of effort and time required to establish what e-therapies were in use in the NHS in 2015 was surprising.  Apparently, this was </w:t>
      </w:r>
      <w:proofErr w:type="gramStart"/>
      <w:r>
        <w:t>something neither</w:t>
      </w:r>
      <w:proofErr w:type="gramEnd"/>
      <w:r>
        <w:t xml:space="preserve"> the NHS nor other researchers had previously attempted, rendering comparison of e-therapy performance in NHS settings very difficult</w:t>
      </w:r>
      <w:r w:rsidR="00554CB4">
        <w:t xml:space="preserve">.  </w:t>
      </w:r>
      <w:r>
        <w:t>Reflecting on the process of collecting this data, a set of key recommendations for policymakers was made in Bennion et al. (2017)</w:t>
      </w:r>
      <w:r w:rsidR="00761A67">
        <w:t xml:space="preserve">.  </w:t>
      </w:r>
      <w:r>
        <w:t>The first recommendation concerns the FOI Act itself</w:t>
      </w:r>
      <w:r w:rsidR="00554CB4">
        <w:t xml:space="preserve">.  </w:t>
      </w:r>
      <w:r>
        <w:t>Because it only applies to public bodies, while of great utility in getting information from many NHS service providers, the FOI Act does not support transparency in cases where NHS serviced are outsourced to third sector or private companies</w:t>
      </w:r>
      <w:r w:rsidR="00554CB4">
        <w:t xml:space="preserve">.  </w:t>
      </w:r>
      <w:r>
        <w:t>The inability of researchers to access data from such third-party providers of NHS services is concerning, not least because it means that it is not possible to achieve comprehensive snapshot of current practice across the whole of the NHS, hampering potential evaluative research efforts</w:t>
      </w:r>
      <w:r w:rsidR="00554CB4">
        <w:t xml:space="preserve">.  </w:t>
      </w:r>
      <w:r>
        <w:t xml:space="preserve">Bennion et al. (2017) therefore recommended that </w:t>
      </w:r>
      <w:r w:rsidRPr="00355E4B">
        <w:rPr>
          <w:rFonts w:cs="Times New Roman"/>
          <w:szCs w:val="24"/>
        </w:rPr>
        <w:t xml:space="preserve">the FOI Act </w:t>
      </w:r>
      <w:r>
        <w:rPr>
          <w:rFonts w:cs="Times New Roman"/>
          <w:szCs w:val="24"/>
        </w:rPr>
        <w:t xml:space="preserve">should </w:t>
      </w:r>
      <w:r w:rsidRPr="00355E4B">
        <w:rPr>
          <w:rFonts w:cs="Times New Roman"/>
          <w:szCs w:val="24"/>
        </w:rPr>
        <w:t>apply to all NHS services, be they publicly or privately run, to ensure a level of transparency that allows both positive and negative aspects of services to be made visible to t</w:t>
      </w:r>
      <w:r>
        <w:rPr>
          <w:rFonts w:cs="Times New Roman"/>
          <w:szCs w:val="24"/>
        </w:rPr>
        <w:t>he public and researchers alike.</w:t>
      </w:r>
    </w:p>
    <w:p w14:paraId="75197A37" w14:textId="4F2070EE" w:rsidR="007A529B" w:rsidRDefault="007A529B" w:rsidP="007A529B">
      <w:pPr>
        <w:rPr>
          <w:rFonts w:cs="Times New Roman"/>
          <w:szCs w:val="24"/>
        </w:rPr>
      </w:pPr>
      <w:r>
        <w:rPr>
          <w:rFonts w:cs="Times New Roman"/>
          <w:szCs w:val="24"/>
        </w:rPr>
        <w:t>The second recommendation concerns the IAPT minimal dataset</w:t>
      </w:r>
      <w:r w:rsidR="00554CB4">
        <w:rPr>
          <w:rFonts w:cs="Times New Roman"/>
          <w:szCs w:val="24"/>
        </w:rPr>
        <w:t xml:space="preserve">.  </w:t>
      </w:r>
      <w:r>
        <w:rPr>
          <w:rFonts w:cs="Times New Roman"/>
          <w:szCs w:val="24"/>
        </w:rPr>
        <w:t xml:space="preserve">The current minimal data collected by IAPT services contains data on referrals, waiting times, appointments, types of therapy and is therefore useful for reporting with transparency </w:t>
      </w:r>
      <w:r w:rsidRPr="001C3A3D">
        <w:rPr>
          <w:rFonts w:cs="Times New Roman"/>
          <w:szCs w:val="24"/>
        </w:rPr>
        <w:t>the outcomes of mental health services</w:t>
      </w:r>
      <w:r>
        <w:rPr>
          <w:rFonts w:cs="Times New Roman"/>
          <w:szCs w:val="24"/>
        </w:rPr>
        <w:t xml:space="preserve"> </w:t>
      </w:r>
      <w:r>
        <w:rPr>
          <w:rFonts w:cs="Times New Roman"/>
          <w:szCs w:val="24"/>
        </w:rPr>
        <w:fldChar w:fldCharType="begin" w:fldLock="1"/>
      </w:r>
      <w:r>
        <w:rPr>
          <w:rFonts w:cs="Times New Roman"/>
          <w:szCs w:val="24"/>
        </w:rPr>
        <w:instrText>ADDIN CSL_CITATION {"citationItems":[{"id":"ITEM-1","itemData":{"DOI":"10.1016/S0140-6736(17)32133-5","ISBN":"0140-6736","ISSN":"1474547X","PMID":"29224931","abstract":"Background: Internationally, the clinical outcomes of routine mental health services are rarely recorded or reported; however, an exception is the English Improving Access to Psychological Therapies (IAPT) service, which delivers psychological therapies recommended by the National Institute for Health and Care Excellence for depression and anxiety disorders to more than 537 000 patients in the UK each year. A session-by-session outcome monitoring system ensures that IAPT obtains symptom scores before and after treatment for 98% of patients. Service outcomes can then be reported, along with contextual information, on public websites. Methods: We used publicly available data to identify predictors of variability in clinical performance. Using β regression models, we analysed the outcome data released by National Health Service Digital and Public Health England for the 2014–15 financial year (April 1, 2014, to March 31, 2015) and developed a predictive model of reliable improvement and reliable recovery. We then tested whether these predictors were also associated with changes in service outcome between 2014–15 and 2015–16. Findings: Five service organisation features predicted clinical outcomes in 2014–15. Percentage of cases with a problem descriptor, number of treatment sessions, and percentage of referrals treated were positively associated with outcome. The time waited to start treatment and percentage of appointments missed were negatively associated with outcome. Additive odd ratios suggest that moving from the lowest to highest level on an organisational factor could improve service outcomes by 11–42%, dependent on the factor. Consistent with a causal model, most organisational factors also predicted between-year changes in outcome, together accounting for 33% of variance in reliable improvement and 22% for reliable recovery. Social deprivation was negatively associated with some outcomes, but the effect was partly mitigated by the organisational factors. Interpretation: Traditionally, efforts to improve mental health outcomes have largely focused on the development of new and more effective treatments. Our analyses show that the way psychological therapy services are implemented could be similarly important. Mental health services elsewhere in the UK and in other countries might benefit from adopting IAPT's approach to recording and publicly reporting clinical outcomes. Funding: Wellcome Trust.","author":[{"dropping-particle":"","family":"Clark","given":"David M.","non-dropping-particle":"","parse-names":false,"suffix":""},{"dropping-particle":"","family":"Canvin","given":"Lauren","non-dropping-particle":"","parse-names":false,"suffix":""},{"dropping-particle":"","family":"Green","given":"John","non-dropping-particle":"","parse-names":false,"suffix":""},{"dropping-particle":"","family":"Layard","given":"Richard","non-dropping-particle":"","parse-names":false,"suffix":""},{"dropping-particle":"","family":"Pilling","given":"Stephen","non-dropping-particle":"","parse-names":false,"suffix":""},{"dropping-particle":"","family":"Janecka","given":"Magdalena","non-dropping-particle":"","parse-names":false,"suffix":""}],"container-title":"The Lancet","id":"ITEM-1","issue":"10121","issued":{"date-parts":[["2018","2","17"]]},"page":"679-686","publisher":"Elsevier","title":"Transparency about the outcomes of mental health services (IAPT approach): an analysis of public data","type":"article-journal","volume":"391"},"uris":["http://www.mendeley.com/documents/?uuid=228cf06c-fc0f-3bc9-9b3e-1ad3e6d6299a"]}],"mendeley":{"formattedCitation":"(Clark &lt;i&gt;et al.&lt;/i&gt;, 2018)","plainTextFormattedCitation":"(Clark et al., 2018)","previouslyFormattedCitation":"(Clark &lt;i&gt;et al.&lt;/i&gt;, 2018)"},"properties":{"noteIndex":0},"schema":"https://github.com/citation-style-language/schema/raw/master/csl-citation.json"}</w:instrText>
      </w:r>
      <w:r>
        <w:rPr>
          <w:rFonts w:cs="Times New Roman"/>
          <w:szCs w:val="24"/>
        </w:rPr>
        <w:fldChar w:fldCharType="separate"/>
      </w:r>
      <w:r w:rsidRPr="001C3A3D">
        <w:rPr>
          <w:rFonts w:cs="Times New Roman"/>
          <w:noProof/>
          <w:szCs w:val="24"/>
        </w:rPr>
        <w:t xml:space="preserve">(Clark </w:t>
      </w:r>
      <w:r w:rsidRPr="001C3A3D">
        <w:rPr>
          <w:rFonts w:cs="Times New Roman"/>
          <w:i/>
          <w:noProof/>
          <w:szCs w:val="24"/>
        </w:rPr>
        <w:t>et al.</w:t>
      </w:r>
      <w:r w:rsidRPr="001C3A3D">
        <w:rPr>
          <w:rFonts w:cs="Times New Roman"/>
          <w:noProof/>
          <w:szCs w:val="24"/>
        </w:rPr>
        <w:t>, 2018)</w:t>
      </w:r>
      <w:r>
        <w:rPr>
          <w:rFonts w:cs="Times New Roman"/>
          <w:szCs w:val="24"/>
        </w:rPr>
        <w:fldChar w:fldCharType="end"/>
      </w:r>
      <w:r>
        <w:rPr>
          <w:rFonts w:cs="Times New Roman"/>
          <w:szCs w:val="24"/>
        </w:rPr>
        <w:t xml:space="preserve">. </w:t>
      </w:r>
      <w:r w:rsidR="001F5564">
        <w:rPr>
          <w:rFonts w:cs="Times New Roman"/>
          <w:szCs w:val="24"/>
        </w:rPr>
        <w:t xml:space="preserve"> </w:t>
      </w:r>
      <w:r>
        <w:rPr>
          <w:rFonts w:cs="Times New Roman"/>
          <w:szCs w:val="24"/>
        </w:rPr>
        <w:t>However, the omission of which (if any) e-therapy is used renders the dataset of little utility for anyone interested in comparing effectiveness of different e-therapies or seeing whether different e-therapies might suit different client profiles better</w:t>
      </w:r>
      <w:r w:rsidR="00554CB4">
        <w:rPr>
          <w:rFonts w:cs="Times New Roman"/>
          <w:szCs w:val="24"/>
        </w:rPr>
        <w:t xml:space="preserve">.  </w:t>
      </w:r>
      <w:r>
        <w:rPr>
          <w:rFonts w:cs="Times New Roman"/>
          <w:szCs w:val="24"/>
        </w:rPr>
        <w:t>Adding this to the minimal dataset would represent a</w:t>
      </w:r>
      <w:r w:rsidRPr="000D22F4">
        <w:t xml:space="preserve"> relatively small change to routine data collection practices</w:t>
      </w:r>
      <w:r>
        <w:t xml:space="preserve"> but</w:t>
      </w:r>
      <w:r w:rsidRPr="000D22F4">
        <w:t xml:space="preserve"> would provide an instant </w:t>
      </w:r>
      <w:r>
        <w:t>research resource which could answer multiple important and timely research questions on e-therapies</w:t>
      </w:r>
      <w:r w:rsidRPr="000D22F4">
        <w:t>.</w:t>
      </w:r>
      <w:r>
        <w:t xml:space="preserve">  In the larger picture there is a </w:t>
      </w:r>
      <w:r w:rsidRPr="00D053EF">
        <w:rPr>
          <w:rFonts w:cs="Times New Roman"/>
          <w:szCs w:val="24"/>
        </w:rPr>
        <w:t>necessity for the NHS to improve its data curation and collection procedures in order to meet the aspiration of becoming truly digitally enabled.</w:t>
      </w:r>
    </w:p>
    <w:p w14:paraId="6D727967" w14:textId="77777777" w:rsidR="007A529B" w:rsidRPr="004817EB" w:rsidRDefault="007A529B" w:rsidP="007A529B">
      <w:pPr>
        <w:pStyle w:val="Heading3"/>
      </w:pPr>
      <w:bookmarkStart w:id="581" w:name="_Toc530660586"/>
      <w:bookmarkStart w:id="582" w:name="_Toc3538189"/>
      <w:r w:rsidRPr="004817EB">
        <w:t xml:space="preserve">Disparity </w:t>
      </w:r>
      <w:proofErr w:type="gramStart"/>
      <w:r>
        <w:t>B</w:t>
      </w:r>
      <w:r w:rsidRPr="004817EB">
        <w:t>etween</w:t>
      </w:r>
      <w:proofErr w:type="gramEnd"/>
      <w:r w:rsidRPr="004817EB">
        <w:t xml:space="preserve"> </w:t>
      </w:r>
      <w:r>
        <w:t>W</w:t>
      </w:r>
      <w:r w:rsidRPr="004817EB">
        <w:t xml:space="preserve">eb and </w:t>
      </w:r>
      <w:r>
        <w:t>P</w:t>
      </w:r>
      <w:r w:rsidRPr="004817EB">
        <w:t xml:space="preserve">hone </w:t>
      </w:r>
      <w:r>
        <w:t>A</w:t>
      </w:r>
      <w:r w:rsidRPr="004817EB">
        <w:t>pps</w:t>
      </w:r>
      <w:bookmarkEnd w:id="581"/>
      <w:bookmarkEnd w:id="582"/>
    </w:p>
    <w:p w14:paraId="5BA85422" w14:textId="02ECBD22" w:rsidR="007A529B" w:rsidRDefault="007A529B" w:rsidP="007A529B">
      <w:r w:rsidRPr="00A07828">
        <w:t xml:space="preserve">Web apps were found to be significantly stronger </w:t>
      </w:r>
      <w:r>
        <w:t xml:space="preserve">against all of the quality indicators identified in </w:t>
      </w:r>
      <w:r w:rsidR="004C4A0A">
        <w:t>C</w:t>
      </w:r>
      <w:r>
        <w:t xml:space="preserve">hapter </w:t>
      </w:r>
      <w:r w:rsidR="004C4A0A">
        <w:t>t</w:t>
      </w:r>
      <w:r w:rsidR="00361FA1">
        <w:t>hree</w:t>
      </w:r>
      <w:r w:rsidRPr="00A07828">
        <w:t xml:space="preserve"> </w:t>
      </w:r>
      <w:r>
        <w:t>except</w:t>
      </w:r>
      <w:r w:rsidRPr="00A07828">
        <w:t xml:space="preserve"> one</w:t>
      </w:r>
      <w:r>
        <w:t xml:space="preserve">, </w:t>
      </w:r>
      <w:r w:rsidRPr="00A07828">
        <w:t>namely</w:t>
      </w:r>
      <w:r>
        <w:t>,</w:t>
      </w:r>
      <w:r w:rsidRPr="00A07828">
        <w:t xml:space="preserve"> the use of clinical theory.  It </w:t>
      </w:r>
      <w:r w:rsidRPr="00A07828">
        <w:rPr>
          <w:noProof/>
        </w:rPr>
        <w:t>is suggested</w:t>
      </w:r>
      <w:r w:rsidRPr="00A07828">
        <w:t xml:space="preserve"> that this difference </w:t>
      </w:r>
      <w:r w:rsidRPr="00A07828">
        <w:rPr>
          <w:noProof/>
        </w:rPr>
        <w:t>might</w:t>
      </w:r>
      <w:r w:rsidRPr="00A07828">
        <w:t xml:space="preserve"> </w:t>
      </w:r>
      <w:r w:rsidRPr="00A07828">
        <w:rPr>
          <w:noProof/>
        </w:rPr>
        <w:t>be attributed</w:t>
      </w:r>
      <w:r w:rsidRPr="00A07828">
        <w:t xml:space="preserve"> to the </w:t>
      </w:r>
      <w:r w:rsidRPr="00A07828">
        <w:rPr>
          <w:noProof/>
        </w:rPr>
        <w:t>half-decade</w:t>
      </w:r>
      <w:r w:rsidRPr="00A07828">
        <w:t xml:space="preserve"> age gap and evolutionary differences </w:t>
      </w:r>
      <w:r w:rsidRPr="00A07828">
        <w:rPr>
          <w:noProof/>
        </w:rPr>
        <w:t>between</w:t>
      </w:r>
      <w:r w:rsidRPr="00A07828">
        <w:t xml:space="preserve"> the two technologies.</w:t>
      </w:r>
      <w:r>
        <w:t xml:space="preserve">  In appraising the e-therapies, it was found that web apps fared better than phone apps.  One likely explanation for this difference lies in their distinct ‘evolutionary paths’.  Web applications for mental health such as Beating the Blues </w:t>
      </w:r>
      <w:r>
        <w:fldChar w:fldCharType="begin" w:fldLock="1"/>
      </w:r>
      <w:r w:rsidR="00056473">
        <w:instrText>ADDIN CSL_CITATION {"citationItems":[{"id":"ITEM-1","itemData":{"DOI":"10.1017/S0033291702007225","ISBN":"0033-2917, 0033-2917","ISSN":"0007-1250","PMID":"15231556","abstract":"Background. Cognitive-behavioural therapy (CBT) brings about significant clinical improvement in anxiety and depression, but therapists are in short supply. We report the first phase of a randomized controlled trial of an interactive multimedia program of cognitive-behavioural techniques, Beating the Blues TM (BtB), in the treatment of patients in general practice with anxiety, depression or mixed anxiety/depression. Method. One hundred and sixty-seven adults suffering from anxiety and/or depression and not receiving any form of psychological treatment or counselling were randomly allocated to receive, with or without medication, BtB or treatment as usual (TAU). Measures were taken on five oc-casions : prior to treatment, 2 months later, and at 1, 3 and 6 months follow-up using the Beck Depression Inventory, Beck Anxiety Inventory and Work and Social Adjustment Scale. Results. Patients who received BtB showed significantly greater improvement in depression and anxiety compared to TAU by the end of treatment (2 months) and to 6 months follow-up. Symptom reduction was paralleled by improvement in work and social adjustment. There were no interactions of BtB with concomitant pharmacotherapy or duration of illness, but evidence, on the Beck Anxiety Inventory only, of interaction with primary care practice. Importantly, there was no interaction between the effects of BtB and baseline severity of depression, from which we conclude that the effects of the computer program are independent of starting level of depression. Conclusions. These results demonstrate that computerized interactive multimedia cognitive-behavioural techniques under minimal clinical supervision can bring about improvements in de-pression and anxiety, as well as in work and social adjustment, with and without pharmacotherapy and in patients with pre-treatment illness of durations greater or less than 6 months. Thus, our results indicate that wider dissemination of cognitive-behavioural techniques is possible for patients suf-fering from anxiety and/or depression.","author":[{"dropping-particle":"","family":"Proudfoot","given":"Judith","non-dropping-particle":"","parse-names":false,"suffix":""},{"dropping-particle":"","family":"Goldberg","given":"D.","non-dropping-particle":"","parse-names":false,"suffix":""},{"dropping-particle":"","family":"Mann","given":"A.","non-dropping-particle":"","parse-names":false,"suffix":""},{"dropping-particle":"","family":"Everitt","given":"B.","non-dropping-particle":"","parse-names":false,"suffix":""},{"dropping-particle":"","family":"Marks","given":"I.","non-dropping-particle":"","parse-names":false,"suffix":""},{"dropping-particle":"","family":"Gray","given":"J. A.","non-dropping-particle":"","parse-names":false,"suffix":""},{"dropping-particle":"","family":"Goldberg JP, Mann A, Everitt B, Marks I","given":"Gray JA","non-dropping-particle":"","parse-names":false,"suffix":""}],"container-title":"Psychological medicine","id":"ITEM-1","issue":"2","issued":{"date-parts":[["2003","2","1"]]},"language":"English","page":"217-227","publisher":"Cambridge University Press","title":"Computerized, interactive, multimedia cognitive-behavioural program for anxiety and depression in general practice","type":"article-journal","volume":"33"},"uris":["http://www.mendeley.com/documents/?uuid=f11d52fd-9a3a-4453-9663-ebf9c532c5a2"]}],"mendeley":{"formattedCitation":"(Judith Proudfoot, Goldberg, Mann, Everitt, Marks, Gray, &lt;i&gt;et al.&lt;/i&gt;, 2003)","plainTextFormattedCitation":"(Judith Proudfoot, Goldberg, Mann, Everitt, Marks, Gray, et al., 2003)","previouslyFormattedCitation":"(Judith Proudfoot, Goldberg, Mann, Everitt, Marks, Gray, &lt;i&gt;et al.&lt;/i&gt;, 2003)"},"properties":{"noteIndex":0},"schema":"https://github.com/citation-style-language/schema/raw/master/csl-citation.json"}</w:instrText>
      </w:r>
      <w:r>
        <w:fldChar w:fldCharType="separate"/>
      </w:r>
      <w:r w:rsidR="006C6716" w:rsidRPr="006C6716">
        <w:rPr>
          <w:noProof/>
        </w:rPr>
        <w:t xml:space="preserve">(Judith Proudfoot, Goldberg, Mann, Everitt, Marks, Gray, </w:t>
      </w:r>
      <w:r w:rsidR="006C6716" w:rsidRPr="006C6716">
        <w:rPr>
          <w:i/>
          <w:noProof/>
        </w:rPr>
        <w:t>et al.</w:t>
      </w:r>
      <w:r w:rsidR="006C6716" w:rsidRPr="006C6716">
        <w:rPr>
          <w:noProof/>
        </w:rPr>
        <w:t>, 2003)</w:t>
      </w:r>
      <w:r>
        <w:fldChar w:fldCharType="end"/>
      </w:r>
      <w:r>
        <w:t xml:space="preserve"> originated in academia in the 2000s before </w:t>
      </w:r>
      <w:r>
        <w:lastRenderedPageBreak/>
        <w:t>being brought to market</w:t>
      </w:r>
      <w:r w:rsidR="00554CB4">
        <w:t xml:space="preserve">.  </w:t>
      </w:r>
      <w:r>
        <w:t>As such they tend to be the result of a more considered (and perhaps more rigorous) development process</w:t>
      </w:r>
      <w:r w:rsidR="00554CB4">
        <w:t xml:space="preserve">.  </w:t>
      </w:r>
      <w:r>
        <w:t xml:space="preserve">Smart phones, and the mobile apps that they run began to take off in 2008 when apps stores began to open </w:t>
      </w:r>
      <w:r>
        <w:fldChar w:fldCharType="begin" w:fldLock="1"/>
      </w:r>
      <w:r>
        <w:instrText>ADDIN CSL_CITATION {"citationItems":[{"id":"ITEM-1","itemData":{"DOI":"10.1109/MCOM.2012.6353696","ISBN":"0163-6804 VO - 50","ISSN":"01636804","abstract":"The mobile user experience has been significantly altered with the arrival of mobile broadband widespread deployments, massive improvements in available smartphones, and a shift in user habits toward context, mobile application stores have a more participative, communicative role. In thisrevolutionized software and content delivery. These stores focus on the applications, building around them an ecosystem of developers and consumers. The store greatly lessens the barrier between these agents, providing significant benefits to both developers and consumers. In this article we analyze this phenomenon, describing its originating factors and fundamental characteristics. We also perform a more detailed study on the two most successful application stores, identifying different approaches to implementing the model.","author":[{"dropping-particle":"","family":"Cuadrado","given":"Félix","non-dropping-particle":"","parse-names":false,"suffix":""},{"dropping-particle":"","family":"Dueñas","given":"Juan","non-dropping-particle":"","parse-names":false,"suffix":""}],"container-title":"IEEE Communications Magazine","id":"ITEM-1","issue":"11","issued":{"date-parts":[["2012","11"]]},"page":"160-167","title":"Mobile application stores: Success factors, existing approaches, and future developments","type":"article-journal","volume":"50"},"uris":["http://www.mendeley.com/documents/?uuid=694ff161-31e2-3914-a370-d4e99a62aca2"]}],"mendeley":{"formattedCitation":"(Cuadrado and Dueñas, 2012)","plainTextFormattedCitation":"(Cuadrado and Dueñas, 2012)","previouslyFormattedCitation":"(Cuadrado and Dueñas, 2012)"},"properties":{"noteIndex":0},"schema":"https://github.com/citation-style-language/schema/raw/master/csl-citation.json"}</w:instrText>
      </w:r>
      <w:r>
        <w:fldChar w:fldCharType="separate"/>
      </w:r>
      <w:r w:rsidRPr="00C6683D">
        <w:rPr>
          <w:noProof/>
        </w:rPr>
        <w:t>(Cuadrado and Dueñas, 2012)</w:t>
      </w:r>
      <w:r>
        <w:fldChar w:fldCharType="end"/>
      </w:r>
      <w:r>
        <w:t>.</w:t>
      </w:r>
      <w:r w:rsidR="001F5564">
        <w:t xml:space="preserve"> </w:t>
      </w:r>
      <w:r>
        <w:t xml:space="preserve"> However, unlike the earlier web apps, the rapid growth in popularity of smart phones fostered a process of developing mobile apps – and in all areas, not only for mental health – that had more in common with the early 1980s personal microcomputer boom </w:t>
      </w:r>
      <w:r>
        <w:fldChar w:fldCharType="begin" w:fldLock="1"/>
      </w:r>
      <w:r w:rsidR="000B6CC8">
        <w:instrText>ADDIN CSL_CITATION {"citationItems":[{"id":"ITEM-1","itemData":{"DOI":"10.1177/0963662512457904","ISSN":"0963-6625","abstract":"In the early 1980s the computer entered the British home in significant numbers for the first time as many thousands of people purchased their first personal ‘microcomputer’. In this paper I explore the educational character of the home computer boom, a response to unease over the impact of new information technologies. Media, government, social movements and computer manufacturers constituted a systematic effort to enhance the public understanding of a new technology that was anticipated to change the world.","author":[{"dropping-particle":"","family":"Lean","given":"Thomas","non-dropping-particle":"","parse-names":false,"suffix":""}],"container-title":"Public Understanding of Science","id":"ITEM-1","issue":"5","issued":{"date-parts":[["2013","7","30"]]},"page":"546-558","publisher":"SAGE PublicationsSage UK: London, England","title":"Mediating the microcomputer: The educational character of the 1980s British popular computing boom","type":"article-journal","volume":"22"},"uris":["http://www.mendeley.com/documents/?uuid=51566bbd-0189-3856-99e8-06b85bb3f55d"]}],"mendeley":{"formattedCitation":"(Lean, 2013)","plainTextFormattedCitation":"(Lean, 2013)","previouslyFormattedCitation":"(Lean, 2013)"},"properties":{"noteIndex":0},"schema":"https://github.com/citation-style-language/schema/raw/master/csl-citation.json"}</w:instrText>
      </w:r>
      <w:r>
        <w:fldChar w:fldCharType="separate"/>
      </w:r>
      <w:r w:rsidRPr="000B2263">
        <w:rPr>
          <w:noProof/>
        </w:rPr>
        <w:t>(Lean, 2013)</w:t>
      </w:r>
      <w:r>
        <w:fldChar w:fldCharType="end"/>
      </w:r>
      <w:r>
        <w:t xml:space="preserve"> whereby anyone with access to a personal microcomputer and a programming book could create their own software</w:t>
      </w:r>
      <w:r w:rsidR="00554CB4">
        <w:t xml:space="preserve">.  </w:t>
      </w:r>
      <w:r>
        <w:t>In contrast to the 1980s, however, the availability of app stores and the web meant that this software could easily be published and shared with huge numbers of potential users.  Unfortunately, this has taken place under a regime of p</w:t>
      </w:r>
      <w:r>
        <w:rPr>
          <w:color w:val="000000"/>
          <w:highlight w:val="white"/>
        </w:rPr>
        <w:t>oor regulation of mental health app quality and of security and privacy</w:t>
      </w:r>
      <w:r>
        <w:rPr>
          <w:color w:val="000000"/>
        </w:rPr>
        <w:t xml:space="preserve"> standards</w:t>
      </w:r>
      <w:r>
        <w:t xml:space="preserve"> </w:t>
      </w:r>
      <w:r>
        <w:fldChar w:fldCharType="begin" w:fldLock="1"/>
      </w:r>
      <w:r w:rsidR="006F5194">
        <w:instrText>ADDIN CSL_CITATION {"citationItems":[{"id":"ITEM-1","itemData":{"DOI":"10.21037/mhealth.2018.03.02","ISBN":"2016;532:203","ISSN":"23069740","PMID":"29682510","abstract":"Firstly, the flow fields downstream one axisymmetric nozzles and a nozzle with four tabs were simulated with four different turbulent models, and the results were compared with experimental data. Then the flow fields downstream nozzles with tabs of varied orientation angles were predicted for different orientation angles of the tabs while the projected blockage of tabs was kept unchanged. The predictions were also compared with that of the nozzle without tabs. The decrease of potential core length was remarkable when tabs were affixed. As the orientation angle increased, the potential core length decreased firstly and then increased. The streamwise vortices strength increased straightly with the orientation angle. Both entrainment gain and thrust losses of the nozzles decreased as the orientation angle increased.","author":[{"dropping-particle":"","family":"Chandrashekar","given":"Pooja","non-dropping-particle":"","parse-names":false,"suffix":""}],"container-title":"mHealth","id":"ITEM-1","issued":{"date-parts":[["2018"]]},"page":"6-6","publisher":"AME Publications","title":"Do mental health mobile apps work: evidence and recommendations for designing high-efficacy mental health mobile apps","type":"article-journal","volume":"4"},"uris":["http://www.mendeley.com/documents/?uuid=b0a584f6-1598-32f2-9162-2d664a2669a7"]}],"mendeley":{"formattedCitation":"(Chandrashekar, 2018)","plainTextFormattedCitation":"(Chandrashekar, 2018)","previouslyFormattedCitation":"(Chandrashekar, 2018)"},"properties":{"noteIndex":0},"schema":"https://github.com/citation-style-language/schema/raw/master/csl-citation.json"}</w:instrText>
      </w:r>
      <w:r>
        <w:fldChar w:fldCharType="separate"/>
      </w:r>
      <w:r w:rsidRPr="00E569F4">
        <w:rPr>
          <w:noProof/>
        </w:rPr>
        <w:t>(Chandrashekar, 2018)</w:t>
      </w:r>
      <w:r>
        <w:fldChar w:fldCharType="end"/>
      </w:r>
      <w:r>
        <w:t>, with even home coders being able to create and publish mental health apps with little, if any, quality assurance.</w:t>
      </w:r>
    </w:p>
    <w:p w14:paraId="63B095F5" w14:textId="2995CE4B" w:rsidR="007A529B" w:rsidRPr="00735440" w:rsidRDefault="007A529B" w:rsidP="007A529B">
      <w:pPr>
        <w:rPr>
          <w:color w:val="000000"/>
        </w:rPr>
      </w:pPr>
      <w:r>
        <w:t xml:space="preserve">The current body of work has revealed that it is vital that the NHS ensure the NHS apps library contains apps that are supported by evidence, so that service users are presented with </w:t>
      </w:r>
      <w:r>
        <w:rPr>
          <w:noProof/>
        </w:rPr>
        <w:t>effective</w:t>
      </w:r>
      <w:r>
        <w:t xml:space="preserve"> apps and that app developers are compelled to consider</w:t>
      </w:r>
      <w:r>
        <w:rPr>
          <w:color w:val="000000"/>
        </w:rPr>
        <w:t xml:space="preserve"> how to ensure their e-therapy content is safe, beneficial and credible</w:t>
      </w:r>
      <w:r w:rsidR="00554CB4">
        <w:rPr>
          <w:color w:val="000000"/>
        </w:rPr>
        <w:t xml:space="preserve">.  </w:t>
      </w:r>
      <w:r>
        <w:rPr>
          <w:color w:val="000000"/>
        </w:rPr>
        <w:t>Ways to achieve this might include d</w:t>
      </w:r>
      <w:r w:rsidRPr="00735440">
        <w:rPr>
          <w:color w:val="000000"/>
        </w:rPr>
        <w:t>eveloping a</w:t>
      </w:r>
      <w:r>
        <w:rPr>
          <w:color w:val="000000"/>
        </w:rPr>
        <w:t>pps with input from clinicians.</w:t>
      </w:r>
      <w:r w:rsidR="00554CB4">
        <w:rPr>
          <w:color w:val="000000"/>
        </w:rPr>
        <w:t xml:space="preserve">  </w:t>
      </w:r>
      <w:r>
        <w:rPr>
          <w:color w:val="000000"/>
        </w:rPr>
        <w:t>Developers w</w:t>
      </w:r>
      <w:r w:rsidRPr="00735440">
        <w:rPr>
          <w:color w:val="000000"/>
        </w:rPr>
        <w:t>ork</w:t>
      </w:r>
      <w:r>
        <w:rPr>
          <w:noProof/>
          <w:color w:val="000000"/>
        </w:rPr>
        <w:t xml:space="preserve">ing </w:t>
      </w:r>
      <w:r w:rsidRPr="00735440">
        <w:rPr>
          <w:noProof/>
          <w:color w:val="000000"/>
        </w:rPr>
        <w:t>with academics to enable increased knowledge transfer and to conduct well-designed and fair trials, and then to feed the lessons learnt back to the research knowledge base</w:t>
      </w:r>
      <w:r w:rsidRPr="00735440">
        <w:rPr>
          <w:color w:val="000000"/>
        </w:rPr>
        <w:t>.</w:t>
      </w:r>
      <w:r>
        <w:t xml:space="preserve">  Developers and researchers should p</w:t>
      </w:r>
      <w:r w:rsidRPr="00735440">
        <w:rPr>
          <w:color w:val="000000"/>
        </w:rPr>
        <w:t xml:space="preserve">ublish all evidence acquired through pilot, feasibility, acceptability, effectiveness and efficacy studies to facilitate appraisal of the </w:t>
      </w:r>
      <w:r>
        <w:rPr>
          <w:color w:val="000000"/>
        </w:rPr>
        <w:t>effectiveness of an e-therapy.  In the absence of publications developers should c</w:t>
      </w:r>
      <w:r w:rsidRPr="00735440">
        <w:rPr>
          <w:color w:val="000000"/>
        </w:rPr>
        <w:t>ollect, analys</w:t>
      </w:r>
      <w:r>
        <w:rPr>
          <w:color w:val="000000"/>
        </w:rPr>
        <w:t>e</w:t>
      </w:r>
      <w:r w:rsidRPr="00735440">
        <w:rPr>
          <w:color w:val="000000"/>
        </w:rPr>
        <w:t xml:space="preserve"> and publish summaries of other evidence to back up claims of effectiveness and ensure that a psychological approach or theory that is known to be empirically sound is applied within </w:t>
      </w:r>
      <w:r>
        <w:rPr>
          <w:color w:val="000000"/>
        </w:rPr>
        <w:t>the apps they develop to help build credibility.</w:t>
      </w:r>
    </w:p>
    <w:p w14:paraId="0875D0A4" w14:textId="77777777" w:rsidR="007A529B" w:rsidRPr="004817EB" w:rsidRDefault="007A529B" w:rsidP="007A529B">
      <w:pPr>
        <w:pStyle w:val="Heading3"/>
      </w:pPr>
      <w:bookmarkStart w:id="583" w:name="_Toc530660587"/>
      <w:bookmarkStart w:id="584" w:name="_Toc3538190"/>
      <w:r w:rsidRPr="004817EB">
        <w:t xml:space="preserve">Neglect of </w:t>
      </w:r>
      <w:r>
        <w:t>O</w:t>
      </w:r>
      <w:r w:rsidRPr="004817EB">
        <w:t xml:space="preserve">lder </w:t>
      </w:r>
      <w:r>
        <w:t>A</w:t>
      </w:r>
      <w:r w:rsidRPr="004817EB">
        <w:t xml:space="preserve">dults in </w:t>
      </w:r>
      <w:r>
        <w:t>E</w:t>
      </w:r>
      <w:r w:rsidRPr="004817EB">
        <w:t xml:space="preserve">-therapy </w:t>
      </w:r>
      <w:r>
        <w:t>R</w:t>
      </w:r>
      <w:r w:rsidRPr="004817EB">
        <w:t>esearch</w:t>
      </w:r>
      <w:bookmarkEnd w:id="583"/>
      <w:bookmarkEnd w:id="584"/>
    </w:p>
    <w:p w14:paraId="2AD1E7FD" w14:textId="25336433" w:rsidR="007A529B" w:rsidRPr="00735440" w:rsidRDefault="007A529B" w:rsidP="007A529B">
      <w:pPr>
        <w:rPr>
          <w:noProof/>
          <w:highlight w:val="green"/>
        </w:rPr>
      </w:pPr>
      <w:r>
        <w:t xml:space="preserve">The current research has shown that </w:t>
      </w:r>
      <w:r w:rsidRPr="00A07828">
        <w:t>while</w:t>
      </w:r>
      <w:r>
        <w:t xml:space="preserve"> </w:t>
      </w:r>
      <w:r w:rsidRPr="00A07828">
        <w:rPr>
          <w:noProof/>
        </w:rPr>
        <w:t xml:space="preserve">e-therapies </w:t>
      </w:r>
      <w:r>
        <w:rPr>
          <w:noProof/>
        </w:rPr>
        <w:t xml:space="preserve">used </w:t>
      </w:r>
      <w:r w:rsidRPr="00A07828">
        <w:rPr>
          <w:noProof/>
        </w:rPr>
        <w:t xml:space="preserve">within the NHS may be of benefit to younger adults, they </w:t>
      </w:r>
      <w:r>
        <w:rPr>
          <w:noProof/>
        </w:rPr>
        <w:t>might</w:t>
      </w:r>
      <w:r w:rsidRPr="00A07828">
        <w:rPr>
          <w:noProof/>
        </w:rPr>
        <w:t xml:space="preserve"> less suitable for older generations</w:t>
      </w:r>
      <w:r w:rsidR="00554CB4">
        <w:rPr>
          <w:noProof/>
        </w:rPr>
        <w:t xml:space="preserve">.  </w:t>
      </w:r>
      <w:r>
        <w:rPr>
          <w:noProof/>
        </w:rPr>
        <w:t>But</w:t>
      </w:r>
      <w:r w:rsidRPr="00A07828">
        <w:rPr>
          <w:noProof/>
        </w:rPr>
        <w:t xml:space="preserve"> more research is needed targeting older demographics to </w:t>
      </w:r>
      <w:r>
        <w:rPr>
          <w:noProof/>
        </w:rPr>
        <w:t>adequately</w:t>
      </w:r>
      <w:r w:rsidRPr="00A07828">
        <w:rPr>
          <w:noProof/>
        </w:rPr>
        <w:t xml:space="preserve"> address this issue.</w:t>
      </w:r>
      <w:r>
        <w:rPr>
          <w:noProof/>
        </w:rPr>
        <w:t xml:space="preserve">  T</w:t>
      </w:r>
      <w:r>
        <w:t xml:space="preserve">he goal of the panorama work described in </w:t>
      </w:r>
      <w:r w:rsidR="004C4A0A">
        <w:t>C</w:t>
      </w:r>
      <w:r>
        <w:t>hapters 2-4 was to establish what e</w:t>
      </w:r>
      <w:r>
        <w:noBreakHyphen/>
        <w:t xml:space="preserve">therapies are in </w:t>
      </w:r>
      <w:proofErr w:type="gramStart"/>
      <w:r>
        <w:t>use,</w:t>
      </w:r>
      <w:proofErr w:type="gramEnd"/>
      <w:r>
        <w:t xml:space="preserve"> and their effectiveness for older adults specifically</w:t>
      </w:r>
      <w:r w:rsidR="00554CB4">
        <w:t xml:space="preserve">.  </w:t>
      </w:r>
      <w:r>
        <w:t>It turned out that there simply has not been enough research involving older adults</w:t>
      </w:r>
      <w:r w:rsidR="00554CB4">
        <w:t xml:space="preserve">.  </w:t>
      </w:r>
      <w:r>
        <w:t xml:space="preserve">At a top level within NHS services it appears there are no e-therapies presently available to cater to older adults and those NHS e-therapies that were included in </w:t>
      </w:r>
      <w:r w:rsidRPr="003A3CB6">
        <w:rPr>
          <w:color w:val="FF0000"/>
        </w:rPr>
        <w:t xml:space="preserve">study </w:t>
      </w:r>
      <w:r w:rsidR="003A3CB6" w:rsidRPr="003A3CB6">
        <w:rPr>
          <w:color w:val="FF0000"/>
        </w:rPr>
        <w:t>III</w:t>
      </w:r>
      <w:r w:rsidRPr="003A3CB6">
        <w:rPr>
          <w:color w:val="FF0000"/>
        </w:rPr>
        <w:t xml:space="preserve"> </w:t>
      </w:r>
      <w:r>
        <w:t>(</w:t>
      </w:r>
      <w:r w:rsidR="004C4A0A">
        <w:t>C</w:t>
      </w:r>
      <w:r>
        <w:t xml:space="preserve">hapter </w:t>
      </w:r>
      <w:r w:rsidR="00361FA1">
        <w:t>four</w:t>
      </w:r>
      <w:r>
        <w:t>), the meta</w:t>
      </w:r>
      <w:r w:rsidR="00210807">
        <w:t>-</w:t>
      </w:r>
      <w:r>
        <w:t xml:space="preserve">analysis, were found to be more effective for younger adults than for old.  A solution to this problem may be to use a modular platform of e-therapy such as </w:t>
      </w:r>
      <w:proofErr w:type="spellStart"/>
      <w:r>
        <w:t>SilverCloud</w:t>
      </w:r>
      <w:proofErr w:type="spellEnd"/>
      <w:r>
        <w:t xml:space="preserve"> to develop and roll-out modules specifically tailored to older adults.  Why this has not already been attempted is unknown</w:t>
      </w:r>
      <w:r w:rsidR="00554CB4">
        <w:t xml:space="preserve">.  </w:t>
      </w:r>
      <w:r>
        <w:t xml:space="preserve">It may be assumed that standard modules are suitable for both young and old; however, there is nothing in the </w:t>
      </w:r>
      <w:proofErr w:type="spellStart"/>
      <w:r>
        <w:t>SilverCloud</w:t>
      </w:r>
      <w:proofErr w:type="spellEnd"/>
      <w:r>
        <w:t xml:space="preserve"> literature, academic or otherwise, to confirm this</w:t>
      </w:r>
      <w:r w:rsidR="00554CB4">
        <w:t xml:space="preserve">.  </w:t>
      </w:r>
      <w:r>
        <w:t>When it comes to older adult e-</w:t>
      </w:r>
      <w:r w:rsidRPr="00C501FD">
        <w:rPr>
          <w:color w:val="000000" w:themeColor="text1"/>
        </w:rPr>
        <w:t xml:space="preserve">therapy, what little research there is that does include older adults is not representative.  </w:t>
      </w:r>
      <w:r w:rsidR="00137F0A" w:rsidRPr="00C501FD">
        <w:rPr>
          <w:color w:val="000000" w:themeColor="text1"/>
        </w:rPr>
        <w:t>Lack of representation may be a deeper issue</w:t>
      </w:r>
      <w:r w:rsidR="007E7164" w:rsidRPr="00C501FD">
        <w:rPr>
          <w:color w:val="000000" w:themeColor="text1"/>
        </w:rPr>
        <w:t xml:space="preserve"> requiring further investigation</w:t>
      </w:r>
      <w:r w:rsidR="00137F0A" w:rsidRPr="00C501FD">
        <w:rPr>
          <w:color w:val="000000" w:themeColor="text1"/>
        </w:rPr>
        <w:t xml:space="preserve">, particularly </w:t>
      </w:r>
      <w:r w:rsidR="00F62949" w:rsidRPr="00C501FD">
        <w:rPr>
          <w:color w:val="000000" w:themeColor="text1"/>
        </w:rPr>
        <w:t xml:space="preserve">considering the difficulties </w:t>
      </w:r>
      <w:r w:rsidR="00F62949" w:rsidRPr="00C501FD">
        <w:rPr>
          <w:color w:val="000000" w:themeColor="text1"/>
        </w:rPr>
        <w:lastRenderedPageBreak/>
        <w:t>experienced recruiting</w:t>
      </w:r>
      <w:r w:rsidR="00137F0A" w:rsidRPr="00C501FD">
        <w:rPr>
          <w:color w:val="000000" w:themeColor="text1"/>
        </w:rPr>
        <w:t xml:space="preserve"> </w:t>
      </w:r>
      <w:r w:rsidR="007E7164" w:rsidRPr="00C501FD">
        <w:rPr>
          <w:color w:val="000000" w:themeColor="text1"/>
        </w:rPr>
        <w:t>old</w:t>
      </w:r>
      <w:r w:rsidR="00F62949" w:rsidRPr="00C501FD">
        <w:rPr>
          <w:color w:val="000000" w:themeColor="text1"/>
        </w:rPr>
        <w:t>er</w:t>
      </w:r>
      <w:r w:rsidR="007E7164" w:rsidRPr="00C501FD">
        <w:rPr>
          <w:color w:val="000000" w:themeColor="text1"/>
        </w:rPr>
        <w:t xml:space="preserve"> adult</w:t>
      </w:r>
      <w:r w:rsidR="00F62949" w:rsidRPr="00C501FD">
        <w:rPr>
          <w:color w:val="000000" w:themeColor="text1"/>
        </w:rPr>
        <w:t xml:space="preserve">s into the current studies </w:t>
      </w:r>
      <w:r w:rsidR="00137F0A" w:rsidRPr="00C501FD">
        <w:rPr>
          <w:color w:val="000000" w:themeColor="text1"/>
        </w:rPr>
        <w:t>(</w:t>
      </w:r>
      <w:proofErr w:type="gramStart"/>
      <w:r w:rsidR="00137F0A" w:rsidRPr="00C501FD">
        <w:rPr>
          <w:color w:val="000000" w:themeColor="text1"/>
        </w:rPr>
        <w:t>Chapters  5</w:t>
      </w:r>
      <w:proofErr w:type="gramEnd"/>
      <w:r w:rsidR="00137F0A" w:rsidRPr="00C501FD">
        <w:rPr>
          <w:color w:val="000000" w:themeColor="text1"/>
        </w:rPr>
        <w:t xml:space="preserve"> and 6).   </w:t>
      </w:r>
      <w:r w:rsidRPr="00C501FD">
        <w:rPr>
          <w:color w:val="000000" w:themeColor="text1"/>
        </w:rPr>
        <w:t>More effort is needed to (a) carry out research with older adults and (b) attempt representative sampling of older adults within such research.</w:t>
      </w:r>
    </w:p>
    <w:p w14:paraId="51BDA888" w14:textId="77777777" w:rsidR="007A529B" w:rsidRPr="004817EB" w:rsidRDefault="007A529B" w:rsidP="007A529B">
      <w:pPr>
        <w:pStyle w:val="Heading3"/>
      </w:pPr>
      <w:bookmarkStart w:id="585" w:name="_Toc530660588"/>
      <w:bookmarkStart w:id="586" w:name="_Toc3538191"/>
      <w:r w:rsidRPr="004817EB">
        <w:t xml:space="preserve">Importance of </w:t>
      </w:r>
      <w:r>
        <w:t>U</w:t>
      </w:r>
      <w:r w:rsidRPr="004817EB">
        <w:t>sability</w:t>
      </w:r>
      <w:bookmarkEnd w:id="585"/>
      <w:bookmarkEnd w:id="586"/>
    </w:p>
    <w:p w14:paraId="73F73827" w14:textId="0E56C75F" w:rsidR="007A529B" w:rsidRDefault="007A529B" w:rsidP="007A529B">
      <w:r w:rsidRPr="000622ED">
        <w:t xml:space="preserve">In the experimental work, a key finding was that usability was related to problem resolution, </w:t>
      </w:r>
      <w:r>
        <w:t xml:space="preserve">the </w:t>
      </w:r>
      <w:r w:rsidRPr="000622ED">
        <w:t xml:space="preserve">helpfulness of the program and </w:t>
      </w:r>
      <w:r>
        <w:t xml:space="preserve">the </w:t>
      </w:r>
      <w:r w:rsidRPr="000622ED">
        <w:t>likelihood of future use, as well as working alliance and credibility</w:t>
      </w:r>
      <w:r w:rsidR="00554CB4">
        <w:t xml:space="preserve">.  </w:t>
      </w:r>
      <w:r>
        <w:t>The u</w:t>
      </w:r>
      <w:r w:rsidRPr="000622ED">
        <w:t>sability of e-therapies is under-researched</w:t>
      </w:r>
      <w:r w:rsidR="00554CB4">
        <w:t xml:space="preserve">.  </w:t>
      </w:r>
      <w:r>
        <w:t>The extent to which it could account for</w:t>
      </w:r>
      <w:r w:rsidRPr="000622ED">
        <w:t xml:space="preserve"> </w:t>
      </w:r>
      <w:r>
        <w:t xml:space="preserve">some of the </w:t>
      </w:r>
      <w:r w:rsidRPr="000622ED">
        <w:t>shortcomings</w:t>
      </w:r>
      <w:r>
        <w:t xml:space="preserve"> of e-therapy is therefore unknown.  Developers of e-therapies (be they researchers, clinicians, or software engineers) should give greater consideration to the usability of their e-therapy since the current research has found an association between whether users are able to achieve their therapeutic goals within the context of the therapeutic alliance and how easily a user can learn the interface and return to it.  The direction of effect of this relationship is unknown and further research must be carried out to attain this information.  </w:t>
      </w:r>
      <w:bookmarkStart w:id="587" w:name="_Hlk530406228"/>
      <w:r>
        <w:t>It may be that by carrying out studies with e-therapies of low and high usability a better inference of the type of relationship can be made</w:t>
      </w:r>
      <w:bookmarkEnd w:id="587"/>
      <w:r w:rsidR="00554CB4">
        <w:t xml:space="preserve">.  </w:t>
      </w:r>
      <w:r>
        <w:t>No matter how good the underlying therapy and its implementation, users will derive no benefit if a poor interface renders the system unusable.  When designing e-therapy, developers should consider</w:t>
      </w:r>
      <w:r w:rsidRPr="00907577">
        <w:t xml:space="preserve"> who their target audience is, </w:t>
      </w:r>
      <w:r>
        <w:t xml:space="preserve">what its expectations, needs and abilities are, </w:t>
      </w:r>
      <w:r w:rsidRPr="00907577">
        <w:t xml:space="preserve">how </w:t>
      </w:r>
      <w:r>
        <w:t>it</w:t>
      </w:r>
      <w:r w:rsidRPr="00907577">
        <w:t xml:space="preserve"> will interact with the e-therapy </w:t>
      </w:r>
      <w:r>
        <w:fldChar w:fldCharType="begin" w:fldLock="1"/>
      </w:r>
      <w:r>
        <w:instrText>ADDIN CSL_CITATION {"citationItems":[{"id":"ITEM-1","itemData":{"DOI":"10.2196/jmir.3575","ISSN":"1438-8871","PMID":"25406097","abstract":"BACKGROUND: Engagement has emerged as a significant cross-cutting concern within the development of Web-based interventions. There have been calls to institute a more rigorous approach to the design of Web-based interventions, to increase both the quantity and quality of engagement. One approach would be to use log-data to better understand the process of engagement and patterns of use. However, an important challenge lies in organizing log-data for productive analysis.\n\nOBJECTIVE: Our aim was to conduct an initial exploration of the use of visualizations of log-data to enhance understanding of engagement with Web-based interventions.\n\nMETHODS: We applied exploratory sequential data analysis to highlight sequential aspects of the log data, such as time or module number, to provide insights into engagement. After applying a number of processing steps, a range of visualizations were generated from the log-data. We then examined the usefulness of these visualizations for understanding the engagement of individual users and the engagement of cohorts of users. The visualizations created are illustrated with two datasets drawn from studies using the SilverCloud Platform: (1) a small, detailed dataset with interviews (n=19) and (2) a large dataset (n=326) with 44,838 logged events.\n\nRESULTS: We present four exploratory visualizations of user engagement with a Web-based intervention, including Navigation Graph, Stripe Graph, Start-Finish Graph, and Next Action Heat Map. The first represents individual usage and the last three, specific aspects of cohort usage. We provide examples of each with a discussion of salient features.\n\nCONCLUSIONS: Log-data analysis through data visualization is an alternative way of exploring user engagement with Web-based interventions, which can yield different insights than more commonly used summative measures. We describe how understanding the process of engagement through visualizations can support the development and evaluation of Web-based interventions. Specifically, we show how visualizations can (1) allow inspection of content or feature usage in a temporal relationship to the overall program at different levels of granularity, (2) detect different patterns of use to consider personalization in the design process, (3) detect usability issues, (4) enable exploratory analysis to support the design of statistical queries to summarize the data, (5) provide new opportunities for real-time evaluation, and (6) examine assumptions a…","author":[{"dropping-particle":"","family":"Morrison","given":"Cecily","non-dropping-particle":"","parse-names":false,"suffix":""},{"dropping-particle":"","family":"Doherty","given":"Gavin","non-dropping-particle":"","parse-names":false,"suffix":""}],"container-title":"Journal of medical Internet research","id":"ITEM-1","issue":"11","issued":{"date-parts":[["2014","1"]]},"page":"1-16","title":"Analyzing Engagement in a Web-Based Intervention Platform Through Visualizing Log-Data.","type":"article-journal","volume":"16"},"uris":["http://www.mendeley.com/documents/?uuid=be932d48-3bb7-46e4-b041-253ce6ced695"]},{"id":"ITEM-2","itemData":{"ISSN":"2225-6962","author":[{"dropping-particle":"","family":"Yardley","given":"Prof Lucy","non-dropping-particle":"","parse-names":false,"suffix":""},{"dropping-particle":"","family":"Bradbury","given":"Katherine","non-dropping-particle":"","parse-names":false,"suffix":""}],"id":"ITEM-2","issued":{"date-parts":[["2018"]]},"page":"464-469","title":"The Person-Based Approach to planning , optimising , evaluating and implementing behavioural health interventions","type":"article-journal"},"uris":["http://www.mendeley.com/documents/?uuid=403f0a22-b7e5-4c84-9180-61cbd26d4efd"]}],"mendeley":{"formattedCitation":"(Morrison and Doherty, 2014; Yardley and Bradbury, 2018)","plainTextFormattedCitation":"(Morrison and Doherty, 2014; Yardley and Bradbury, 2018)","previouslyFormattedCitation":"(Morrison and Doherty, 2014; Yardley and Bradbury, 2018)"},"properties":{"noteIndex":0},"schema":"https://github.com/citation-style-language/schema/raw/master/csl-citation.json"}</w:instrText>
      </w:r>
      <w:r>
        <w:fldChar w:fldCharType="separate"/>
      </w:r>
      <w:r w:rsidRPr="00773BF6">
        <w:rPr>
          <w:noProof/>
        </w:rPr>
        <w:t>(Morrison and Doherty, 2014; Yardley and Bradbury, 2018)</w:t>
      </w:r>
      <w:r>
        <w:fldChar w:fldCharType="end"/>
      </w:r>
      <w:r>
        <w:t xml:space="preserve"> </w:t>
      </w:r>
      <w:r w:rsidRPr="00907577">
        <w:t>and</w:t>
      </w:r>
      <w:r>
        <w:t>, as a consequence,</w:t>
      </w:r>
      <w:r w:rsidRPr="00907577">
        <w:t xml:space="preserve"> how the design choices of the system will affect </w:t>
      </w:r>
      <w:r>
        <w:t>its</w:t>
      </w:r>
      <w:r w:rsidRPr="00907577">
        <w:t xml:space="preserve"> usability.  </w:t>
      </w:r>
      <w:r>
        <w:t xml:space="preserve">Features </w:t>
      </w:r>
      <w:r w:rsidRPr="00907577">
        <w:t>such as layout, colours, content formatting, navigation</w:t>
      </w:r>
      <w:r>
        <w:t xml:space="preserve"> </w:t>
      </w:r>
      <w:r w:rsidRPr="00907577">
        <w:t>and flow can all affect how a user feels about a system</w:t>
      </w:r>
      <w:r>
        <w:t xml:space="preserve"> and how they interact with its content</w:t>
      </w:r>
      <w:r>
        <w:rPr>
          <w:i/>
          <w:noProof/>
        </w:rPr>
        <w:t xml:space="preserve"> </w:t>
      </w:r>
      <w:r>
        <w:fldChar w:fldCharType="begin" w:fldLock="1"/>
      </w:r>
      <w:r>
        <w:instrText>ADDIN CSL_CITATION {"citationItems":[{"id":"ITEM-1","itemData":{"DOI":"10.1016/J.INVENT.2018.03.006","ISSN":"2214-7829","abstract":"Choices in the design and delivery of digital health behaviour interventions may have a direct influence on subsequent usage and engagement. Few studies have been able to make direct, detailed comparisons of differences in usage between interventions that are delivered via web or app. This study compared the usage of two versions of a digital stress management intervention, one delivered via a website (Healthy Paths) and the other delivered via an app (Healthy Mind). Design modifications were introduced within Healthy Mind to take account of reported differences in how individuals engage with websites compared to apps and mobile phones. Data were collected as part of an observational study nested within a broader exploratory trial of Healthy Mind. Objective usage of Healthy Paths and Healthy Mind were automatically recorded, including frequency and duration of logins, access to specific components within the intervention and order of page/screen visits. Usage was compared for a two week period following initial registration. In total, 381 participants completed the registration process for Healthy Paths (web) and 162 participants completed the registration process for Healthy Mind (app). App users logged in twice as often (Mdn = 2.00) as web users (Mdn = 1.00), U = 13,059.50, p ≤ 0.001, but spent half as much time (Mdn = 5.23 min) on the intervention compared to web users (Mdn = 10.52 min), U = 19,740.00, p ≤ 0.001. Visual exploration of usage patterns over time revealed that a significantly higher proportion of app users (n = 126, 82.35%) accessed both types of support available within the intervention (i.e. awareness and change-focused tools) compared to web users (n = 92, 40.17%), χ2(1, n = 382) = 66.60, p &lt; 0.001. This study suggests that the digital platform used to deliver an intervention (i.e. web versus app) and specific design choices (e.g. navigation, length and volume of content) may be associated with differences in how the intervention content is used. Broad summative usage data (e.g. total time spent on the intervention) may mask important differences in how an intervention is used by different user groups if it is not complemented by more fine-grained analyses of usage patterns over time. Trial registration number: ISRCTN67177737.","author":[{"dropping-particle":"","family":"Morrison","given":"Leanne G.","non-dropping-particle":"","parse-names":false,"suffix":""},{"dropping-particle":"","family":"Geraghty","given":"Adam W.A.","non-dropping-particle":"","parse-names":false,"suffix":""},{"dropping-particle":"","family":"Lloyd","given":"Scott","non-dropping-particle":"","parse-names":false,"suffix":""},{"dropping-particle":"","family":"Goodman","given":"Natalie","non-dropping-particle":"","parse-names":false,"suffix":""},{"dropping-particle":"","family":"Michaelides","given":"Danius T.","non-dropping-particle":"","parse-names":false,"suffix":""},{"dropping-particle":"","family":"Hargood","given":"Charlie","non-dropping-particle":"","parse-names":false,"suffix":""},{"dropping-particle":"","family":"Weal","given":"Mark","non-dropping-particle":"","parse-names":false,"suffix":""},{"dropping-particle":"","family":"Yardley","given":"Lucy","non-dropping-particle":"","parse-names":false,"suffix":""}],"container-title":"Internet Interventions","id":"ITEM-1","issued":{"date-parts":[["2018","6","1"]]},"page":"74-82","publisher":"Elsevier","title":"Comparing usage of a web and app stress management intervention: An observational study","type":"article-journal","volume":"12"},"uris":["http://www.mendeley.com/documents/?uuid=4361103f-f64c-358d-b5ef-2de3e3b086a8"]}],"mendeley":{"formattedCitation":"(Morrison &lt;i&gt;et al.&lt;/i&gt;, 2018)","plainTextFormattedCitation":"(Morrison et al., 2018)","previouslyFormattedCitation":"(Morrison &lt;i&gt;et al.&lt;/i&gt;, 2018)"},"properties":{"noteIndex":0},"schema":"https://github.com/citation-style-language/schema/raw/master/csl-citation.json"}</w:instrText>
      </w:r>
      <w:r>
        <w:fldChar w:fldCharType="separate"/>
      </w:r>
      <w:r w:rsidRPr="00A07828">
        <w:rPr>
          <w:noProof/>
        </w:rPr>
        <w:t xml:space="preserve">(Morrison </w:t>
      </w:r>
      <w:r w:rsidRPr="00A07828">
        <w:rPr>
          <w:i/>
          <w:noProof/>
        </w:rPr>
        <w:t>et al.</w:t>
      </w:r>
      <w:r w:rsidRPr="00A07828">
        <w:rPr>
          <w:noProof/>
        </w:rPr>
        <w:t>, 2018)</w:t>
      </w:r>
      <w:r>
        <w:fldChar w:fldCharType="end"/>
      </w:r>
      <w:r w:rsidRPr="00907577">
        <w:t xml:space="preserve">.  </w:t>
      </w:r>
      <w:r>
        <w:t>For instance, c</w:t>
      </w:r>
      <w:r w:rsidRPr="00907577">
        <w:t>olours have been shown to affect how users interact with a system</w:t>
      </w:r>
      <w:r>
        <w:t xml:space="preserve">, to </w:t>
      </w:r>
      <w:r w:rsidRPr="00907577">
        <w:t>influence</w:t>
      </w:r>
      <w:r>
        <w:t xml:space="preserve"> </w:t>
      </w:r>
      <w:r w:rsidRPr="00907577">
        <w:t xml:space="preserve">behaviours and </w:t>
      </w:r>
      <w:r>
        <w:t xml:space="preserve">to effect </w:t>
      </w:r>
      <w:r w:rsidRPr="00907577">
        <w:t xml:space="preserve">cognitive process such as memorising information presented to them </w:t>
      </w:r>
      <w:r w:rsidRPr="00907577">
        <w:fldChar w:fldCharType="begin" w:fldLock="1"/>
      </w:r>
      <w:r>
        <w:instrText>ADDIN CSL_CITATION {"citationItems":[{"id":"ITEM-1","itemData":{"DOI":"10.1016/J.DISPLA.2010.12.002","ISSN":"0141-9382","abstract":"One of the challenges today in human–computer interaction is to design systems that are not only usable but also appealing to users. In order to contribute to meet this challenge, our general objective in the present study was to enhance current understanding of the perceptual features that favour users’ interactions with Websites. This is a particularly important issue, as users’ first impressions when they land on a site determine whether or not they stay on it. We conducted two experimental studies, focusing on one specific perceptual feature: Website colour. The first study investigated designers’ and users’ preferred colours for a Web homepage. Although researchers generally flag up differences between designers and users, we found that the latter also had several favourite colours in common. On the basis of these initial results, three colours were selected for a second study exploring colour in relation to an entire Website. The main originality of this second study lays in the fact that we used both subjective and objective measurements to gauge the impact of colour, analyzing not only users’ judgments but also their Website navigation and the items of information they memorized. Results of this second study showed that colours were a determining factor in the way that users interacted with the Website. Their influence was also observed afterwards, when users were asked to exploit the information they had gleaned from the Website. As such, these findings will have a practical value for Website designers.","author":[{"dropping-particle":"","family":"Bonnardel","given":"Nathalie","non-dropping-particle":"","parse-names":false,"suffix":""},{"dropping-particle":"","family":"Piolat","given":"Annie","non-dropping-particle":"","parse-names":false,"suffix":""},{"dropping-particle":"","family":"Bigot","given":"Ludovic","non-dropping-particle":"Le","parse-names":false,"suffix":""}],"container-title":"Displays","id":"ITEM-1","issue":"2","issued":{"date-parts":[["2011","4","1"]]},"page":"69-80","publisher":"Elsevier","title":"The impact of colour on Website appeal and users’ cognitive processes","type":"article-journal","volume":"32"},"uris":["http://www.mendeley.com/documents/?uuid=1713bea4-d830-3a28-967f-6658a7d02e8a"]}],"mendeley":{"formattedCitation":"(Bonnardel, Piolat and Le Bigot, 2011)","plainTextFormattedCitation":"(Bonnardel, Piolat and Le Bigot, 2011)","previouslyFormattedCitation":"(Bonnardel, Piolat and Le Bigot, 2011)"},"properties":{"noteIndex":0},"schema":"https://github.com/citation-style-language/schema/raw/master/csl-citation.json"}</w:instrText>
      </w:r>
      <w:r w:rsidRPr="00907577">
        <w:fldChar w:fldCharType="separate"/>
      </w:r>
      <w:r w:rsidRPr="00907577">
        <w:rPr>
          <w:noProof/>
        </w:rPr>
        <w:t>(Bonnardel, Piolat and Le Bigot, 2011)</w:t>
      </w:r>
      <w:r w:rsidRPr="00907577">
        <w:fldChar w:fldCharType="end"/>
      </w:r>
      <w:r w:rsidRPr="00907577">
        <w:t>.</w:t>
      </w:r>
      <w:r>
        <w:t xml:space="preserve"> </w:t>
      </w:r>
      <w:r w:rsidR="001F5564">
        <w:t xml:space="preserve"> </w:t>
      </w:r>
      <w:r>
        <w:t xml:space="preserve">More specifically in this context, the question of the possible </w:t>
      </w:r>
      <w:r w:rsidRPr="000622ED">
        <w:t>effect</w:t>
      </w:r>
      <w:r>
        <w:t>s of</w:t>
      </w:r>
      <w:r w:rsidRPr="000622ED">
        <w:t xml:space="preserve"> usability on</w:t>
      </w:r>
      <w:r>
        <w:t xml:space="preserve"> aspects of</w:t>
      </w:r>
      <w:r w:rsidRPr="000622ED">
        <w:t xml:space="preserve"> engagement, adherence, attrition, </w:t>
      </w:r>
      <w:r>
        <w:t>the therapeutic</w:t>
      </w:r>
      <w:r w:rsidRPr="000622ED">
        <w:t xml:space="preserve"> alliance</w:t>
      </w:r>
      <w:r>
        <w:t xml:space="preserve"> and other </w:t>
      </w:r>
      <w:r w:rsidRPr="000622ED">
        <w:t>aspects of e-therapy</w:t>
      </w:r>
      <w:r>
        <w:t xml:space="preserve"> is crucial and worthy of extensive further study</w:t>
      </w:r>
      <w:r w:rsidR="00554CB4">
        <w:t xml:space="preserve">.  </w:t>
      </w:r>
      <w:r>
        <w:t xml:space="preserve">Since this body of work began, a number of large, international, multi-site trials have included usability scales in their measures </w:t>
      </w:r>
      <w:r>
        <w:fldChar w:fldCharType="begin" w:fldLock="1"/>
      </w:r>
      <w:r>
        <w:instrText>ADDIN CSL_CITATION {"citationItems":[{"id":"ITEM-1","itemData":{"DOI":"10.1186/s13063-016-1511-1","ISSN":"1745-6215","abstract":"Effective, accessible, and affordable depression treatment is of high importance considering the large personal and economic burden of depression. Internet-based treatment is considered a promising clinical and cost-effective alternative to current routine depression treatment strategies such as face-to-face psychotherapy. However, it is not clear whether research findings translate to routine clinical practice such as primary or specialized mental health care. The E-COMPARED project aims to gain knowledge on the clinical and cost-effectiveness of blended depression treatment compared to treatment-as-usual in routine care. E-COMPARED will employ a pragmatic, multinational, randomized controlled, non-inferiority trial in eight European countries. Adults diagnosed with major depressive disorder (MDD) will be recruited in primary care (Germany, Poland, Spain, Sweden, and the United Kingdom) or specialized mental health care (France, The Netherlands, and Switzerland). Regular care for depression is compared to “blended” service delivery combining mobile and Internet technologies with face-to-face treatment in one treatment protocol. Participants will be followed up at 3, 6, and 12 months after baseline to determine clinical improvements in symptoms of depression (primary outcome: Patient Health Questionnaire-9), remission of depression, and cost-effectiveness. Main analyses will be conducted on the pooled data from the eight countries (n = 1200 in total, 150 participants in each country). The E-COMPARED project will provide mental health care stakeholders with evidence-based information and recommendations on the clinical and cost-effectiveness of blended depression treatment. France: ClinicalTrials.gov \n                    NCT02542891\n                    \n                  . Registered on 4 September 2015; Germany: German Clinical Trials Register \n                    DRKS00006866\n                    \n                  . Registered on 2 December 2014; The Netherlands: Netherlands Trials Register \n                    NTR4962\n                    \n                  . Registered on 5 January 2015; Poland: ClinicalTrials.Gov \n                    NCT02389660\n                    \n                  . Registered on 18 February 2015; Spain: ClinicalTrials.gov \n                    NCT02361684\n                    \n                  . Registered on 8 January 2015; Sweden: ClinicalTrials.gov \n                    NCT02449447\n                    \n                  . Regist…","author":[{"dropping-particle":"","family":"Kleiboer","given":"Annet","non-dropping-particle":"","parse-names":false,"suffix":""},{"dropping-particle":"","family":"Smit","given":"Jan","non-dropping-particle":"","parse-names":false,"suffix":""},{"dropping-particle":"","family":"Bosmans","given":"Judith","non-dropping-particle":"","parse-names":false,"suffix":""},{"dropping-particle":"","family":"Ruwaard","given":"Jeroen","non-dropping-particle":"","parse-names":false,"suffix":""},{"dropping-particle":"","family":"Andersson","given":"Gerhard","non-dropping-particle":"","parse-names":false,"suffix":""},{"dropping-particle":"","family":"Topooco","given":"Naira","non-dropping-particle":"","parse-names":false,"suffix":""},{"dropping-particle":"","family":"Berger","given":"Thomas","non-dropping-particle":"","parse-names":false,"suffix":""},{"dropping-particle":"","family":"Krieger","given":"Tobias","non-dropping-particle":"","parse-names":false,"suffix":""},{"dropping-particle":"","family":"Botella","given":"Cristina","non-dropping-particle":"","parse-names":false,"suffix":""},{"dropping-particle":"","family":"Baños","given":"Rosa","non-dropping-particle":"","parse-names":false,"suffix":""},{"dropping-particle":"","family":"Chevreul","given":"Karine","non-dropping-particle":"","parse-names":false,"suffix":""},{"dropping-particle":"","family":"Araya","given":"Ricardo","non-dropping-particle":"","parse-names":false,"suffix":""},{"dropping-particle":"","family":"Cerga-Pashoja","given":"Arlinda","non-dropping-particle":"","parse-names":false,"suffix":""},{"dropping-particle":"","family":"Cieślak","given":"Roman","non-dropping-particle":"","parse-names":false,"suffix":""},{"dropping-particle":"","family":"Rogala","given":"Anna","non-dropping-particle":"","parse-names":false,"suffix":""},{"dropping-particle":"","family":"Vis","given":"Christiaan","non-dropping-particle":"","parse-names":false,"suffix":""},{"dropping-particle":"","family":"Draisma","given":"Stasja","non-dropping-particle":"","parse-names":false,"suffix":""},{"dropping-particle":"","family":"Schaik","given":"Anneke","non-dropping-particle":"van","parse-names":false,"suffix":""},{"dropping-particle":"","family":"Kemmeren","given":"Lise","non-dropping-particle":"","parse-names":false,"suffix":""},{"dropping-particle":"","family":"Ebert","given":"David","non-dropping-particle":"","parse-names":false,"suffix":""},{"dropping-particle":"","family":"Berking","given":"Matthias","non-dropping-particle":"","parse-names":false,"suffix":""},{"dropping-particle":"","family":"Funk","given":"Burkhardt","non-dropping-particle":"","parse-names":false,"suffix":""},{"dropping-particle":"","family":"Cuijpers","given":"Pim","non-dropping-particle":"","parse-names":false,"suffix":""},{"dropping-particle":"","family":"Riper","given":"Heleen","non-dropping-particle":"","parse-names":false,"suffix":""}],"container-title":"Trials","id":"ITEM-1","issue":"1","issued":{"date-parts":[["2016","12","3"]]},"page":"387","publisher":"BioMed Central","title":"European COMPARative Effectiveness research on blended Depression treatment versus treatment-as-usual (E-COMPARED): study protocol for a randomized controlled, non-inferiority trial in eight European countries","type":"article-journal","volume":"17"},"uris":["http://www.mendeley.com/documents/?uuid=dd37427c-ff6b-3d62-a674-06d5d743002c"]},{"id":"ITEM-2","itemData":{"DOI":"10.1016/J.INVENT.2015.10.002","ISSN":"2214-7829","abstract":"BACKGROUND\nDepressive disorder is a major societal challenge. Despite the availability of clinically and cost-effective treatments including Internet interventions, the number of patients receiving treatment is limited. Evidence-based Internet interventions promise wide availability and high efficiency of treatments. However, these interventions often do not enter routine mental healthcare delivery at a large scale. The MasterMind project aims to provide insight into the factors that promote or hinder the uptake and implementation of evidence-based Internet interventions by mental healthcare practice. Internet-based Cognitive Behaviour Therapy (iCBT) and videoconferencing facilitating collaborative care (ccVC) will be implemented in routine mental healthcare. The services will be offered to 5230 depressed adults in 15 European regions. The current paper describes the evaluation protocol for this large-scale implementation project. \n\nDESIGN\nCurrent summative evaluation study follows a naturalistic one-group pretest–posttest design and assesses three distinct stakeholders: patients, mental healthcare professionals, and mental healthcare organisations. The Model for Assessment of Telemedicine applications (MAST) will be employed to structure the implementation and evaluation study. The primary focal points of interest are reach, clinical effect, acceptability, appropriateness, implementation costs, and sustainability of the interventions in practice. Mixed-methods are used to provide an understanding of what (quantitative) the implementation projects have achieved and their meaning to various stakeholders (qualitative). \n\nDISCUSSION\nThe use of Internet interventions in routine practice is limited. MasterMind attempts to bridge the gap between routine practice and effectiveness research by evaluating the implementation of evidence-based Internet interventions for depressive disorders in routine mental healthcare settings in Europe.","author":[{"dropping-particle":"","family":"Vis","given":"Christiaan","non-dropping-particle":"","parse-names":false,"suffix":""},{"dropping-particle":"","family":"Kleiboer","given":"Annet","non-dropping-particle":"","parse-names":false,"suffix":""},{"dropping-particle":"","family":"Prior","given":"Reinhard","non-dropping-particle":"","parse-names":false,"suffix":""},{"dropping-particle":"","family":"Bønes","given":"Erland","non-dropping-particle":"","parse-names":false,"suffix":""},{"dropping-particle":"","family":"Cavallo","given":"Marco","non-dropping-particle":"","parse-names":false,"suffix":""},{"dropping-particle":"","family":"Clark","given":"Stella Anne","non-dropping-particle":"","parse-names":false,"suffix":""},{"dropping-particle":"","family":"Dozeman","given":"Els","non-dropping-particle":"","parse-names":false,"suffix":""},{"dropping-particle":"","family":"Ebert","given":"David","non-dropping-particle":"","parse-names":false,"suffix":""},{"dropping-particle":"","family":"Etzelmueller","given":"Anne","non-dropping-particle":"","parse-names":false,"suffix":""},{"dropping-particle":"","family":"Favaretto","given":"Gerardo","non-dropping-particle":"","parse-names":false,"suffix":""},{"dropping-particle":"","family":"Zabala","given":"Ane Fullaondo","non-dropping-particle":"","parse-names":false,"suffix":""},{"dropping-particle":"","family":"Kolstrup","given":"Nils","non-dropping-particle":"","parse-names":false,"suffix":""},{"dropping-particle":"","family":"Mancin","given":"Silvia","non-dropping-particle":"","parse-names":false,"suffix":""},{"dropping-particle":"","family":"Mathiassen","given":"Kim","non-dropping-particle":"","parse-names":false,"suffix":""},{"dropping-particle":"","family":"Myrbakk","given":"Vemund Nordnes","non-dropping-particle":"","parse-names":false,"suffix":""},{"dropping-particle":"","family":"Mol","given":"Mayke","non-dropping-particle":"","parse-names":false,"suffix":""},{"dropping-particle":"","family":"Jimenez","given":"Jordi Piera","non-dropping-particle":"","parse-names":false,"suffix":""},{"dropping-particle":"","family":"Power","given":"Kevin","non-dropping-particle":"","parse-names":false,"suffix":""},{"dropping-particle":"","family":"Schaik","given":"Anneke","non-dropping-particle":"van","parse-names":false,"suffix":""},{"dropping-particle":"","family":"Wright","given":"Chris","non-dropping-particle":"","parse-names":false,"suffix":""},{"dropping-particle":"","family":"Zanalda","given":"Enrico","non-dropping-particle":"","parse-names":false,"suffix":""},{"dropping-particle":"","family":"Pederson","given":"Claus Duedal","non-dropping-particle":"","parse-names":false,"suffix":""},{"dropping-particle":"","family":"Smit","given":"Jan","non-dropping-particle":"","parse-names":false,"suffix":""},{"dropping-particle":"","family":"Riper","given":"Heleen","non-dropping-particle":"","parse-names":false,"suffix":""}],"container-title":"Internet Interventions","id":"ITEM-2","issue":"4","issued":{"date-parts":[["2015","11","1"]]},"page":"399-409","publisher":"Elsevier","title":"Implementing and up-scaling evidence-based eMental health in Europe: The study protocol for the MasterMind project","type":"article-journal","volume":"2"},"uris":["http://www.mendeley.com/documents/?uuid=536aab09-08d1-30c4-a172-c452487f8e0f"]}],"mendeley":{"formattedCitation":"(Vis &lt;i&gt;et al.&lt;/i&gt;, 2015; Kleiboer &lt;i&gt;et al.&lt;/i&gt;, 2016)","plainTextFormattedCitation":"(Vis et al., 2015; Kleiboer et al., 2016)","previouslyFormattedCitation":"(Vis &lt;i&gt;et al.&lt;/i&gt;, 2015; Kleiboer &lt;i&gt;et al.&lt;/i&gt;, 2016)"},"properties":{"noteIndex":0},"schema":"https://github.com/citation-style-language/schema/raw/master/csl-citation.json"}</w:instrText>
      </w:r>
      <w:r>
        <w:fldChar w:fldCharType="separate"/>
      </w:r>
      <w:r w:rsidRPr="00E771AF">
        <w:rPr>
          <w:noProof/>
        </w:rPr>
        <w:t xml:space="preserve">(Vis </w:t>
      </w:r>
      <w:r w:rsidRPr="00E771AF">
        <w:rPr>
          <w:i/>
          <w:noProof/>
        </w:rPr>
        <w:t>et al.</w:t>
      </w:r>
      <w:r w:rsidRPr="00E771AF">
        <w:rPr>
          <w:noProof/>
        </w:rPr>
        <w:t xml:space="preserve">, 2015; Kleiboer </w:t>
      </w:r>
      <w:r w:rsidRPr="00E771AF">
        <w:rPr>
          <w:i/>
          <w:noProof/>
        </w:rPr>
        <w:t>et al.</w:t>
      </w:r>
      <w:r w:rsidRPr="00E771AF">
        <w:rPr>
          <w:noProof/>
        </w:rPr>
        <w:t>, 2016)</w:t>
      </w:r>
      <w:r>
        <w:fldChar w:fldCharType="end"/>
      </w:r>
      <w:r>
        <w:t xml:space="preserve">. </w:t>
      </w:r>
      <w:r w:rsidR="001F5564">
        <w:t xml:space="preserve"> </w:t>
      </w:r>
      <w:r>
        <w:t>While this is undoubtedly a step in the right direction, it is also imperative that smaller and less ambitious studies also consider the role of usability, how it relates to other variables and as to whether it is a cause or consequence.</w:t>
      </w:r>
    </w:p>
    <w:p w14:paraId="4982CAF6" w14:textId="77777777" w:rsidR="00222D6B" w:rsidRDefault="00222D6B">
      <w:pPr>
        <w:spacing w:line="259" w:lineRule="auto"/>
        <w:rPr>
          <w:rFonts w:asciiTheme="majorHAnsi" w:eastAsiaTheme="majorEastAsia" w:hAnsiTheme="majorHAnsi" w:cstheme="majorBidi"/>
          <w:b/>
          <w:bCs/>
          <w:smallCaps/>
          <w:color w:val="000000" w:themeColor="text1"/>
          <w:sz w:val="28"/>
          <w:szCs w:val="28"/>
        </w:rPr>
      </w:pPr>
      <w:bookmarkStart w:id="588" w:name="_Toc530660589"/>
      <w:r>
        <w:br w:type="page"/>
      </w:r>
    </w:p>
    <w:p w14:paraId="6E322CB2" w14:textId="1B092951" w:rsidR="007A529B" w:rsidRDefault="007A529B" w:rsidP="007A529B">
      <w:pPr>
        <w:pStyle w:val="Heading2"/>
      </w:pPr>
      <w:bookmarkStart w:id="589" w:name="_Toc3538192"/>
      <w:r>
        <w:lastRenderedPageBreak/>
        <w:t>Conclusions</w:t>
      </w:r>
      <w:bookmarkEnd w:id="588"/>
      <w:bookmarkEnd w:id="589"/>
    </w:p>
    <w:p w14:paraId="15E9A4AC" w14:textId="46DC0D08" w:rsidR="007A529B" w:rsidRPr="00D26D7F" w:rsidRDefault="007A529B" w:rsidP="007A529B">
      <w:r w:rsidRPr="00D26D7F">
        <w:t>In conclusion, this thesis has discussed the provision of e-therapy by NHS England in 2015: how developers go about developing e</w:t>
      </w:r>
      <w:r w:rsidRPr="00D26D7F">
        <w:noBreakHyphen/>
        <w:t>therapy applications, who is involved in their development, and what evidence they offer as to their effectiveness.</w:t>
      </w:r>
      <w:r w:rsidR="001F5564">
        <w:t xml:space="preserve"> </w:t>
      </w:r>
      <w:r w:rsidRPr="00D26D7F">
        <w:t xml:space="preserve"> One of the apparent weaknesses in current provision is the lack of offerings that have been tested for effectiveness with older adults</w:t>
      </w:r>
      <w:r w:rsidR="00554CB4">
        <w:t xml:space="preserve">.  </w:t>
      </w:r>
      <w:r w:rsidRPr="00D26D7F">
        <w:t>Consequently, this thesis investigated whether a conversational agent for problem solving would represent an intervention that is acceptable to older adults, while also examining whether interface enhancements can improve acceptability, effectiveness and usability.</w:t>
      </w:r>
      <w:r w:rsidR="001F5564">
        <w:t xml:space="preserve"> </w:t>
      </w:r>
      <w:r w:rsidRPr="00D26D7F">
        <w:t xml:space="preserve"> The results of this work, also presented in this thesis, suggest that the enhancements added may not have altered the treatment credibility or therapeutic relationship of the agent but may have improved participants understanding of the underlying therapy delivered by the agent.  It was also found that both the enhanced versions of the agent showed significant decreases in depression over time.  Also reported here are the findings of a study which found associations between usability and other important factors related to the acceptability of e-therapies such as treatment credibility and the therapeutic alliance</w:t>
      </w:r>
      <w:r w:rsidR="00554CB4">
        <w:t xml:space="preserve">.  </w:t>
      </w:r>
      <w:r w:rsidRPr="00D26D7F">
        <w:t>It was found that higher usability was related to perceiving MYLO as more helpful, gaining greater problem resolution from using MYLO, higher likelihood of using MYLO again, higher treatment credibility of MYLO, a better therapeutic alliance with MYLO and a higher therapeutic alliance regarding the tasks of therapy.</w:t>
      </w:r>
    </w:p>
    <w:p w14:paraId="3F5F25A3" w14:textId="77777777" w:rsidR="007A529B" w:rsidRPr="00D26D7F" w:rsidRDefault="007A529B" w:rsidP="007A529B">
      <w:r w:rsidRPr="00D26D7F">
        <w:t>It is clear that this is a field that is still in its infancy, and there remains much work to do to understand how the potential offered by the internet, the web and connected devices can be harnessed to improve the mental health of the population at large.</w:t>
      </w:r>
    </w:p>
    <w:p w14:paraId="4033BF2C" w14:textId="77777777" w:rsidR="007A529B" w:rsidRPr="000F7399" w:rsidRDefault="007A529B" w:rsidP="007A529B">
      <w:r w:rsidRPr="00D26D7F">
        <w:t>It is hoped that this body of work can serve as a springboard for future research into usability, how it affects the use of e-therapies and whether the relationships reported within this thesis are corroborated across other therapies and populations.</w:t>
      </w:r>
    </w:p>
    <w:p w14:paraId="6A258B6D" w14:textId="414BB624" w:rsidR="00646664" w:rsidRDefault="00646664" w:rsidP="00646664">
      <w:pPr>
        <w:sectPr w:rsidR="00646664" w:rsidSect="00452C07">
          <w:pgSz w:w="11906" w:h="16838"/>
          <w:pgMar w:top="851" w:right="851" w:bottom="851" w:left="1134" w:header="708" w:footer="708" w:gutter="0"/>
          <w:cols w:space="708"/>
          <w:docGrid w:linePitch="360"/>
        </w:sectPr>
      </w:pPr>
    </w:p>
    <w:p w14:paraId="71EF98A8" w14:textId="77777777" w:rsidR="00210807" w:rsidRDefault="00210807" w:rsidP="00210807">
      <w:pPr>
        <w:pStyle w:val="Heading1"/>
        <w:numPr>
          <w:ilvl w:val="0"/>
          <w:numId w:val="0"/>
        </w:numPr>
        <w:ind w:left="432" w:hanging="432"/>
        <w:rPr>
          <w:shd w:val="clear" w:color="auto" w:fill="FFFFFF"/>
        </w:rPr>
      </w:pPr>
      <w:bookmarkStart w:id="590" w:name="_Toc3538193"/>
      <w:bookmarkStart w:id="591" w:name="_Toc530598229"/>
      <w:bookmarkStart w:id="592" w:name="_Toc530660590"/>
      <w:r>
        <w:rPr>
          <w:shd w:val="clear" w:color="auto" w:fill="FFFFFF"/>
        </w:rPr>
        <w:lastRenderedPageBreak/>
        <w:t>Bibliography</w:t>
      </w:r>
      <w:bookmarkEnd w:id="590"/>
    </w:p>
    <w:p w14:paraId="426153BB" w14:textId="051F363B" w:rsidR="00734178" w:rsidRPr="00734178" w:rsidRDefault="00210807" w:rsidP="00734178">
      <w:pPr>
        <w:widowControl w:val="0"/>
        <w:autoSpaceDE w:val="0"/>
        <w:autoSpaceDN w:val="0"/>
        <w:adjustRightInd w:val="0"/>
        <w:rPr>
          <w:rFonts w:ascii="Calibri" w:hAnsi="Calibri" w:cs="Calibri"/>
          <w:noProof/>
          <w:szCs w:val="24"/>
        </w:rPr>
      </w:pPr>
      <w:r>
        <w:fldChar w:fldCharType="begin" w:fldLock="1"/>
      </w:r>
      <w:r>
        <w:instrText xml:space="preserve">ADDIN Mendeley Bibliography CSL_BIBLIOGRAPHY </w:instrText>
      </w:r>
      <w:r>
        <w:fldChar w:fldCharType="separate"/>
      </w:r>
      <w:r w:rsidR="00734178" w:rsidRPr="00734178">
        <w:rPr>
          <w:rFonts w:ascii="Calibri" w:hAnsi="Calibri" w:cs="Calibri"/>
          <w:noProof/>
          <w:szCs w:val="24"/>
        </w:rPr>
        <w:t xml:space="preserve">Abi Global Health Limited (2018) </w:t>
      </w:r>
      <w:r w:rsidR="00734178" w:rsidRPr="00734178">
        <w:rPr>
          <w:rFonts w:ascii="Calibri" w:hAnsi="Calibri" w:cs="Calibri"/>
          <w:i/>
          <w:iCs/>
          <w:noProof/>
          <w:szCs w:val="24"/>
        </w:rPr>
        <w:t>Abi — Fast Help From Friendly Doctors</w:t>
      </w:r>
      <w:r w:rsidR="00734178" w:rsidRPr="00734178">
        <w:rPr>
          <w:rFonts w:ascii="Calibri" w:hAnsi="Calibri" w:cs="Calibri"/>
          <w:noProof/>
          <w:szCs w:val="24"/>
        </w:rPr>
        <w:t>. Available at: https://abi.ai/ (Accessed: 6 April 2018).</w:t>
      </w:r>
    </w:p>
    <w:p w14:paraId="2AD5FCF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Ada Health Gmbh (2018) </w:t>
      </w:r>
      <w:r w:rsidRPr="00734178">
        <w:rPr>
          <w:rFonts w:ascii="Calibri" w:hAnsi="Calibri" w:cs="Calibri"/>
          <w:i/>
          <w:iCs/>
          <w:noProof/>
          <w:szCs w:val="24"/>
        </w:rPr>
        <w:t>Ada - Personal Health Companion App</w:t>
      </w:r>
      <w:r w:rsidRPr="00734178">
        <w:rPr>
          <w:rFonts w:ascii="Calibri" w:hAnsi="Calibri" w:cs="Calibri"/>
          <w:noProof/>
          <w:szCs w:val="24"/>
        </w:rPr>
        <w:t>. Available at: https://ada.com/ (Accessed: 6 April 2018).</w:t>
      </w:r>
    </w:p>
    <w:p w14:paraId="6E561C8A"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Andersen, A. J. W. and Svensson, T. (2013) ‘Internet-based mental health services in Norway and Sweden: Characteristics and consequences’, </w:t>
      </w:r>
      <w:r w:rsidRPr="00734178">
        <w:rPr>
          <w:rFonts w:ascii="Calibri" w:hAnsi="Calibri" w:cs="Calibri"/>
          <w:i/>
          <w:iCs/>
          <w:noProof/>
          <w:szCs w:val="24"/>
        </w:rPr>
        <w:t>Administration and Policy in Mental Health and Mental Health Services Research</w:t>
      </w:r>
      <w:r w:rsidRPr="00734178">
        <w:rPr>
          <w:rFonts w:ascii="Calibri" w:hAnsi="Calibri" w:cs="Calibri"/>
          <w:noProof/>
          <w:szCs w:val="24"/>
        </w:rPr>
        <w:t>, 40, pp. 145–153. doi: 10.1007/s10488-011-0388-2.</w:t>
      </w:r>
    </w:p>
    <w:p w14:paraId="7891DCA8"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Andersson, G., Paxling, B., Roch-Norlund, P., </w:t>
      </w:r>
      <w:r w:rsidRPr="00734178">
        <w:rPr>
          <w:rFonts w:ascii="Calibri" w:hAnsi="Calibri" w:cs="Calibri"/>
          <w:i/>
          <w:iCs/>
          <w:noProof/>
          <w:szCs w:val="24"/>
        </w:rPr>
        <w:t>et al.</w:t>
      </w:r>
      <w:r w:rsidRPr="00734178">
        <w:rPr>
          <w:rFonts w:ascii="Calibri" w:hAnsi="Calibri" w:cs="Calibri"/>
          <w:noProof/>
          <w:szCs w:val="24"/>
        </w:rPr>
        <w:t xml:space="preserve"> (2012) ‘Internet-based psychodynamic versus cognitive behavioral guided self-help for generalized anxiety disorder: a randomized controlled trial.’, </w:t>
      </w:r>
      <w:r w:rsidRPr="00734178">
        <w:rPr>
          <w:rFonts w:ascii="Calibri" w:hAnsi="Calibri" w:cs="Calibri"/>
          <w:i/>
          <w:iCs/>
          <w:noProof/>
          <w:szCs w:val="24"/>
        </w:rPr>
        <w:t>Psychotherapy and psychosomatics</w:t>
      </w:r>
      <w:r w:rsidRPr="00734178">
        <w:rPr>
          <w:rFonts w:ascii="Calibri" w:hAnsi="Calibri" w:cs="Calibri"/>
          <w:noProof/>
          <w:szCs w:val="24"/>
        </w:rPr>
        <w:t>. Karger Publishers, 81(6), pp. 344–55. doi: 10.1159/000339371.</w:t>
      </w:r>
    </w:p>
    <w:p w14:paraId="0ECB030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Andersson, G., Paxling, B., Wiwe, M., </w:t>
      </w:r>
      <w:r w:rsidRPr="00734178">
        <w:rPr>
          <w:rFonts w:ascii="Calibri" w:hAnsi="Calibri" w:cs="Calibri"/>
          <w:i/>
          <w:iCs/>
          <w:noProof/>
          <w:szCs w:val="24"/>
        </w:rPr>
        <w:t>et al.</w:t>
      </w:r>
      <w:r w:rsidRPr="00734178">
        <w:rPr>
          <w:rFonts w:ascii="Calibri" w:hAnsi="Calibri" w:cs="Calibri"/>
          <w:noProof/>
          <w:szCs w:val="24"/>
        </w:rPr>
        <w:t xml:space="preserve"> (2012) ‘Therapeutic alliance in guided internet-delivered cognitive behavioural treatment of depression, generalized anxiety disorder and social anxiety disorder’, </w:t>
      </w:r>
      <w:r w:rsidRPr="00734178">
        <w:rPr>
          <w:rFonts w:ascii="Calibri" w:hAnsi="Calibri" w:cs="Calibri"/>
          <w:i/>
          <w:iCs/>
          <w:noProof/>
          <w:szCs w:val="24"/>
        </w:rPr>
        <w:t>Behaviour Research and Therapy</w:t>
      </w:r>
      <w:r w:rsidRPr="00734178">
        <w:rPr>
          <w:rFonts w:ascii="Calibri" w:hAnsi="Calibri" w:cs="Calibri"/>
          <w:noProof/>
          <w:szCs w:val="24"/>
        </w:rPr>
        <w:t>, 50, pp. 544–550. doi: 10.1016/j.brat.2012.05.003.</w:t>
      </w:r>
    </w:p>
    <w:p w14:paraId="1D410AD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Andersson, G. </w:t>
      </w:r>
      <w:r w:rsidRPr="00734178">
        <w:rPr>
          <w:rFonts w:ascii="Calibri" w:hAnsi="Calibri" w:cs="Calibri"/>
          <w:i/>
          <w:iCs/>
          <w:noProof/>
          <w:szCs w:val="24"/>
        </w:rPr>
        <w:t>et al.</w:t>
      </w:r>
      <w:r w:rsidRPr="00734178">
        <w:rPr>
          <w:rFonts w:ascii="Calibri" w:hAnsi="Calibri" w:cs="Calibri"/>
          <w:noProof/>
          <w:szCs w:val="24"/>
        </w:rPr>
        <w:t xml:space="preserve"> (2014) ‘Guided Internet-based vs. face-to-face cognitive behavior therapy for psychiatric and somatic disorders: a systematic review and meta-analysis’, </w:t>
      </w:r>
      <w:r w:rsidRPr="00734178">
        <w:rPr>
          <w:rFonts w:ascii="Calibri" w:hAnsi="Calibri" w:cs="Calibri"/>
          <w:i/>
          <w:iCs/>
          <w:noProof/>
          <w:szCs w:val="24"/>
        </w:rPr>
        <w:t>World Psychiatry</w:t>
      </w:r>
      <w:r w:rsidRPr="00734178">
        <w:rPr>
          <w:rFonts w:ascii="Calibri" w:hAnsi="Calibri" w:cs="Calibri"/>
          <w:noProof/>
          <w:szCs w:val="24"/>
        </w:rPr>
        <w:t>, 13(3), pp. 288–295. doi: 10.1002/wps.20151.</w:t>
      </w:r>
    </w:p>
    <w:p w14:paraId="6349193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Andersson, G. (2016) ‘Internet-Delivered Psychological Treatments’, </w:t>
      </w:r>
      <w:r w:rsidRPr="00734178">
        <w:rPr>
          <w:rFonts w:ascii="Calibri" w:hAnsi="Calibri" w:cs="Calibri"/>
          <w:i/>
          <w:iCs/>
          <w:noProof/>
          <w:szCs w:val="24"/>
        </w:rPr>
        <w:t>Annual Review of Clinical Psychology</w:t>
      </w:r>
      <w:r w:rsidRPr="00734178">
        <w:rPr>
          <w:rFonts w:ascii="Calibri" w:hAnsi="Calibri" w:cs="Calibri"/>
          <w:noProof/>
          <w:szCs w:val="24"/>
        </w:rPr>
        <w:t>, 12(1), pp. 157–179. doi: 10.1146/annurev-clinpsy-021815-093006.</w:t>
      </w:r>
    </w:p>
    <w:p w14:paraId="065947A6"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Andersson, G. and Cuijpers, P. (2009) ‘Internet-Based and Other Computerized Psychological Treatments for Adult Depression: A Meta-Analysis’, </w:t>
      </w:r>
      <w:r w:rsidRPr="00734178">
        <w:rPr>
          <w:rFonts w:ascii="Calibri" w:hAnsi="Calibri" w:cs="Calibri"/>
          <w:i/>
          <w:iCs/>
          <w:noProof/>
          <w:szCs w:val="24"/>
        </w:rPr>
        <w:t>Cognitive Behaviour Therapy</w:t>
      </w:r>
      <w:r w:rsidRPr="00734178">
        <w:rPr>
          <w:rFonts w:ascii="Calibri" w:hAnsi="Calibri" w:cs="Calibri"/>
          <w:noProof/>
          <w:szCs w:val="24"/>
        </w:rPr>
        <w:t>.  Taylor &amp; Francis Group , 38(4), pp. 196–205. doi: 10.1080/16506070903318960.</w:t>
      </w:r>
    </w:p>
    <w:p w14:paraId="2A1E57AA"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Andreescu, C. </w:t>
      </w:r>
      <w:r w:rsidRPr="00734178">
        <w:rPr>
          <w:rFonts w:ascii="Calibri" w:hAnsi="Calibri" w:cs="Calibri"/>
          <w:i/>
          <w:iCs/>
          <w:noProof/>
          <w:szCs w:val="24"/>
        </w:rPr>
        <w:t>et al.</w:t>
      </w:r>
      <w:r w:rsidRPr="00734178">
        <w:rPr>
          <w:rFonts w:ascii="Calibri" w:hAnsi="Calibri" w:cs="Calibri"/>
          <w:noProof/>
          <w:szCs w:val="24"/>
        </w:rPr>
        <w:t xml:space="preserve"> (2007) ‘Effect of comorbid anxiety on treatment response and relapse risk in late-life depression: Controlled study’, </w:t>
      </w:r>
      <w:r w:rsidRPr="00734178">
        <w:rPr>
          <w:rFonts w:ascii="Calibri" w:hAnsi="Calibri" w:cs="Calibri"/>
          <w:i/>
          <w:iCs/>
          <w:noProof/>
          <w:szCs w:val="24"/>
        </w:rPr>
        <w:t>British Journal of Psychiatry</w:t>
      </w:r>
      <w:r w:rsidRPr="00734178">
        <w:rPr>
          <w:rFonts w:ascii="Calibri" w:hAnsi="Calibri" w:cs="Calibri"/>
          <w:noProof/>
          <w:szCs w:val="24"/>
        </w:rPr>
        <w:t>, 190(APR.), pp. 344–349. doi: 10.1192/bjp.bp.106.027169.</w:t>
      </w:r>
    </w:p>
    <w:p w14:paraId="6915DC9D"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Andrews, G. </w:t>
      </w:r>
      <w:r w:rsidRPr="00734178">
        <w:rPr>
          <w:rFonts w:ascii="Calibri" w:hAnsi="Calibri" w:cs="Calibri"/>
          <w:i/>
          <w:iCs/>
          <w:noProof/>
          <w:szCs w:val="24"/>
        </w:rPr>
        <w:t>et al.</w:t>
      </w:r>
      <w:r w:rsidRPr="00734178">
        <w:rPr>
          <w:rFonts w:ascii="Calibri" w:hAnsi="Calibri" w:cs="Calibri"/>
          <w:noProof/>
          <w:szCs w:val="24"/>
        </w:rPr>
        <w:t xml:space="preserve"> (2010) ‘Computer Therapy for the Anxiety and Depressive Disorders Is Effective, Acceptable and Practical Health Care: A Meta-Analysis’, </w:t>
      </w:r>
      <w:r w:rsidRPr="00734178">
        <w:rPr>
          <w:rFonts w:ascii="Calibri" w:hAnsi="Calibri" w:cs="Calibri"/>
          <w:i/>
          <w:iCs/>
          <w:noProof/>
          <w:szCs w:val="24"/>
        </w:rPr>
        <w:t>PLoS ONE</w:t>
      </w:r>
      <w:r w:rsidRPr="00734178">
        <w:rPr>
          <w:rFonts w:ascii="Calibri" w:hAnsi="Calibri" w:cs="Calibri"/>
          <w:noProof/>
          <w:szCs w:val="24"/>
        </w:rPr>
        <w:t>. Edited by B. T. Baune. Public Library of Science, 5(10), p. e13196. doi: 10.1371/journal.pone.0013196.</w:t>
      </w:r>
    </w:p>
    <w:p w14:paraId="06BD544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Armstrong, S. (2018) </w:t>
      </w:r>
      <w:r w:rsidRPr="00734178">
        <w:rPr>
          <w:rFonts w:ascii="Calibri" w:hAnsi="Calibri" w:cs="Calibri"/>
          <w:i/>
          <w:iCs/>
          <w:noProof/>
          <w:szCs w:val="24"/>
        </w:rPr>
        <w:t>The New Poverty</w:t>
      </w:r>
      <w:r w:rsidRPr="00734178">
        <w:rPr>
          <w:rFonts w:ascii="Calibri" w:hAnsi="Calibri" w:cs="Calibri"/>
          <w:noProof/>
          <w:szCs w:val="24"/>
        </w:rPr>
        <w:t xml:space="preserve">. Verso Books. Available at: https://books.google.co.uk/books?hl=en&amp;lr=&amp;id=H595DwAAQBAJ&amp;oi=fnd&amp;pg=PR9&amp;dq=Armstrong,+S.+(2017).+The+New+Poverty.+London:+Verso+Publishing.&amp;ots=zjlaaiSHUc&amp;sig=5q8eO-sAV2gJpGRuBEYfeagXoZk#v=onepage&amp;q=Armstrong%2C S. (2017). The New Poverty. London%3A Vers </w:t>
      </w:r>
      <w:r w:rsidRPr="00734178">
        <w:rPr>
          <w:rFonts w:ascii="Calibri" w:hAnsi="Calibri" w:cs="Calibri"/>
          <w:noProof/>
          <w:szCs w:val="24"/>
        </w:rPr>
        <w:lastRenderedPageBreak/>
        <w:t>(Accessed: 22 November 2018).</w:t>
      </w:r>
    </w:p>
    <w:p w14:paraId="2857923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Ayers, C. R. </w:t>
      </w:r>
      <w:r w:rsidRPr="00734178">
        <w:rPr>
          <w:rFonts w:ascii="Calibri" w:hAnsi="Calibri" w:cs="Calibri"/>
          <w:i/>
          <w:iCs/>
          <w:noProof/>
          <w:szCs w:val="24"/>
        </w:rPr>
        <w:t>et al.</w:t>
      </w:r>
      <w:r w:rsidRPr="00734178">
        <w:rPr>
          <w:rFonts w:ascii="Calibri" w:hAnsi="Calibri" w:cs="Calibri"/>
          <w:noProof/>
          <w:szCs w:val="24"/>
        </w:rPr>
        <w:t xml:space="preserve"> (2007) ‘Evidence-based psychological treatments for late-life anxiety.’, </w:t>
      </w:r>
      <w:r w:rsidRPr="00734178">
        <w:rPr>
          <w:rFonts w:ascii="Calibri" w:hAnsi="Calibri" w:cs="Calibri"/>
          <w:i/>
          <w:iCs/>
          <w:noProof/>
          <w:szCs w:val="24"/>
        </w:rPr>
        <w:t>Psychology and Aging</w:t>
      </w:r>
      <w:r w:rsidRPr="00734178">
        <w:rPr>
          <w:rFonts w:ascii="Calibri" w:hAnsi="Calibri" w:cs="Calibri"/>
          <w:noProof/>
          <w:szCs w:val="24"/>
        </w:rPr>
        <w:t>, 22(1), pp. 8–17. doi: 10.1037/0882-7974.22.1.8.</w:t>
      </w:r>
    </w:p>
    <w:p w14:paraId="42923BED"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Banerjee, S. K. </w:t>
      </w:r>
      <w:r w:rsidRPr="00734178">
        <w:rPr>
          <w:rFonts w:ascii="Calibri" w:hAnsi="Calibri" w:cs="Calibri"/>
          <w:i/>
          <w:iCs/>
          <w:noProof/>
          <w:szCs w:val="24"/>
        </w:rPr>
        <w:t>et al.</w:t>
      </w:r>
      <w:r w:rsidRPr="00734178">
        <w:rPr>
          <w:rFonts w:ascii="Calibri" w:hAnsi="Calibri" w:cs="Calibri"/>
          <w:noProof/>
          <w:szCs w:val="24"/>
        </w:rPr>
        <w:t xml:space="preserve"> (2017) ‘Evaluating the relative effectiveness of high-intensity and low-intensity models of behaviour change communication interventions for abortion care-seeking in Bihar and Jharkhand, India: A cross-sectional study’, </w:t>
      </w:r>
      <w:r w:rsidRPr="00734178">
        <w:rPr>
          <w:rFonts w:ascii="Calibri" w:hAnsi="Calibri" w:cs="Calibri"/>
          <w:i/>
          <w:iCs/>
          <w:noProof/>
          <w:szCs w:val="24"/>
        </w:rPr>
        <w:t>BMJ Open</w:t>
      </w:r>
      <w:r w:rsidRPr="00734178">
        <w:rPr>
          <w:rFonts w:ascii="Calibri" w:hAnsi="Calibri" w:cs="Calibri"/>
          <w:noProof/>
          <w:szCs w:val="24"/>
        </w:rPr>
        <w:t>, 7(2). doi: 10.1136/bmjopen-2016-012198.</w:t>
      </w:r>
    </w:p>
    <w:p w14:paraId="7F11C00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Bangor, A., Kortum, P. and Miller, J. (2009) ‘Determining what individual SUS scores mean: Adding an adjective rating scale’, </w:t>
      </w:r>
      <w:r w:rsidRPr="00734178">
        <w:rPr>
          <w:rFonts w:ascii="Calibri" w:hAnsi="Calibri" w:cs="Calibri"/>
          <w:i/>
          <w:iCs/>
          <w:noProof/>
          <w:szCs w:val="24"/>
        </w:rPr>
        <w:t>Journal of usability studies</w:t>
      </w:r>
      <w:r w:rsidRPr="00734178">
        <w:rPr>
          <w:rFonts w:ascii="Calibri" w:hAnsi="Calibri" w:cs="Calibri"/>
          <w:noProof/>
          <w:szCs w:val="24"/>
        </w:rPr>
        <w:t>, 4(3), pp. 114–123. doi: 66.39.39.113.</w:t>
      </w:r>
    </w:p>
    <w:p w14:paraId="67017B1A"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Bangor, A., Kortum, P. T. and Miller, J. T. (2008) ‘An empirical evaluation of the system usability scale’, </w:t>
      </w:r>
      <w:r w:rsidRPr="00734178">
        <w:rPr>
          <w:rFonts w:ascii="Calibri" w:hAnsi="Calibri" w:cs="Calibri"/>
          <w:i/>
          <w:iCs/>
          <w:noProof/>
          <w:szCs w:val="24"/>
        </w:rPr>
        <w:t>International Journal of Human-Computer Interaction</w:t>
      </w:r>
      <w:r w:rsidRPr="00734178">
        <w:rPr>
          <w:rFonts w:ascii="Calibri" w:hAnsi="Calibri" w:cs="Calibri"/>
          <w:noProof/>
          <w:szCs w:val="24"/>
        </w:rPr>
        <w:t>, 24(6), pp. 574–594. doi: 10.1080/10447310802205776.</w:t>
      </w:r>
    </w:p>
    <w:p w14:paraId="3EDC804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Barak, A., Klein, B. and Proudfoot, J. G. (2009) ‘Defining internet-supported therapeutic interventions’, </w:t>
      </w:r>
      <w:r w:rsidRPr="00734178">
        <w:rPr>
          <w:rFonts w:ascii="Calibri" w:hAnsi="Calibri" w:cs="Calibri"/>
          <w:i/>
          <w:iCs/>
          <w:noProof/>
          <w:szCs w:val="24"/>
        </w:rPr>
        <w:t>Annals of Behavioral Medicine</w:t>
      </w:r>
      <w:r w:rsidRPr="00734178">
        <w:rPr>
          <w:rFonts w:ascii="Calibri" w:hAnsi="Calibri" w:cs="Calibri"/>
          <w:noProof/>
          <w:szCs w:val="24"/>
        </w:rPr>
        <w:t>, 38(1), pp. 4–17. doi: 10.1007/s12160-009-9130-7.</w:t>
      </w:r>
    </w:p>
    <w:p w14:paraId="2C319928"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Barazzone, N., Cavanagh, K. and Richards, D. A. (2012) ‘Computerized cognitive behavioural therapy and the therapeutic alliance: A qualitative enquiry’, </w:t>
      </w:r>
      <w:r w:rsidRPr="00734178">
        <w:rPr>
          <w:rFonts w:ascii="Calibri" w:hAnsi="Calibri" w:cs="Calibri"/>
          <w:i/>
          <w:iCs/>
          <w:noProof/>
          <w:szCs w:val="24"/>
        </w:rPr>
        <w:t>British Journal of Clinical Psychology</w:t>
      </w:r>
      <w:r w:rsidRPr="00734178">
        <w:rPr>
          <w:rFonts w:ascii="Calibri" w:hAnsi="Calibri" w:cs="Calibri"/>
          <w:noProof/>
          <w:szCs w:val="24"/>
        </w:rPr>
        <w:t>. Wiley/Blackwell (10.1111), 51(4), pp. 396–417. doi: 10.1111/j.2044-8260.2012.02035.x.</w:t>
      </w:r>
    </w:p>
    <w:p w14:paraId="05CD4EF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Barnes, C. W. </w:t>
      </w:r>
      <w:r w:rsidRPr="00734178">
        <w:rPr>
          <w:rFonts w:ascii="Calibri" w:hAnsi="Calibri" w:cs="Calibri"/>
          <w:i/>
          <w:iCs/>
          <w:noProof/>
          <w:szCs w:val="24"/>
        </w:rPr>
        <w:t>et al.</w:t>
      </w:r>
      <w:r w:rsidRPr="00734178">
        <w:rPr>
          <w:rFonts w:ascii="Calibri" w:hAnsi="Calibri" w:cs="Calibri"/>
          <w:noProof/>
          <w:szCs w:val="24"/>
        </w:rPr>
        <w:t xml:space="preserve"> (2015) ‘A web-based preventive intervention program for bipolar disorder: Outcome of a 12-months randomized controlled trial’, </w:t>
      </w:r>
      <w:r w:rsidRPr="00734178">
        <w:rPr>
          <w:rFonts w:ascii="Calibri" w:hAnsi="Calibri" w:cs="Calibri"/>
          <w:i/>
          <w:iCs/>
          <w:noProof/>
          <w:szCs w:val="24"/>
        </w:rPr>
        <w:t>Journal of Affective Disorders</w:t>
      </w:r>
      <w:r w:rsidRPr="00734178">
        <w:rPr>
          <w:rFonts w:ascii="Calibri" w:hAnsi="Calibri" w:cs="Calibri"/>
          <w:noProof/>
          <w:szCs w:val="24"/>
        </w:rPr>
        <w:t>, 174, pp. 485–492. doi: 10.1016/j.jad.2014.11.038.</w:t>
      </w:r>
    </w:p>
    <w:p w14:paraId="305A9BB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Barton, A. J. (2012) ‘The regulation of mobile health applications.’, </w:t>
      </w:r>
      <w:r w:rsidRPr="00734178">
        <w:rPr>
          <w:rFonts w:ascii="Calibri" w:hAnsi="Calibri" w:cs="Calibri"/>
          <w:i/>
          <w:iCs/>
          <w:noProof/>
          <w:szCs w:val="24"/>
        </w:rPr>
        <w:t>BMC medicine</w:t>
      </w:r>
      <w:r w:rsidRPr="00734178">
        <w:rPr>
          <w:rFonts w:ascii="Calibri" w:hAnsi="Calibri" w:cs="Calibri"/>
          <w:noProof/>
          <w:szCs w:val="24"/>
        </w:rPr>
        <w:t>. BioMed Central, 10, p. 46. doi: 10.1186/1741-7015-10-46.</w:t>
      </w:r>
    </w:p>
    <w:p w14:paraId="1F139FD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Bauer, J. and Murphy, R. (2017) </w:t>
      </w:r>
      <w:r w:rsidRPr="00734178">
        <w:rPr>
          <w:rFonts w:ascii="Calibri" w:hAnsi="Calibri" w:cs="Calibri"/>
          <w:i/>
          <w:iCs/>
          <w:noProof/>
          <w:szCs w:val="24"/>
        </w:rPr>
        <w:t>Apps library is advance for a digital NHS</w:t>
      </w:r>
      <w:r w:rsidRPr="00734178">
        <w:rPr>
          <w:rFonts w:ascii="Calibri" w:hAnsi="Calibri" w:cs="Calibri"/>
          <w:noProof/>
          <w:szCs w:val="24"/>
        </w:rPr>
        <w:t xml:space="preserve">, </w:t>
      </w:r>
      <w:r w:rsidRPr="00734178">
        <w:rPr>
          <w:rFonts w:ascii="Calibri" w:hAnsi="Calibri" w:cs="Calibri"/>
          <w:i/>
          <w:iCs/>
          <w:noProof/>
          <w:szCs w:val="24"/>
        </w:rPr>
        <w:t>NHS England</w:t>
      </w:r>
      <w:r w:rsidRPr="00734178">
        <w:rPr>
          <w:rFonts w:ascii="Calibri" w:hAnsi="Calibri" w:cs="Calibri"/>
          <w:noProof/>
          <w:szCs w:val="24"/>
        </w:rPr>
        <w:t>. Available at: https://www.england.nhs.uk/blog/apps-library-is-advance-for-a-digital-nhs/ (Accessed: 10 February 2018).</w:t>
      </w:r>
    </w:p>
    <w:p w14:paraId="4EE8642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Beaumont, J. and Lofts, H. (2013) </w:t>
      </w:r>
      <w:r w:rsidRPr="00734178">
        <w:rPr>
          <w:rFonts w:ascii="Calibri" w:hAnsi="Calibri" w:cs="Calibri"/>
          <w:i/>
          <w:iCs/>
          <w:noProof/>
          <w:szCs w:val="24"/>
        </w:rPr>
        <w:t>Measuring National Well-being - Health, 2013</w:t>
      </w:r>
      <w:r w:rsidRPr="00734178">
        <w:rPr>
          <w:rFonts w:ascii="Calibri" w:hAnsi="Calibri" w:cs="Calibri"/>
          <w:noProof/>
          <w:szCs w:val="24"/>
        </w:rPr>
        <w:t>. Available at: http://webarchive.nationalarchives.gov.uk/20160105160709/http://www.ons.gov.uk/ons/dcp171766_310300.pdf (Accessed: 5 May 2017).</w:t>
      </w:r>
    </w:p>
    <w:p w14:paraId="4456427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Beck, A. T., Steer, R. A., &amp; Brown, G. K. (1996) </w:t>
      </w:r>
      <w:r w:rsidRPr="00734178">
        <w:rPr>
          <w:rFonts w:ascii="Calibri" w:hAnsi="Calibri" w:cs="Calibri"/>
          <w:i/>
          <w:iCs/>
          <w:noProof/>
          <w:szCs w:val="24"/>
        </w:rPr>
        <w:t>Beck depression inventory-II</w:t>
      </w:r>
      <w:r w:rsidRPr="00734178">
        <w:rPr>
          <w:rFonts w:ascii="Calibri" w:hAnsi="Calibri" w:cs="Calibri"/>
          <w:noProof/>
          <w:szCs w:val="24"/>
        </w:rPr>
        <w:t>.</w:t>
      </w:r>
    </w:p>
    <w:p w14:paraId="3C3FDDF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Bell, E. C., Marcus, D. K. and Goodlad, J. K. (2013) ‘Are the parts as good as the whole? A meta-analysis of component treatment studies.’, </w:t>
      </w:r>
      <w:r w:rsidRPr="00734178">
        <w:rPr>
          <w:rFonts w:ascii="Calibri" w:hAnsi="Calibri" w:cs="Calibri"/>
          <w:i/>
          <w:iCs/>
          <w:noProof/>
          <w:szCs w:val="24"/>
        </w:rPr>
        <w:t>Journal of Consulting and Clinical Psychology</w:t>
      </w:r>
      <w:r w:rsidRPr="00734178">
        <w:rPr>
          <w:rFonts w:ascii="Calibri" w:hAnsi="Calibri" w:cs="Calibri"/>
          <w:noProof/>
          <w:szCs w:val="24"/>
        </w:rPr>
        <w:t>, 81(4), pp. 722–736. doi: 10.1037/a0033004.</w:t>
      </w:r>
    </w:p>
    <w:p w14:paraId="793227C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Bendelin, N. </w:t>
      </w:r>
      <w:r w:rsidRPr="00734178">
        <w:rPr>
          <w:rFonts w:ascii="Calibri" w:hAnsi="Calibri" w:cs="Calibri"/>
          <w:i/>
          <w:iCs/>
          <w:noProof/>
          <w:szCs w:val="24"/>
        </w:rPr>
        <w:t>et al.</w:t>
      </w:r>
      <w:r w:rsidRPr="00734178">
        <w:rPr>
          <w:rFonts w:ascii="Calibri" w:hAnsi="Calibri" w:cs="Calibri"/>
          <w:noProof/>
          <w:szCs w:val="24"/>
        </w:rPr>
        <w:t xml:space="preserve"> (2011) ‘Experiences of guided Internet-based cognitive-behavioural treatment for depression: A qualitative study’, </w:t>
      </w:r>
      <w:r w:rsidRPr="00734178">
        <w:rPr>
          <w:rFonts w:ascii="Calibri" w:hAnsi="Calibri" w:cs="Calibri"/>
          <w:i/>
          <w:iCs/>
          <w:noProof/>
          <w:szCs w:val="24"/>
        </w:rPr>
        <w:t>BMC Psychiatry</w:t>
      </w:r>
      <w:r w:rsidRPr="00734178">
        <w:rPr>
          <w:rFonts w:ascii="Calibri" w:hAnsi="Calibri" w:cs="Calibri"/>
          <w:noProof/>
          <w:szCs w:val="24"/>
        </w:rPr>
        <w:t>. BioMed Central, 11(1), p. 107. doi: 10.1186/1471-244X-11-107.</w:t>
      </w:r>
    </w:p>
    <w:p w14:paraId="142E386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lastRenderedPageBreak/>
        <w:t xml:space="preserve">Bennion, M. R. </w:t>
      </w:r>
      <w:r w:rsidRPr="00734178">
        <w:rPr>
          <w:rFonts w:ascii="Calibri" w:hAnsi="Calibri" w:cs="Calibri"/>
          <w:i/>
          <w:iCs/>
          <w:noProof/>
          <w:szCs w:val="24"/>
        </w:rPr>
        <w:t>et al.</w:t>
      </w:r>
      <w:r w:rsidRPr="00734178">
        <w:rPr>
          <w:rFonts w:ascii="Calibri" w:hAnsi="Calibri" w:cs="Calibri"/>
          <w:noProof/>
          <w:szCs w:val="24"/>
        </w:rPr>
        <w:t xml:space="preserve"> (2017) ‘E-therapies in England for stress, anxiety or depression: what is being used in the NHS? A survey of mental health services’, </w:t>
      </w:r>
      <w:r w:rsidRPr="00734178">
        <w:rPr>
          <w:rFonts w:ascii="Calibri" w:hAnsi="Calibri" w:cs="Calibri"/>
          <w:i/>
          <w:iCs/>
          <w:noProof/>
          <w:szCs w:val="24"/>
        </w:rPr>
        <w:t>BMJ Open</w:t>
      </w:r>
      <w:r w:rsidRPr="00734178">
        <w:rPr>
          <w:rFonts w:ascii="Calibri" w:hAnsi="Calibri" w:cs="Calibri"/>
          <w:noProof/>
          <w:szCs w:val="24"/>
        </w:rPr>
        <w:t>, 7(1), p. e014844. doi: 10.1136/bmjopen-2016-014844.</w:t>
      </w:r>
    </w:p>
    <w:p w14:paraId="4C37436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Berner, J. S. </w:t>
      </w:r>
      <w:r w:rsidRPr="00734178">
        <w:rPr>
          <w:rFonts w:ascii="Calibri" w:hAnsi="Calibri" w:cs="Calibri"/>
          <w:i/>
          <w:iCs/>
          <w:noProof/>
          <w:szCs w:val="24"/>
        </w:rPr>
        <w:t>et al.</w:t>
      </w:r>
      <w:r w:rsidRPr="00734178">
        <w:rPr>
          <w:rFonts w:ascii="Calibri" w:hAnsi="Calibri" w:cs="Calibri"/>
          <w:noProof/>
          <w:szCs w:val="24"/>
        </w:rPr>
        <w:t xml:space="preserve"> (2013) ‘Factors associated with change in Internet usage of Swedish older adults (2004–2010)’, </w:t>
      </w:r>
      <w:r w:rsidRPr="00734178">
        <w:rPr>
          <w:rFonts w:ascii="Calibri" w:hAnsi="Calibri" w:cs="Calibri"/>
          <w:i/>
          <w:iCs/>
          <w:noProof/>
          <w:szCs w:val="24"/>
        </w:rPr>
        <w:t>Health Informatics Journal</w:t>
      </w:r>
      <w:r w:rsidRPr="00734178">
        <w:rPr>
          <w:rFonts w:ascii="Calibri" w:hAnsi="Calibri" w:cs="Calibri"/>
          <w:noProof/>
          <w:szCs w:val="24"/>
        </w:rPr>
        <w:t>, 19(2), pp. 152–162. doi: 10.1177/1460458212462151.</w:t>
      </w:r>
    </w:p>
    <w:p w14:paraId="7F219AC9"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Betton, V. </w:t>
      </w:r>
      <w:r w:rsidRPr="00734178">
        <w:rPr>
          <w:rFonts w:ascii="Calibri" w:hAnsi="Calibri" w:cs="Calibri"/>
          <w:i/>
          <w:iCs/>
          <w:noProof/>
          <w:szCs w:val="24"/>
        </w:rPr>
        <w:t>et al.</w:t>
      </w:r>
      <w:r w:rsidRPr="00734178">
        <w:rPr>
          <w:rFonts w:ascii="Calibri" w:hAnsi="Calibri" w:cs="Calibri"/>
          <w:noProof/>
          <w:szCs w:val="24"/>
        </w:rPr>
        <w:t xml:space="preserve"> (2017) </w:t>
      </w:r>
      <w:r w:rsidRPr="00734178">
        <w:rPr>
          <w:rFonts w:ascii="Calibri" w:hAnsi="Calibri" w:cs="Calibri"/>
          <w:i/>
          <w:iCs/>
          <w:noProof/>
          <w:szCs w:val="24"/>
        </w:rPr>
        <w:t>Framework for the effectiveness evaluation of mobile (mental) health tools</w:t>
      </w:r>
      <w:r w:rsidRPr="00734178">
        <w:rPr>
          <w:rFonts w:ascii="Calibri" w:hAnsi="Calibri" w:cs="Calibri"/>
          <w:noProof/>
          <w:szCs w:val="24"/>
        </w:rPr>
        <w:t>. Available at: https://s3-eu-west-1.amazonaws.com/assets.wearemhabitat.com/Framework-for-the-effectiveness-evaluation-of-mobile-mental-health-tools.pdf (Accessed: 7 April 2018).</w:t>
      </w:r>
    </w:p>
    <w:p w14:paraId="473BFF1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Bevan, N. (2009) ‘International Standards for Usability Should Be More Widely Used’, </w:t>
      </w:r>
      <w:r w:rsidRPr="00734178">
        <w:rPr>
          <w:rFonts w:ascii="Calibri" w:hAnsi="Calibri" w:cs="Calibri"/>
          <w:i/>
          <w:iCs/>
          <w:noProof/>
          <w:szCs w:val="24"/>
        </w:rPr>
        <w:t>Journal of Usability Studies</w:t>
      </w:r>
      <w:r w:rsidRPr="00734178">
        <w:rPr>
          <w:rFonts w:ascii="Calibri" w:hAnsi="Calibri" w:cs="Calibri"/>
          <w:noProof/>
          <w:szCs w:val="24"/>
        </w:rPr>
        <w:t>, 4(3), pp. 106–113. Available at: http://www.usabilityprofessionals.org. (Accessed: 11 July 2018).</w:t>
      </w:r>
    </w:p>
    <w:p w14:paraId="63B5E8C0"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Bird, T. </w:t>
      </w:r>
      <w:r w:rsidRPr="00734178">
        <w:rPr>
          <w:rFonts w:ascii="Calibri" w:hAnsi="Calibri" w:cs="Calibri"/>
          <w:i/>
          <w:iCs/>
          <w:noProof/>
          <w:szCs w:val="24"/>
        </w:rPr>
        <w:t>et al.</w:t>
      </w:r>
      <w:r w:rsidRPr="00734178">
        <w:rPr>
          <w:rFonts w:ascii="Calibri" w:hAnsi="Calibri" w:cs="Calibri"/>
          <w:noProof/>
          <w:szCs w:val="24"/>
        </w:rPr>
        <w:t xml:space="preserve"> (2018) ‘Manage Your Life Online: A Web-Based Randomized Controlled Trial Evaluating the Effectiveness of a Problem-Solving Intervention in a Student Sample’, </w:t>
      </w:r>
      <w:r w:rsidRPr="00734178">
        <w:rPr>
          <w:rFonts w:ascii="Calibri" w:hAnsi="Calibri" w:cs="Calibri"/>
          <w:i/>
          <w:iCs/>
          <w:noProof/>
          <w:szCs w:val="24"/>
        </w:rPr>
        <w:t>Behavioural and Cognitive Psychotherapy</w:t>
      </w:r>
      <w:r w:rsidRPr="00734178">
        <w:rPr>
          <w:rFonts w:ascii="Calibri" w:hAnsi="Calibri" w:cs="Calibri"/>
          <w:noProof/>
          <w:szCs w:val="24"/>
        </w:rPr>
        <w:t>, pp. 1–13. doi: 10.1017/S1352465817000820.</w:t>
      </w:r>
    </w:p>
    <w:p w14:paraId="54AEEDF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Boettcher, J. </w:t>
      </w:r>
      <w:r w:rsidRPr="00734178">
        <w:rPr>
          <w:rFonts w:ascii="Calibri" w:hAnsi="Calibri" w:cs="Calibri"/>
          <w:i/>
          <w:iCs/>
          <w:noProof/>
          <w:szCs w:val="24"/>
        </w:rPr>
        <w:t>et al.</w:t>
      </w:r>
      <w:r w:rsidRPr="00734178">
        <w:rPr>
          <w:rFonts w:ascii="Calibri" w:hAnsi="Calibri" w:cs="Calibri"/>
          <w:noProof/>
          <w:szCs w:val="24"/>
        </w:rPr>
        <w:t xml:space="preserve"> (2014) ‘Internet-Based Mindfulness Treatment for Anxiety Disorders: A Randomized Controlled Trial’, </w:t>
      </w:r>
      <w:r w:rsidRPr="00734178">
        <w:rPr>
          <w:rFonts w:ascii="Calibri" w:hAnsi="Calibri" w:cs="Calibri"/>
          <w:i/>
          <w:iCs/>
          <w:noProof/>
          <w:szCs w:val="24"/>
        </w:rPr>
        <w:t>Behavior Therapy</w:t>
      </w:r>
      <w:r w:rsidRPr="00734178">
        <w:rPr>
          <w:rFonts w:ascii="Calibri" w:hAnsi="Calibri" w:cs="Calibri"/>
          <w:noProof/>
          <w:szCs w:val="24"/>
        </w:rPr>
        <w:t>, 45(2), pp. 241–253. doi: 10.1016/j.beth.2013.11.003.</w:t>
      </w:r>
    </w:p>
    <w:p w14:paraId="55EBB289"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Bonnardel, N., Piolat, A. and Le Bigot, L. (2011) ‘The impact of colour on Website appeal and users’ cognitive processes’, </w:t>
      </w:r>
      <w:r w:rsidRPr="00734178">
        <w:rPr>
          <w:rFonts w:ascii="Calibri" w:hAnsi="Calibri" w:cs="Calibri"/>
          <w:i/>
          <w:iCs/>
          <w:noProof/>
          <w:szCs w:val="24"/>
        </w:rPr>
        <w:t>Displays</w:t>
      </w:r>
      <w:r w:rsidRPr="00734178">
        <w:rPr>
          <w:rFonts w:ascii="Calibri" w:hAnsi="Calibri" w:cs="Calibri"/>
          <w:noProof/>
          <w:szCs w:val="24"/>
        </w:rPr>
        <w:t>. Elsevier, 32(2), pp. 69–80. doi: 10.1016/J.DISPLA.2010.12.002.</w:t>
      </w:r>
    </w:p>
    <w:p w14:paraId="4E2D0623"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Boot, N. C. and W. R. (2009) ‘Aging and Information Technology Use: Potential and Barriers’, </w:t>
      </w:r>
      <w:r w:rsidRPr="00734178">
        <w:rPr>
          <w:rFonts w:ascii="Calibri" w:hAnsi="Calibri" w:cs="Calibri"/>
          <w:i/>
          <w:iCs/>
          <w:noProof/>
          <w:szCs w:val="24"/>
        </w:rPr>
        <w:t>Current Directions in Psychological Science</w:t>
      </w:r>
      <w:r w:rsidRPr="00734178">
        <w:rPr>
          <w:rFonts w:ascii="Calibri" w:hAnsi="Calibri" w:cs="Calibri"/>
          <w:noProof/>
          <w:szCs w:val="24"/>
        </w:rPr>
        <w:t>, 18(253), pp. 253–258.</w:t>
      </w:r>
    </w:p>
    <w:p w14:paraId="30515AC9"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Bordin, E. S. (1979) ‘The generalizability of the psychoanalytic concept of the working alliance.’, </w:t>
      </w:r>
      <w:r w:rsidRPr="00734178">
        <w:rPr>
          <w:rFonts w:ascii="Calibri" w:hAnsi="Calibri" w:cs="Calibri"/>
          <w:i/>
          <w:iCs/>
          <w:noProof/>
          <w:szCs w:val="24"/>
        </w:rPr>
        <w:t>Psychotherapy: Theory, Research &amp; Practice</w:t>
      </w:r>
      <w:r w:rsidRPr="00734178">
        <w:rPr>
          <w:rFonts w:ascii="Calibri" w:hAnsi="Calibri" w:cs="Calibri"/>
          <w:noProof/>
          <w:szCs w:val="24"/>
        </w:rPr>
        <w:t>, 16(3), pp. 252–260. doi: 10.1037/h0085885.</w:t>
      </w:r>
    </w:p>
    <w:p w14:paraId="3C14A45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Borenstein, M. </w:t>
      </w:r>
      <w:r w:rsidRPr="00734178">
        <w:rPr>
          <w:rFonts w:ascii="Calibri" w:hAnsi="Calibri" w:cs="Calibri"/>
          <w:i/>
          <w:iCs/>
          <w:noProof/>
          <w:szCs w:val="24"/>
        </w:rPr>
        <w:t>et al.</w:t>
      </w:r>
      <w:r w:rsidRPr="00734178">
        <w:rPr>
          <w:rFonts w:ascii="Calibri" w:hAnsi="Calibri" w:cs="Calibri"/>
          <w:noProof/>
          <w:szCs w:val="24"/>
        </w:rPr>
        <w:t xml:space="preserve"> (2009) </w:t>
      </w:r>
      <w:r w:rsidRPr="00734178">
        <w:rPr>
          <w:rFonts w:ascii="Calibri" w:hAnsi="Calibri" w:cs="Calibri"/>
          <w:i/>
          <w:iCs/>
          <w:noProof/>
          <w:szCs w:val="24"/>
        </w:rPr>
        <w:t>Introduction to meta-analysis</w:t>
      </w:r>
      <w:r w:rsidRPr="00734178">
        <w:rPr>
          <w:rFonts w:ascii="Calibri" w:hAnsi="Calibri" w:cs="Calibri"/>
          <w:noProof/>
          <w:szCs w:val="24"/>
        </w:rPr>
        <w:t>. Chichester, UK: John Wiley &amp; Sons. doi: 10.1002/9780470743386.</w:t>
      </w:r>
    </w:p>
    <w:p w14:paraId="7EF176D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Botella, C. </w:t>
      </w:r>
      <w:r w:rsidRPr="00734178">
        <w:rPr>
          <w:rFonts w:ascii="Calibri" w:hAnsi="Calibri" w:cs="Calibri"/>
          <w:i/>
          <w:iCs/>
          <w:noProof/>
          <w:szCs w:val="24"/>
        </w:rPr>
        <w:t>et al.</w:t>
      </w:r>
      <w:r w:rsidRPr="00734178">
        <w:rPr>
          <w:rFonts w:ascii="Calibri" w:hAnsi="Calibri" w:cs="Calibri"/>
          <w:noProof/>
          <w:szCs w:val="24"/>
        </w:rPr>
        <w:t xml:space="preserve"> (2009) ‘An e-health system for the elderly (Butler Project): a pilot study on acceptance and satisfaction’, </w:t>
      </w:r>
      <w:r w:rsidRPr="00734178">
        <w:rPr>
          <w:rFonts w:ascii="Calibri" w:hAnsi="Calibri" w:cs="Calibri"/>
          <w:i/>
          <w:iCs/>
          <w:noProof/>
          <w:szCs w:val="24"/>
        </w:rPr>
        <w:t>Cyberpsychology &amp; behavior : the impact of the Internet, multimedia and virtual reality on behavior and society</w:t>
      </w:r>
      <w:r w:rsidRPr="00734178">
        <w:rPr>
          <w:rFonts w:ascii="Calibri" w:hAnsi="Calibri" w:cs="Calibri"/>
          <w:noProof/>
          <w:szCs w:val="24"/>
        </w:rPr>
        <w:t>, 12(3), pp. 255–262. doi: 10.1089/cpb.2008.0325.</w:t>
      </w:r>
    </w:p>
    <w:p w14:paraId="10692320"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Bothwell, L. E. </w:t>
      </w:r>
      <w:r w:rsidRPr="00734178">
        <w:rPr>
          <w:rFonts w:ascii="Calibri" w:hAnsi="Calibri" w:cs="Calibri"/>
          <w:i/>
          <w:iCs/>
          <w:noProof/>
          <w:szCs w:val="24"/>
        </w:rPr>
        <w:t>et al.</w:t>
      </w:r>
      <w:r w:rsidRPr="00734178">
        <w:rPr>
          <w:rFonts w:ascii="Calibri" w:hAnsi="Calibri" w:cs="Calibri"/>
          <w:noProof/>
          <w:szCs w:val="24"/>
        </w:rPr>
        <w:t xml:space="preserve"> (2016) ‘Assessing the Gold Standard — Lessons from the History of RCTs’, </w:t>
      </w:r>
      <w:r w:rsidRPr="00734178">
        <w:rPr>
          <w:rFonts w:ascii="Calibri" w:hAnsi="Calibri" w:cs="Calibri"/>
          <w:i/>
          <w:iCs/>
          <w:noProof/>
          <w:szCs w:val="24"/>
        </w:rPr>
        <w:t>New England Journal of Medicine</w:t>
      </w:r>
      <w:r w:rsidRPr="00734178">
        <w:rPr>
          <w:rFonts w:ascii="Calibri" w:hAnsi="Calibri" w:cs="Calibri"/>
          <w:noProof/>
          <w:szCs w:val="24"/>
        </w:rPr>
        <w:t>. Edited by D. Malina. Massachusetts Medical Society, 374(22), pp. 2175–2181. doi: 10.1056/NEJMms1604593.</w:t>
      </w:r>
    </w:p>
    <w:p w14:paraId="2C753068"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Bower, P. and Gilbody, S. (2005) ‘Stepped care in psychological therapies: access, effectiveness and efficiency’, </w:t>
      </w:r>
      <w:r w:rsidRPr="00734178">
        <w:rPr>
          <w:rFonts w:ascii="Calibri" w:hAnsi="Calibri" w:cs="Calibri"/>
          <w:i/>
          <w:iCs/>
          <w:noProof/>
          <w:szCs w:val="24"/>
        </w:rPr>
        <w:t>British Journal of Psychiatry</w:t>
      </w:r>
      <w:r w:rsidRPr="00734178">
        <w:rPr>
          <w:rFonts w:ascii="Calibri" w:hAnsi="Calibri" w:cs="Calibri"/>
          <w:noProof/>
          <w:szCs w:val="24"/>
        </w:rPr>
        <w:t>, 186(01), pp. 11–17. doi: 10.1192/bjp.186.1.11.</w:t>
      </w:r>
    </w:p>
    <w:p w14:paraId="26CEDEF3"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Brenes, G. A. </w:t>
      </w:r>
      <w:r w:rsidRPr="00734178">
        <w:rPr>
          <w:rFonts w:ascii="Calibri" w:hAnsi="Calibri" w:cs="Calibri"/>
          <w:i/>
          <w:iCs/>
          <w:noProof/>
          <w:szCs w:val="24"/>
        </w:rPr>
        <w:t>et al.</w:t>
      </w:r>
      <w:r w:rsidRPr="00734178">
        <w:rPr>
          <w:rFonts w:ascii="Calibri" w:hAnsi="Calibri" w:cs="Calibri"/>
          <w:noProof/>
          <w:szCs w:val="24"/>
        </w:rPr>
        <w:t xml:space="preserve"> (2008) ‘Anxiety, depression and disability across the lifespan’, </w:t>
      </w:r>
      <w:r w:rsidRPr="00734178">
        <w:rPr>
          <w:rFonts w:ascii="Calibri" w:hAnsi="Calibri" w:cs="Calibri"/>
          <w:i/>
          <w:iCs/>
          <w:noProof/>
          <w:szCs w:val="24"/>
        </w:rPr>
        <w:t>Aging and Mental Health</w:t>
      </w:r>
      <w:r w:rsidRPr="00734178">
        <w:rPr>
          <w:rFonts w:ascii="Calibri" w:hAnsi="Calibri" w:cs="Calibri"/>
          <w:noProof/>
          <w:szCs w:val="24"/>
        </w:rPr>
        <w:t>, 12(1), pp. 158–163. doi: 10.1080/13607860601124115.</w:t>
      </w:r>
    </w:p>
    <w:p w14:paraId="694BC998"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lastRenderedPageBreak/>
        <w:t xml:space="preserve">Brooke, J. (1996) </w:t>
      </w:r>
      <w:r w:rsidRPr="00734178">
        <w:rPr>
          <w:rFonts w:ascii="Calibri" w:hAnsi="Calibri" w:cs="Calibri"/>
          <w:i/>
          <w:iCs/>
          <w:noProof/>
          <w:szCs w:val="24"/>
        </w:rPr>
        <w:t>SUS: A ‘Quick and Dirty’ Usability Scale</w:t>
      </w:r>
      <w:r w:rsidRPr="00734178">
        <w:rPr>
          <w:rFonts w:ascii="Calibri" w:hAnsi="Calibri" w:cs="Calibri"/>
          <w:noProof/>
          <w:szCs w:val="24"/>
        </w:rPr>
        <w:t xml:space="preserve">, </w:t>
      </w:r>
      <w:r w:rsidRPr="00734178">
        <w:rPr>
          <w:rFonts w:ascii="Calibri" w:hAnsi="Calibri" w:cs="Calibri"/>
          <w:i/>
          <w:iCs/>
          <w:noProof/>
          <w:szCs w:val="24"/>
        </w:rPr>
        <w:t>Usability evaluation in industry</w:t>
      </w:r>
      <w:r w:rsidRPr="00734178">
        <w:rPr>
          <w:rFonts w:ascii="Calibri" w:hAnsi="Calibri" w:cs="Calibri"/>
          <w:noProof/>
          <w:szCs w:val="24"/>
        </w:rPr>
        <w:t>. Edited by P. W. Jordan et al. CRC Press. Available at: http://scholar.google.com/scholar?hl=en&amp;btnG=Search&amp;q=intitle:SUS-A+quick+and+dirty+usability+scale#0 (Accessed: 9 February 2016).</w:t>
      </w:r>
    </w:p>
    <w:p w14:paraId="1B81CAB3"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Brooke, J. (2013) ‘SUS: A Retrospective’, 8(2), pp. 29–40. Available at: http://www.usabilityprofessionals.org. (Accessed: 14 June 2018).</w:t>
      </w:r>
    </w:p>
    <w:p w14:paraId="5D49FFE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BSI (2015) ‘Health and wellness apps - Quality criteria across the life cycle - Code of practice (PAS 277:2015)’, p. 36. doi: PAS 277:2015.</w:t>
      </w:r>
    </w:p>
    <w:p w14:paraId="7AEA462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Budd, R. and Hughes, I. (2009) ‘The Dodo Bird Verdict-controversial, inevitable and important: a commentary on 30 years of meta-analyses’, </w:t>
      </w:r>
      <w:r w:rsidRPr="00734178">
        <w:rPr>
          <w:rFonts w:ascii="Calibri" w:hAnsi="Calibri" w:cs="Calibri"/>
          <w:i/>
          <w:iCs/>
          <w:noProof/>
          <w:szCs w:val="24"/>
        </w:rPr>
        <w:t>Clinical Psychology &amp; Psychotherapy</w:t>
      </w:r>
      <w:r w:rsidRPr="00734178">
        <w:rPr>
          <w:rFonts w:ascii="Calibri" w:hAnsi="Calibri" w:cs="Calibri"/>
          <w:noProof/>
          <w:szCs w:val="24"/>
        </w:rPr>
        <w:t>, 16(6), pp. 510–522. doi: 10.1002/cpp.648.</w:t>
      </w:r>
    </w:p>
    <w:p w14:paraId="0893650D"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Buhrman, M. </w:t>
      </w:r>
      <w:r w:rsidRPr="00734178">
        <w:rPr>
          <w:rFonts w:ascii="Calibri" w:hAnsi="Calibri" w:cs="Calibri"/>
          <w:i/>
          <w:iCs/>
          <w:noProof/>
          <w:szCs w:val="24"/>
        </w:rPr>
        <w:t>et al.</w:t>
      </w:r>
      <w:r w:rsidRPr="00734178">
        <w:rPr>
          <w:rFonts w:ascii="Calibri" w:hAnsi="Calibri" w:cs="Calibri"/>
          <w:noProof/>
          <w:szCs w:val="24"/>
        </w:rPr>
        <w:t xml:space="preserve"> (2013) ‘Guided internet-delivered acceptance and commitment therapy for chronic pain patients: A randomized controlled trial’, </w:t>
      </w:r>
      <w:r w:rsidRPr="00734178">
        <w:rPr>
          <w:rFonts w:ascii="Calibri" w:hAnsi="Calibri" w:cs="Calibri"/>
          <w:i/>
          <w:iCs/>
          <w:noProof/>
          <w:szCs w:val="24"/>
        </w:rPr>
        <w:t>Behaviour Research and Therapy</w:t>
      </w:r>
      <w:r w:rsidRPr="00734178">
        <w:rPr>
          <w:rFonts w:ascii="Calibri" w:hAnsi="Calibri" w:cs="Calibri"/>
          <w:noProof/>
          <w:szCs w:val="24"/>
        </w:rPr>
        <w:t>, 51(6), pp. 307–315. doi: 10.1016/j.brat.2013.02.010.</w:t>
      </w:r>
    </w:p>
    <w:p w14:paraId="19984D76"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Butler, A. C. </w:t>
      </w:r>
      <w:r w:rsidRPr="00734178">
        <w:rPr>
          <w:rFonts w:ascii="Calibri" w:hAnsi="Calibri" w:cs="Calibri"/>
          <w:i/>
          <w:iCs/>
          <w:noProof/>
          <w:szCs w:val="24"/>
        </w:rPr>
        <w:t>et al.</w:t>
      </w:r>
      <w:r w:rsidRPr="00734178">
        <w:rPr>
          <w:rFonts w:ascii="Calibri" w:hAnsi="Calibri" w:cs="Calibri"/>
          <w:noProof/>
          <w:szCs w:val="24"/>
        </w:rPr>
        <w:t xml:space="preserve"> (2006) ‘The empirical status of cognitive-behavioral therapy: A review of meta-analyses’, </w:t>
      </w:r>
      <w:r w:rsidRPr="00734178">
        <w:rPr>
          <w:rFonts w:ascii="Calibri" w:hAnsi="Calibri" w:cs="Calibri"/>
          <w:i/>
          <w:iCs/>
          <w:noProof/>
          <w:szCs w:val="24"/>
        </w:rPr>
        <w:t>Clinical Psychology Review</w:t>
      </w:r>
      <w:r w:rsidRPr="00734178">
        <w:rPr>
          <w:rFonts w:ascii="Calibri" w:hAnsi="Calibri" w:cs="Calibri"/>
          <w:noProof/>
          <w:szCs w:val="24"/>
        </w:rPr>
        <w:t>, 26(1), pp. 17–31. doi: 10.1016/j.cpr.2005.07.003.</w:t>
      </w:r>
    </w:p>
    <w:p w14:paraId="02E0620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Byers, A. L. </w:t>
      </w:r>
      <w:r w:rsidRPr="00734178">
        <w:rPr>
          <w:rFonts w:ascii="Calibri" w:hAnsi="Calibri" w:cs="Calibri"/>
          <w:i/>
          <w:iCs/>
          <w:noProof/>
          <w:szCs w:val="24"/>
        </w:rPr>
        <w:t>et al.</w:t>
      </w:r>
      <w:r w:rsidRPr="00734178">
        <w:rPr>
          <w:rFonts w:ascii="Calibri" w:hAnsi="Calibri" w:cs="Calibri"/>
          <w:noProof/>
          <w:szCs w:val="24"/>
        </w:rPr>
        <w:t xml:space="preserve"> (2010) ‘High Occurrence of Mood and Anxiety Disorders Among Older Adults’, </w:t>
      </w:r>
      <w:r w:rsidRPr="00734178">
        <w:rPr>
          <w:rFonts w:ascii="Calibri" w:hAnsi="Calibri" w:cs="Calibri"/>
          <w:i/>
          <w:iCs/>
          <w:noProof/>
          <w:szCs w:val="24"/>
        </w:rPr>
        <w:t>Archives of General Psychiatry</w:t>
      </w:r>
      <w:r w:rsidRPr="00734178">
        <w:rPr>
          <w:rFonts w:ascii="Calibri" w:hAnsi="Calibri" w:cs="Calibri"/>
          <w:noProof/>
          <w:szCs w:val="24"/>
        </w:rPr>
        <w:t>, 67(5), p. 489. doi: 10.1001/archgenpsychiatry.2010.35.</w:t>
      </w:r>
    </w:p>
    <w:p w14:paraId="751CE52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Carey, T. A. (2006) ‘The method of levels: how to do psychotherapy without getting in the way’. Hayward, CA: Living Control Systems Publishing., p. 178.</w:t>
      </w:r>
    </w:p>
    <w:p w14:paraId="708F0D3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Carey, T. A. </w:t>
      </w:r>
      <w:r w:rsidRPr="00734178">
        <w:rPr>
          <w:rFonts w:ascii="Calibri" w:hAnsi="Calibri" w:cs="Calibri"/>
          <w:i/>
          <w:iCs/>
          <w:noProof/>
          <w:szCs w:val="24"/>
        </w:rPr>
        <w:t>et al.</w:t>
      </w:r>
      <w:r w:rsidRPr="00734178">
        <w:rPr>
          <w:rFonts w:ascii="Calibri" w:hAnsi="Calibri" w:cs="Calibri"/>
          <w:noProof/>
          <w:szCs w:val="24"/>
        </w:rPr>
        <w:t xml:space="preserve"> (2009) ‘Assessing the Statistical and Personal Significance of the Method of Levels’, </w:t>
      </w:r>
      <w:r w:rsidRPr="00734178">
        <w:rPr>
          <w:rFonts w:ascii="Calibri" w:hAnsi="Calibri" w:cs="Calibri"/>
          <w:i/>
          <w:iCs/>
          <w:noProof/>
          <w:szCs w:val="24"/>
        </w:rPr>
        <w:t>Behavioural and Cognitive Psychotherapy</w:t>
      </w:r>
      <w:r w:rsidRPr="00734178">
        <w:rPr>
          <w:rFonts w:ascii="Calibri" w:hAnsi="Calibri" w:cs="Calibri"/>
          <w:noProof/>
          <w:szCs w:val="24"/>
        </w:rPr>
        <w:t>, 37(03), p. 311. doi: 10.1017/S1352465809005232.</w:t>
      </w:r>
    </w:p>
    <w:p w14:paraId="3AFBBD7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Carey, T. A. and Mullan, R. J. (2007) ‘Patients taking the lead. A naturalistic investigation of a patient led approach to treatment in primary care’, </w:t>
      </w:r>
      <w:r w:rsidRPr="00734178">
        <w:rPr>
          <w:rFonts w:ascii="Calibri" w:hAnsi="Calibri" w:cs="Calibri"/>
          <w:i/>
          <w:iCs/>
          <w:noProof/>
          <w:szCs w:val="24"/>
        </w:rPr>
        <w:t>Counselling Psychology Quarterly</w:t>
      </w:r>
      <w:r w:rsidRPr="00734178">
        <w:rPr>
          <w:rFonts w:ascii="Calibri" w:hAnsi="Calibri" w:cs="Calibri"/>
          <w:noProof/>
          <w:szCs w:val="24"/>
        </w:rPr>
        <w:t>.  Routledge , 20(1), pp. 27–40. doi: 10.1080/09515070701211304.</w:t>
      </w:r>
    </w:p>
    <w:p w14:paraId="669F819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Carey, T. A. and Mullan, R. J. (2008) ‘Evaluating the method of levels’, </w:t>
      </w:r>
      <w:r w:rsidRPr="00734178">
        <w:rPr>
          <w:rFonts w:ascii="Calibri" w:hAnsi="Calibri" w:cs="Calibri"/>
          <w:i/>
          <w:iCs/>
          <w:noProof/>
          <w:szCs w:val="24"/>
        </w:rPr>
        <w:t>Counselling Psychology Quarterly</w:t>
      </w:r>
      <w:r w:rsidRPr="00734178">
        <w:rPr>
          <w:rFonts w:ascii="Calibri" w:hAnsi="Calibri" w:cs="Calibri"/>
          <w:noProof/>
          <w:szCs w:val="24"/>
        </w:rPr>
        <w:t>.  Routledge , 21(3), pp. 247–256. doi: 10.1080/09515070802396012.</w:t>
      </w:r>
    </w:p>
    <w:p w14:paraId="103CAE58"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Carlbring, P. </w:t>
      </w:r>
      <w:r w:rsidRPr="00734178">
        <w:rPr>
          <w:rFonts w:ascii="Calibri" w:hAnsi="Calibri" w:cs="Calibri"/>
          <w:i/>
          <w:iCs/>
          <w:noProof/>
          <w:szCs w:val="24"/>
        </w:rPr>
        <w:t>et al.</w:t>
      </w:r>
      <w:r w:rsidRPr="00734178">
        <w:rPr>
          <w:rFonts w:ascii="Calibri" w:hAnsi="Calibri" w:cs="Calibri"/>
          <w:noProof/>
          <w:szCs w:val="24"/>
        </w:rPr>
        <w:t xml:space="preserve"> (2001) ‘Treatment of panic disorder via the internet: A randomized trial of a self-help program’, </w:t>
      </w:r>
      <w:r w:rsidRPr="00734178">
        <w:rPr>
          <w:rFonts w:ascii="Calibri" w:hAnsi="Calibri" w:cs="Calibri"/>
          <w:i/>
          <w:iCs/>
          <w:noProof/>
          <w:szCs w:val="24"/>
        </w:rPr>
        <w:t>Behavior Therapy</w:t>
      </w:r>
      <w:r w:rsidRPr="00734178">
        <w:rPr>
          <w:rFonts w:ascii="Calibri" w:hAnsi="Calibri" w:cs="Calibri"/>
          <w:noProof/>
          <w:szCs w:val="24"/>
        </w:rPr>
        <w:t>. Elsevier, 32(4), pp. 751–764. doi: 10.1016/S0005-7894(01)80019-8.</w:t>
      </w:r>
    </w:p>
    <w:p w14:paraId="02F929E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Carlbring, P., Ekselius, L. and Andersson, G. (2003) ‘Treatment of panic disorder via the Internet: a randomized trial of CBT vs. applied relaxation.’, </w:t>
      </w:r>
      <w:r w:rsidRPr="00734178">
        <w:rPr>
          <w:rFonts w:ascii="Calibri" w:hAnsi="Calibri" w:cs="Calibri"/>
          <w:i/>
          <w:iCs/>
          <w:noProof/>
          <w:szCs w:val="24"/>
        </w:rPr>
        <w:t>Journal of behavior therapy and experimental psychiatry</w:t>
      </w:r>
      <w:r w:rsidRPr="00734178">
        <w:rPr>
          <w:rFonts w:ascii="Calibri" w:hAnsi="Calibri" w:cs="Calibri"/>
          <w:noProof/>
          <w:szCs w:val="24"/>
        </w:rPr>
        <w:t>, 34(2), pp. 129–40. Available at: http://www.ncbi.nlm.nih.gov/pubmed/12899896 (Accessed: 6 September 2018).</w:t>
      </w:r>
    </w:p>
    <w:p w14:paraId="2BCA5FA3"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Cavanagh, K. </w:t>
      </w:r>
      <w:r w:rsidRPr="00734178">
        <w:rPr>
          <w:rFonts w:ascii="Calibri" w:hAnsi="Calibri" w:cs="Calibri"/>
          <w:i/>
          <w:iCs/>
          <w:noProof/>
          <w:szCs w:val="24"/>
        </w:rPr>
        <w:t>et al.</w:t>
      </w:r>
      <w:r w:rsidRPr="00734178">
        <w:rPr>
          <w:rFonts w:ascii="Calibri" w:hAnsi="Calibri" w:cs="Calibri"/>
          <w:noProof/>
          <w:szCs w:val="24"/>
        </w:rPr>
        <w:t xml:space="preserve"> (2009a) ‘The Acceptability of Computer-Aided Cognitive Behavioural Therapy: A Pragmatic Study’, </w:t>
      </w:r>
      <w:r w:rsidRPr="00734178">
        <w:rPr>
          <w:rFonts w:ascii="Calibri" w:hAnsi="Calibri" w:cs="Calibri"/>
          <w:i/>
          <w:iCs/>
          <w:noProof/>
          <w:szCs w:val="24"/>
        </w:rPr>
        <w:t>Cognitive Behaviour Therapy</w:t>
      </w:r>
      <w:r w:rsidRPr="00734178">
        <w:rPr>
          <w:rFonts w:ascii="Calibri" w:hAnsi="Calibri" w:cs="Calibri"/>
          <w:noProof/>
          <w:szCs w:val="24"/>
        </w:rPr>
        <w:t xml:space="preserve">.  Taylor &amp; Francis Group , 38(4), pp. 235–246. doi: </w:t>
      </w:r>
      <w:r w:rsidRPr="00734178">
        <w:rPr>
          <w:rFonts w:ascii="Calibri" w:hAnsi="Calibri" w:cs="Calibri"/>
          <w:noProof/>
          <w:szCs w:val="24"/>
        </w:rPr>
        <w:lastRenderedPageBreak/>
        <w:t>10.1080/16506070802561256.</w:t>
      </w:r>
    </w:p>
    <w:p w14:paraId="0DC3B15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Cavanagh, K. </w:t>
      </w:r>
      <w:r w:rsidRPr="00734178">
        <w:rPr>
          <w:rFonts w:ascii="Calibri" w:hAnsi="Calibri" w:cs="Calibri"/>
          <w:i/>
          <w:iCs/>
          <w:noProof/>
          <w:szCs w:val="24"/>
        </w:rPr>
        <w:t>et al.</w:t>
      </w:r>
      <w:r w:rsidRPr="00734178">
        <w:rPr>
          <w:rFonts w:ascii="Calibri" w:hAnsi="Calibri" w:cs="Calibri"/>
          <w:noProof/>
          <w:szCs w:val="24"/>
        </w:rPr>
        <w:t xml:space="preserve"> (2009b) ‘The Acceptability of Computer-Aided Cognitive Behavioural Therapy: A Pragmatic Study’, </w:t>
      </w:r>
      <w:r w:rsidRPr="00734178">
        <w:rPr>
          <w:rFonts w:ascii="Calibri" w:hAnsi="Calibri" w:cs="Calibri"/>
          <w:i/>
          <w:iCs/>
          <w:noProof/>
          <w:szCs w:val="24"/>
        </w:rPr>
        <w:t>Cognitive Behaviour Therapy</w:t>
      </w:r>
      <w:r w:rsidRPr="00734178">
        <w:rPr>
          <w:rFonts w:ascii="Calibri" w:hAnsi="Calibri" w:cs="Calibri"/>
          <w:noProof/>
          <w:szCs w:val="24"/>
        </w:rPr>
        <w:t>.  Taylor &amp; Francis Group , 38(4), pp. 235–246. doi: 10.1080/16506070802561256.</w:t>
      </w:r>
    </w:p>
    <w:p w14:paraId="2776CE7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Cavanagh, K. (2010) </w:t>
      </w:r>
      <w:r w:rsidRPr="00734178">
        <w:rPr>
          <w:rFonts w:ascii="Calibri" w:hAnsi="Calibri" w:cs="Calibri"/>
          <w:i/>
          <w:iCs/>
          <w:noProof/>
          <w:szCs w:val="24"/>
        </w:rPr>
        <w:t>Turn on, tune in and (don’t) drop out - engagement, adherence, attrition, and alliance with internet-based interventions</w:t>
      </w:r>
      <w:r w:rsidRPr="00734178">
        <w:rPr>
          <w:rFonts w:ascii="Calibri" w:hAnsi="Calibri" w:cs="Calibri"/>
          <w:noProof/>
          <w:szCs w:val="24"/>
        </w:rPr>
        <w:t xml:space="preserve">, </w:t>
      </w:r>
      <w:r w:rsidRPr="00734178">
        <w:rPr>
          <w:rFonts w:ascii="Calibri" w:hAnsi="Calibri" w:cs="Calibri"/>
          <w:i/>
          <w:iCs/>
          <w:noProof/>
          <w:szCs w:val="24"/>
        </w:rPr>
        <w:t>Oxford guide to low intensity CBT interventions</w:t>
      </w:r>
      <w:r w:rsidRPr="00734178">
        <w:rPr>
          <w:rFonts w:ascii="Calibri" w:hAnsi="Calibri" w:cs="Calibri"/>
          <w:noProof/>
          <w:szCs w:val="24"/>
        </w:rPr>
        <w:t>. Oxford University Press. doi: http://dx.doi.org/10.1093/med:psych/9780199590117.003.0021.</w:t>
      </w:r>
    </w:p>
    <w:p w14:paraId="13DA803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Cavanagh, K. and Millings,  a. (2013) ‘Increasing engagement with computerised cognitive behavioural therapies’, </w:t>
      </w:r>
      <w:r w:rsidRPr="00734178">
        <w:rPr>
          <w:rFonts w:ascii="Calibri" w:hAnsi="Calibri" w:cs="Calibri"/>
          <w:i/>
          <w:iCs/>
          <w:noProof/>
          <w:szCs w:val="24"/>
        </w:rPr>
        <w:t>ICST Transactions on Ambient Systems</w:t>
      </w:r>
      <w:r w:rsidRPr="00734178">
        <w:rPr>
          <w:rFonts w:ascii="Calibri" w:hAnsi="Calibri" w:cs="Calibri"/>
          <w:noProof/>
          <w:szCs w:val="24"/>
        </w:rPr>
        <w:t>, 13(2), p. e3. doi: 10.4108/trans.amsys.01-06.2013.e3.</w:t>
      </w:r>
    </w:p>
    <w:p w14:paraId="4076B76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Cavanagh, K. and Millings, A. (2013) ‘(Inter)personal computing: The role of the therapeutic relationship in E-mental health’, </w:t>
      </w:r>
      <w:r w:rsidRPr="00734178">
        <w:rPr>
          <w:rFonts w:ascii="Calibri" w:hAnsi="Calibri" w:cs="Calibri"/>
          <w:i/>
          <w:iCs/>
          <w:noProof/>
          <w:szCs w:val="24"/>
        </w:rPr>
        <w:t>Journal of Contemporary Psychotherapy</w:t>
      </w:r>
      <w:r w:rsidRPr="00734178">
        <w:rPr>
          <w:rFonts w:ascii="Calibri" w:hAnsi="Calibri" w:cs="Calibri"/>
          <w:noProof/>
          <w:szCs w:val="24"/>
        </w:rPr>
        <w:t>, 43(4), pp. 197–206. doi: 10.1007/s10879-013-9242-z.</w:t>
      </w:r>
    </w:p>
    <w:p w14:paraId="2566749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Chandrashekar, P. (2018) ‘Do mental health mobile apps work: evidence and recommendations for designing high-efficacy mental health mobile apps’, </w:t>
      </w:r>
      <w:r w:rsidRPr="00734178">
        <w:rPr>
          <w:rFonts w:ascii="Calibri" w:hAnsi="Calibri" w:cs="Calibri"/>
          <w:i/>
          <w:iCs/>
          <w:noProof/>
          <w:szCs w:val="24"/>
        </w:rPr>
        <w:t>mHealth</w:t>
      </w:r>
      <w:r w:rsidRPr="00734178">
        <w:rPr>
          <w:rFonts w:ascii="Calibri" w:hAnsi="Calibri" w:cs="Calibri"/>
          <w:noProof/>
          <w:szCs w:val="24"/>
        </w:rPr>
        <w:t>. AME Publications, 4, pp. 6–6. doi: 10.21037/mhealth.2018.03.02.</w:t>
      </w:r>
    </w:p>
    <w:p w14:paraId="6694531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Chaplin, R. </w:t>
      </w:r>
      <w:r w:rsidRPr="00734178">
        <w:rPr>
          <w:rFonts w:ascii="Calibri" w:hAnsi="Calibri" w:cs="Calibri"/>
          <w:i/>
          <w:iCs/>
          <w:noProof/>
          <w:szCs w:val="24"/>
        </w:rPr>
        <w:t>et al.</w:t>
      </w:r>
      <w:r w:rsidRPr="00734178">
        <w:rPr>
          <w:rFonts w:ascii="Calibri" w:hAnsi="Calibri" w:cs="Calibri"/>
          <w:noProof/>
          <w:szCs w:val="24"/>
        </w:rPr>
        <w:t xml:space="preserve"> (2015) ‘Comparison of access, outcomes and experiences of older adults and working age adults in psychological therapy’, </w:t>
      </w:r>
      <w:r w:rsidRPr="00734178">
        <w:rPr>
          <w:rFonts w:ascii="Calibri" w:hAnsi="Calibri" w:cs="Calibri"/>
          <w:i/>
          <w:iCs/>
          <w:noProof/>
          <w:szCs w:val="24"/>
        </w:rPr>
        <w:t>International Journal of Geriatric Psychiatry</w:t>
      </w:r>
      <w:r w:rsidRPr="00734178">
        <w:rPr>
          <w:rFonts w:ascii="Calibri" w:hAnsi="Calibri" w:cs="Calibri"/>
          <w:noProof/>
          <w:szCs w:val="24"/>
        </w:rPr>
        <w:t>. Wiley-Blackwell, 30(2), pp. 178–184. doi: 10.1002/gps.4122.</w:t>
      </w:r>
    </w:p>
    <w:p w14:paraId="6345ACE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Chapman, P., Selvarajah, S. and Webster, J. (1999) </w:t>
      </w:r>
      <w:r w:rsidRPr="00734178">
        <w:rPr>
          <w:rFonts w:ascii="Calibri" w:hAnsi="Calibri" w:cs="Calibri"/>
          <w:i/>
          <w:iCs/>
          <w:noProof/>
          <w:szCs w:val="24"/>
        </w:rPr>
        <w:t>Engagement in Multimedia Training Systems</w:t>
      </w:r>
      <w:r w:rsidRPr="00734178">
        <w:rPr>
          <w:rFonts w:ascii="Calibri" w:hAnsi="Calibri" w:cs="Calibri"/>
          <w:noProof/>
          <w:szCs w:val="24"/>
        </w:rPr>
        <w:t>. Available at: https://www.computer.org/csdl/proceedings/hicss/1999/0001/01/00011084.pdf (Accessed: 15 September 2018).</w:t>
      </w:r>
    </w:p>
    <w:p w14:paraId="0307995A"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Chellingsworth, M., Davies, S. and Laidlaw, K. (2016) </w:t>
      </w:r>
      <w:r w:rsidRPr="00734178">
        <w:rPr>
          <w:rFonts w:ascii="Calibri" w:hAnsi="Calibri" w:cs="Calibri"/>
          <w:i/>
          <w:iCs/>
          <w:noProof/>
          <w:szCs w:val="24"/>
        </w:rPr>
        <w:t>Improving Access to Psychological Therapies National Curriculum for CBT with Older People</w:t>
      </w:r>
      <w:r w:rsidRPr="00734178">
        <w:rPr>
          <w:rFonts w:ascii="Calibri" w:hAnsi="Calibri" w:cs="Calibri"/>
          <w:noProof/>
          <w:szCs w:val="24"/>
        </w:rPr>
        <w:t xml:space="preserve">, </w:t>
      </w:r>
      <w:r w:rsidRPr="00734178">
        <w:rPr>
          <w:rFonts w:ascii="Calibri" w:hAnsi="Calibri" w:cs="Calibri"/>
          <w:i/>
          <w:iCs/>
          <w:noProof/>
          <w:szCs w:val="24"/>
        </w:rPr>
        <w:t>National Curriculum for CBT with Older People. 2nd Edition.</w:t>
      </w:r>
      <w:r w:rsidRPr="00734178">
        <w:rPr>
          <w:rFonts w:ascii="Calibri" w:hAnsi="Calibri" w:cs="Calibri"/>
          <w:noProof/>
          <w:szCs w:val="24"/>
        </w:rPr>
        <w:t xml:space="preserve"> Available at: https://www.uea.ac.uk/documents/246046/11919343/2016+national-curriculum-for-cbt-with-older-people-revised-february-2016.pdf/4772951f-a051-4270-9e4d-3440c0d358a3 (Accessed: 5 October 2018).</w:t>
      </w:r>
    </w:p>
    <w:p w14:paraId="5592CD56"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Christensen, H., Griffiths, K. M. and Farrer, L. (2009) ‘Adherence in internet interventions for anxiety and depression.’, </w:t>
      </w:r>
      <w:r w:rsidRPr="00734178">
        <w:rPr>
          <w:rFonts w:ascii="Calibri" w:hAnsi="Calibri" w:cs="Calibri"/>
          <w:i/>
          <w:iCs/>
          <w:noProof/>
          <w:szCs w:val="24"/>
        </w:rPr>
        <w:t>Journal of medical Internet research</w:t>
      </w:r>
      <w:r w:rsidRPr="00734178">
        <w:rPr>
          <w:rFonts w:ascii="Calibri" w:hAnsi="Calibri" w:cs="Calibri"/>
          <w:noProof/>
          <w:szCs w:val="24"/>
        </w:rPr>
        <w:t>, 11(2), p. e13. doi: 10.2196/jmir.1194.</w:t>
      </w:r>
    </w:p>
    <w:p w14:paraId="7BDC4C8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Clark, D. M. </w:t>
      </w:r>
      <w:r w:rsidRPr="00734178">
        <w:rPr>
          <w:rFonts w:ascii="Calibri" w:hAnsi="Calibri" w:cs="Calibri"/>
          <w:i/>
          <w:iCs/>
          <w:noProof/>
          <w:szCs w:val="24"/>
        </w:rPr>
        <w:t>et al.</w:t>
      </w:r>
      <w:r w:rsidRPr="00734178">
        <w:rPr>
          <w:rFonts w:ascii="Calibri" w:hAnsi="Calibri" w:cs="Calibri"/>
          <w:noProof/>
          <w:szCs w:val="24"/>
        </w:rPr>
        <w:t xml:space="preserve"> (2009) ‘Improving access to psychological therapy: Initial evaluation of two UK demonstration sites.’, </w:t>
      </w:r>
      <w:r w:rsidRPr="00734178">
        <w:rPr>
          <w:rFonts w:ascii="Calibri" w:hAnsi="Calibri" w:cs="Calibri"/>
          <w:i/>
          <w:iCs/>
          <w:noProof/>
          <w:szCs w:val="24"/>
        </w:rPr>
        <w:t>Behaviour research and therapy</w:t>
      </w:r>
      <w:r w:rsidRPr="00734178">
        <w:rPr>
          <w:rFonts w:ascii="Calibri" w:hAnsi="Calibri" w:cs="Calibri"/>
          <w:noProof/>
          <w:szCs w:val="24"/>
        </w:rPr>
        <w:t>. Elsevier, 47(11), pp. 910–20. doi: 10.1016/j.brat.2009.07.010.</w:t>
      </w:r>
    </w:p>
    <w:p w14:paraId="4D72058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Clark, D. M. (2011) ‘Implementing NICE guidelines for the psychological treatment of depression and anxiety disorders: The IAPT experience’, </w:t>
      </w:r>
      <w:r w:rsidRPr="00734178">
        <w:rPr>
          <w:rFonts w:ascii="Calibri" w:hAnsi="Calibri" w:cs="Calibri"/>
          <w:i/>
          <w:iCs/>
          <w:noProof/>
          <w:szCs w:val="24"/>
        </w:rPr>
        <w:t>International Review of Psychiatry</w:t>
      </w:r>
      <w:r w:rsidRPr="00734178">
        <w:rPr>
          <w:rFonts w:ascii="Calibri" w:hAnsi="Calibri" w:cs="Calibri"/>
          <w:noProof/>
          <w:szCs w:val="24"/>
        </w:rPr>
        <w:t>, 23(4), pp. 318–327. doi: 10.3109/09540261.2011.606803.</w:t>
      </w:r>
    </w:p>
    <w:p w14:paraId="2A4A13E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lastRenderedPageBreak/>
        <w:t xml:space="preserve">Clark, D. M. </w:t>
      </w:r>
      <w:r w:rsidRPr="00734178">
        <w:rPr>
          <w:rFonts w:ascii="Calibri" w:hAnsi="Calibri" w:cs="Calibri"/>
          <w:i/>
          <w:iCs/>
          <w:noProof/>
          <w:szCs w:val="24"/>
        </w:rPr>
        <w:t>et al.</w:t>
      </w:r>
      <w:r w:rsidRPr="00734178">
        <w:rPr>
          <w:rFonts w:ascii="Calibri" w:hAnsi="Calibri" w:cs="Calibri"/>
          <w:noProof/>
          <w:szCs w:val="24"/>
        </w:rPr>
        <w:t xml:space="preserve"> (2018) ‘Transparency about the outcomes of mental health services (IAPT approach): an analysis of public data’, </w:t>
      </w:r>
      <w:r w:rsidRPr="00734178">
        <w:rPr>
          <w:rFonts w:ascii="Calibri" w:hAnsi="Calibri" w:cs="Calibri"/>
          <w:i/>
          <w:iCs/>
          <w:noProof/>
          <w:szCs w:val="24"/>
        </w:rPr>
        <w:t>The Lancet</w:t>
      </w:r>
      <w:r w:rsidRPr="00734178">
        <w:rPr>
          <w:rFonts w:ascii="Calibri" w:hAnsi="Calibri" w:cs="Calibri"/>
          <w:noProof/>
          <w:szCs w:val="24"/>
        </w:rPr>
        <w:t>. Elsevier, 391(10121), pp. 679–686. doi: 10.1016/S0140-6736(17)32133-5.</w:t>
      </w:r>
    </w:p>
    <w:p w14:paraId="76EB8B2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Cohen, J. (1992) ‘A power primer.’, </w:t>
      </w:r>
      <w:r w:rsidRPr="00734178">
        <w:rPr>
          <w:rFonts w:ascii="Calibri" w:hAnsi="Calibri" w:cs="Calibri"/>
          <w:i/>
          <w:iCs/>
          <w:noProof/>
          <w:szCs w:val="24"/>
        </w:rPr>
        <w:t>Psychological bulletin</w:t>
      </w:r>
      <w:r w:rsidRPr="00734178">
        <w:rPr>
          <w:rFonts w:ascii="Calibri" w:hAnsi="Calibri" w:cs="Calibri"/>
          <w:noProof/>
          <w:szCs w:val="24"/>
        </w:rPr>
        <w:t>, 112(1), pp. 155–9. Available at: http://www.ncbi.nlm.nih.gov/pubmed/19565683 (Accessed: 18 June 2018).</w:t>
      </w:r>
    </w:p>
    <w:p w14:paraId="4545E3A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Cohen, J. W. (1988) </w:t>
      </w:r>
      <w:r w:rsidRPr="00734178">
        <w:rPr>
          <w:rFonts w:ascii="Calibri" w:hAnsi="Calibri" w:cs="Calibri"/>
          <w:i/>
          <w:iCs/>
          <w:noProof/>
          <w:szCs w:val="24"/>
        </w:rPr>
        <w:t>Statistical power analysis for the behavioral sciences (2nd edition)</w:t>
      </w:r>
      <w:r w:rsidRPr="00734178">
        <w:rPr>
          <w:rFonts w:ascii="Calibri" w:hAnsi="Calibri" w:cs="Calibri"/>
          <w:noProof/>
          <w:szCs w:val="24"/>
        </w:rPr>
        <w:t xml:space="preserve">, </w:t>
      </w:r>
      <w:r w:rsidRPr="00734178">
        <w:rPr>
          <w:rFonts w:ascii="Calibri" w:hAnsi="Calibri" w:cs="Calibri"/>
          <w:i/>
          <w:iCs/>
          <w:noProof/>
          <w:szCs w:val="24"/>
        </w:rPr>
        <w:t>Hillsdale, NJ: Lawrence Erlbaum Associates</w:t>
      </w:r>
      <w:r w:rsidRPr="00734178">
        <w:rPr>
          <w:rFonts w:ascii="Calibri" w:hAnsi="Calibri" w:cs="Calibri"/>
          <w:noProof/>
          <w:szCs w:val="24"/>
        </w:rPr>
        <w:t>. Available at: https://wwwnxjdrm01.storage.googleapis.com/MDgwNTgwMjgzNQ==01.pdf (Accessed: 17 June 2018).</w:t>
      </w:r>
    </w:p>
    <w:p w14:paraId="253C70F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Collins, N. and Corna, L. (2018) ‘General practitioner referral of older patients to Improving Access to Psychological Therapies (IAPT): an exploratory qualitative study’, </w:t>
      </w:r>
      <w:r w:rsidRPr="00734178">
        <w:rPr>
          <w:rFonts w:ascii="Calibri" w:hAnsi="Calibri" w:cs="Calibri"/>
          <w:i/>
          <w:iCs/>
          <w:noProof/>
          <w:szCs w:val="24"/>
        </w:rPr>
        <w:t>BJPsych Bulletin</w:t>
      </w:r>
      <w:r w:rsidRPr="00734178">
        <w:rPr>
          <w:rFonts w:ascii="Calibri" w:hAnsi="Calibri" w:cs="Calibri"/>
          <w:noProof/>
          <w:szCs w:val="24"/>
        </w:rPr>
        <w:t>. Royal College of Psychiatrists, 42(3), p. 115. doi: 10.1192/BJB.2018.10.</w:t>
      </w:r>
    </w:p>
    <w:p w14:paraId="1AC5822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Coull, G. and Morris, P. G. (2011) ‘The clinical effectiveness of CBT-based guided self-help interventions for anxiety and depressive disorders: a systematic review’, </w:t>
      </w:r>
      <w:r w:rsidRPr="00734178">
        <w:rPr>
          <w:rFonts w:ascii="Calibri" w:hAnsi="Calibri" w:cs="Calibri"/>
          <w:i/>
          <w:iCs/>
          <w:noProof/>
          <w:szCs w:val="24"/>
        </w:rPr>
        <w:t>Psychological Medicine</w:t>
      </w:r>
      <w:r w:rsidRPr="00734178">
        <w:rPr>
          <w:rFonts w:ascii="Calibri" w:hAnsi="Calibri" w:cs="Calibri"/>
          <w:noProof/>
          <w:szCs w:val="24"/>
        </w:rPr>
        <w:t>, 41(11), pp. 2239–2252. doi: 10.1017/S0033291711000900.</w:t>
      </w:r>
    </w:p>
    <w:p w14:paraId="261ED94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Crabb, R. M. </w:t>
      </w:r>
      <w:r w:rsidRPr="00734178">
        <w:rPr>
          <w:rFonts w:ascii="Calibri" w:hAnsi="Calibri" w:cs="Calibri"/>
          <w:i/>
          <w:iCs/>
          <w:noProof/>
          <w:szCs w:val="24"/>
        </w:rPr>
        <w:t>et al.</w:t>
      </w:r>
      <w:r w:rsidRPr="00734178">
        <w:rPr>
          <w:rFonts w:ascii="Calibri" w:hAnsi="Calibri" w:cs="Calibri"/>
          <w:noProof/>
          <w:szCs w:val="24"/>
        </w:rPr>
        <w:t xml:space="preserve"> (2012) ‘Is computerized cognitive-behavioural therapy a treatment option for depression in late-life? A systematic review’, </w:t>
      </w:r>
      <w:r w:rsidRPr="00734178">
        <w:rPr>
          <w:rFonts w:ascii="Calibri" w:hAnsi="Calibri" w:cs="Calibri"/>
          <w:i/>
          <w:iCs/>
          <w:noProof/>
          <w:szCs w:val="24"/>
        </w:rPr>
        <w:t>British Journal of Clinical Psychology</w:t>
      </w:r>
      <w:r w:rsidRPr="00734178">
        <w:rPr>
          <w:rFonts w:ascii="Calibri" w:hAnsi="Calibri" w:cs="Calibri"/>
          <w:noProof/>
          <w:szCs w:val="24"/>
        </w:rPr>
        <w:t>, 51(4), pp. 459–464. doi: 10.1111/j.2044-8260.2012.02038.x.</w:t>
      </w:r>
    </w:p>
    <w:p w14:paraId="08823AB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Craig, P. </w:t>
      </w:r>
      <w:r w:rsidRPr="00734178">
        <w:rPr>
          <w:rFonts w:ascii="Calibri" w:hAnsi="Calibri" w:cs="Calibri"/>
          <w:i/>
          <w:iCs/>
          <w:noProof/>
          <w:szCs w:val="24"/>
        </w:rPr>
        <w:t>et al.</w:t>
      </w:r>
      <w:r w:rsidRPr="00734178">
        <w:rPr>
          <w:rFonts w:ascii="Calibri" w:hAnsi="Calibri" w:cs="Calibri"/>
          <w:noProof/>
          <w:szCs w:val="24"/>
        </w:rPr>
        <w:t xml:space="preserve"> (2008) ‘Developing and evaluating complex interventions: the new Medical Research Council guidance.’, </w:t>
      </w:r>
      <w:r w:rsidRPr="00734178">
        <w:rPr>
          <w:rFonts w:ascii="Calibri" w:hAnsi="Calibri" w:cs="Calibri"/>
          <w:i/>
          <w:iCs/>
          <w:noProof/>
          <w:szCs w:val="24"/>
        </w:rPr>
        <w:t>BMJ (Clinical research ed.)</w:t>
      </w:r>
      <w:r w:rsidRPr="00734178">
        <w:rPr>
          <w:rFonts w:ascii="Calibri" w:hAnsi="Calibri" w:cs="Calibri"/>
          <w:noProof/>
          <w:szCs w:val="24"/>
        </w:rPr>
        <w:t>. BMJ Publishing Group, 337, p. a1655. doi: 10.1136/bmj.a1655.</w:t>
      </w:r>
    </w:p>
    <w:p w14:paraId="0713EBC8"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Cuadrado, F. and Dueñas, J. (2012) ‘Mobile application stores: Success factors, existing approaches, and future developments’, </w:t>
      </w:r>
      <w:r w:rsidRPr="00734178">
        <w:rPr>
          <w:rFonts w:ascii="Calibri" w:hAnsi="Calibri" w:cs="Calibri"/>
          <w:i/>
          <w:iCs/>
          <w:noProof/>
          <w:szCs w:val="24"/>
        </w:rPr>
        <w:t>IEEE Communications Magazine</w:t>
      </w:r>
      <w:r w:rsidRPr="00734178">
        <w:rPr>
          <w:rFonts w:ascii="Calibri" w:hAnsi="Calibri" w:cs="Calibri"/>
          <w:noProof/>
          <w:szCs w:val="24"/>
        </w:rPr>
        <w:t>, 50(11), pp. 160–167. doi: 10.1109/MCOM.2012.6353696.</w:t>
      </w:r>
    </w:p>
    <w:p w14:paraId="224914F3"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Cuijpers, P. </w:t>
      </w:r>
      <w:r w:rsidRPr="00734178">
        <w:rPr>
          <w:rFonts w:ascii="Calibri" w:hAnsi="Calibri" w:cs="Calibri"/>
          <w:i/>
          <w:iCs/>
          <w:noProof/>
          <w:szCs w:val="24"/>
        </w:rPr>
        <w:t>et al.</w:t>
      </w:r>
      <w:r w:rsidRPr="00734178">
        <w:rPr>
          <w:rFonts w:ascii="Calibri" w:hAnsi="Calibri" w:cs="Calibri"/>
          <w:noProof/>
          <w:szCs w:val="24"/>
        </w:rPr>
        <w:t xml:space="preserve"> (2009) ‘Computer-aided psychotherapy for anxiety disorders: A meta-analytic review’, </w:t>
      </w:r>
      <w:r w:rsidRPr="00734178">
        <w:rPr>
          <w:rFonts w:ascii="Calibri" w:hAnsi="Calibri" w:cs="Calibri"/>
          <w:i/>
          <w:iCs/>
          <w:noProof/>
          <w:szCs w:val="24"/>
        </w:rPr>
        <w:t>Cognitive Behaviour Therapy</w:t>
      </w:r>
      <w:r w:rsidRPr="00734178">
        <w:rPr>
          <w:rFonts w:ascii="Calibri" w:hAnsi="Calibri" w:cs="Calibri"/>
          <w:noProof/>
          <w:szCs w:val="24"/>
        </w:rPr>
        <w:t>, 38(2), pp. 66–82. doi: 10.1080/16506070802694776.</w:t>
      </w:r>
    </w:p>
    <w:p w14:paraId="68B5781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Cuijpers, P., Donker, T., </w:t>
      </w:r>
      <w:r w:rsidRPr="00734178">
        <w:rPr>
          <w:rFonts w:ascii="Calibri" w:hAnsi="Calibri" w:cs="Calibri"/>
          <w:i/>
          <w:iCs/>
          <w:noProof/>
          <w:szCs w:val="24"/>
        </w:rPr>
        <w:t>et al.</w:t>
      </w:r>
      <w:r w:rsidRPr="00734178">
        <w:rPr>
          <w:rFonts w:ascii="Calibri" w:hAnsi="Calibri" w:cs="Calibri"/>
          <w:noProof/>
          <w:szCs w:val="24"/>
        </w:rPr>
        <w:t xml:space="preserve"> (2010) ‘Is guided self-help as effective as face-to-face psychotherapy for depression and anxiety disorders? A systematic review and meta-analysis of comparative outcome studies’, </w:t>
      </w:r>
      <w:r w:rsidRPr="00734178">
        <w:rPr>
          <w:rFonts w:ascii="Calibri" w:hAnsi="Calibri" w:cs="Calibri"/>
          <w:i/>
          <w:iCs/>
          <w:noProof/>
          <w:szCs w:val="24"/>
        </w:rPr>
        <w:t>Psychological Medicine</w:t>
      </w:r>
      <w:r w:rsidRPr="00734178">
        <w:rPr>
          <w:rFonts w:ascii="Calibri" w:hAnsi="Calibri" w:cs="Calibri"/>
          <w:noProof/>
          <w:szCs w:val="24"/>
        </w:rPr>
        <w:t>, 40(12), pp. 1943–1957. doi: 10.1017/S0033291710000772.</w:t>
      </w:r>
    </w:p>
    <w:p w14:paraId="14CC9440"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Cuijpers, P., van Straten, A., </w:t>
      </w:r>
      <w:r w:rsidRPr="00734178">
        <w:rPr>
          <w:rFonts w:ascii="Calibri" w:hAnsi="Calibri" w:cs="Calibri"/>
          <w:i/>
          <w:iCs/>
          <w:noProof/>
          <w:szCs w:val="24"/>
        </w:rPr>
        <w:t>et al.</w:t>
      </w:r>
      <w:r w:rsidRPr="00734178">
        <w:rPr>
          <w:rFonts w:ascii="Calibri" w:hAnsi="Calibri" w:cs="Calibri"/>
          <w:noProof/>
          <w:szCs w:val="24"/>
        </w:rPr>
        <w:t xml:space="preserve"> (2010) ‘The effects of psychotherapy for adult depression are overestimated: a meta-analysis of study quality and effect size’, </w:t>
      </w:r>
      <w:r w:rsidRPr="00734178">
        <w:rPr>
          <w:rFonts w:ascii="Calibri" w:hAnsi="Calibri" w:cs="Calibri"/>
          <w:i/>
          <w:iCs/>
          <w:noProof/>
          <w:szCs w:val="24"/>
        </w:rPr>
        <w:t>Psychological Medicine</w:t>
      </w:r>
      <w:r w:rsidRPr="00734178">
        <w:rPr>
          <w:rFonts w:ascii="Calibri" w:hAnsi="Calibri" w:cs="Calibri"/>
          <w:noProof/>
          <w:szCs w:val="24"/>
        </w:rPr>
        <w:t>. Cambridge University Press, 40(02), p. 211. doi: 10.1017/S0033291709006114.</w:t>
      </w:r>
    </w:p>
    <w:p w14:paraId="07600DD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Cuijpers, P. </w:t>
      </w:r>
      <w:r w:rsidRPr="00734178">
        <w:rPr>
          <w:rFonts w:ascii="Calibri" w:hAnsi="Calibri" w:cs="Calibri"/>
          <w:i/>
          <w:iCs/>
          <w:noProof/>
          <w:szCs w:val="24"/>
        </w:rPr>
        <w:t>et al.</w:t>
      </w:r>
      <w:r w:rsidRPr="00734178">
        <w:rPr>
          <w:rFonts w:ascii="Calibri" w:hAnsi="Calibri" w:cs="Calibri"/>
          <w:noProof/>
          <w:szCs w:val="24"/>
        </w:rPr>
        <w:t xml:space="preserve"> (2011) ‘Self-guided psychological treatment for depressive symptoms: A meta-analysis’, </w:t>
      </w:r>
      <w:r w:rsidRPr="00734178">
        <w:rPr>
          <w:rFonts w:ascii="Calibri" w:hAnsi="Calibri" w:cs="Calibri"/>
          <w:i/>
          <w:iCs/>
          <w:noProof/>
          <w:szCs w:val="24"/>
        </w:rPr>
        <w:t>PLoS ONE</w:t>
      </w:r>
      <w:r w:rsidRPr="00734178">
        <w:rPr>
          <w:rFonts w:ascii="Calibri" w:hAnsi="Calibri" w:cs="Calibri"/>
          <w:noProof/>
          <w:szCs w:val="24"/>
        </w:rPr>
        <w:t>, 6(6), pp. 1–7. doi: 10.1371/journal.pone.0021274.</w:t>
      </w:r>
    </w:p>
    <w:p w14:paraId="0AFF48C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Cuijpers, P. and Riper, H. (2014) ‘Internet intervantions for depressive disorders: an overview’, </w:t>
      </w:r>
      <w:r w:rsidRPr="00734178">
        <w:rPr>
          <w:rFonts w:ascii="Calibri" w:hAnsi="Calibri" w:cs="Calibri"/>
          <w:i/>
          <w:iCs/>
          <w:noProof/>
          <w:szCs w:val="24"/>
        </w:rPr>
        <w:t>Revista de psicopatología y psicología clínica</w:t>
      </w:r>
      <w:r w:rsidRPr="00734178">
        <w:rPr>
          <w:rFonts w:ascii="Calibri" w:hAnsi="Calibri" w:cs="Calibri"/>
          <w:noProof/>
          <w:szCs w:val="24"/>
        </w:rPr>
        <w:t>, 19(3), pp. 209–216. doi: http://dx.doi.org/10.5944/rppc.</w:t>
      </w:r>
    </w:p>
    <w:p w14:paraId="7E987839"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lastRenderedPageBreak/>
        <w:t xml:space="preserve">Cuijpers, P. and Riper, H. (2014) ‘Internet interventions for depressive disorders : An overview’, </w:t>
      </w:r>
      <w:r w:rsidRPr="00734178">
        <w:rPr>
          <w:rFonts w:ascii="Calibri" w:hAnsi="Calibri" w:cs="Calibri"/>
          <w:i/>
          <w:iCs/>
          <w:noProof/>
          <w:szCs w:val="24"/>
        </w:rPr>
        <w:t>Revista de Psicopatología y Psicología Clínica</w:t>
      </w:r>
      <w:r w:rsidRPr="00734178">
        <w:rPr>
          <w:rFonts w:ascii="Calibri" w:hAnsi="Calibri" w:cs="Calibri"/>
          <w:noProof/>
          <w:szCs w:val="24"/>
        </w:rPr>
        <w:t>, 19, pp. 209–216. doi: http://dx.doi.org/10.5944/rppc.vol.19.num.3.2014.13902.</w:t>
      </w:r>
    </w:p>
    <w:p w14:paraId="3A4912CD"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Cummings, E., Borycki, E. M. and Roehrer, E. (2013) ‘Issues and considerations for healthcare consumers using mobile applications’, </w:t>
      </w:r>
      <w:r w:rsidRPr="00734178">
        <w:rPr>
          <w:rFonts w:ascii="Calibri" w:hAnsi="Calibri" w:cs="Calibri"/>
          <w:i/>
          <w:iCs/>
          <w:noProof/>
          <w:szCs w:val="24"/>
        </w:rPr>
        <w:t>Studies in Health Technology and Informatics</w:t>
      </w:r>
      <w:r w:rsidRPr="00734178">
        <w:rPr>
          <w:rFonts w:ascii="Calibri" w:hAnsi="Calibri" w:cs="Calibri"/>
          <w:noProof/>
          <w:szCs w:val="24"/>
        </w:rPr>
        <w:t>, 183, pp. 227–231. doi: 10.3233/978-1-61499-203-5-227.</w:t>
      </w:r>
    </w:p>
    <w:p w14:paraId="20631220"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Czaja, S. J. </w:t>
      </w:r>
      <w:r w:rsidRPr="00734178">
        <w:rPr>
          <w:rFonts w:ascii="Calibri" w:hAnsi="Calibri" w:cs="Calibri"/>
          <w:i/>
          <w:iCs/>
          <w:noProof/>
          <w:szCs w:val="24"/>
        </w:rPr>
        <w:t>et al.</w:t>
      </w:r>
      <w:r w:rsidRPr="00734178">
        <w:rPr>
          <w:rFonts w:ascii="Calibri" w:hAnsi="Calibri" w:cs="Calibri"/>
          <w:noProof/>
          <w:szCs w:val="24"/>
        </w:rPr>
        <w:t xml:space="preserve"> (2006) ‘Factors predicting the use of technology: findings from the Center for Research and Education on Aging and Technology Enhancement (CREATE).’, </w:t>
      </w:r>
      <w:r w:rsidRPr="00734178">
        <w:rPr>
          <w:rFonts w:ascii="Calibri" w:hAnsi="Calibri" w:cs="Calibri"/>
          <w:i/>
          <w:iCs/>
          <w:noProof/>
          <w:szCs w:val="24"/>
        </w:rPr>
        <w:t>Psychology and aging</w:t>
      </w:r>
      <w:r w:rsidRPr="00734178">
        <w:rPr>
          <w:rFonts w:ascii="Calibri" w:hAnsi="Calibri" w:cs="Calibri"/>
          <w:noProof/>
          <w:szCs w:val="24"/>
        </w:rPr>
        <w:t>. NIH Public Access, 21(2), pp. 333–52. doi: 10.1037/0882-7974.21.2.333.</w:t>
      </w:r>
    </w:p>
    <w:p w14:paraId="13BB0C53"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Dagöö, J. </w:t>
      </w:r>
      <w:r w:rsidRPr="00734178">
        <w:rPr>
          <w:rFonts w:ascii="Calibri" w:hAnsi="Calibri" w:cs="Calibri"/>
          <w:i/>
          <w:iCs/>
          <w:noProof/>
          <w:szCs w:val="24"/>
        </w:rPr>
        <w:t>et al.</w:t>
      </w:r>
      <w:r w:rsidRPr="00734178">
        <w:rPr>
          <w:rFonts w:ascii="Calibri" w:hAnsi="Calibri" w:cs="Calibri"/>
          <w:noProof/>
          <w:szCs w:val="24"/>
        </w:rPr>
        <w:t xml:space="preserve"> (2014) ‘Cognitive behavior therapy versus interpersonal psychotherapy for social anxiety disorder delivered via smartphone and computer: A randomized controlled trial’, </w:t>
      </w:r>
      <w:r w:rsidRPr="00734178">
        <w:rPr>
          <w:rFonts w:ascii="Calibri" w:hAnsi="Calibri" w:cs="Calibri"/>
          <w:i/>
          <w:iCs/>
          <w:noProof/>
          <w:szCs w:val="24"/>
        </w:rPr>
        <w:t>Journal of Anxiety Disorders</w:t>
      </w:r>
      <w:r w:rsidRPr="00734178">
        <w:rPr>
          <w:rFonts w:ascii="Calibri" w:hAnsi="Calibri" w:cs="Calibri"/>
          <w:noProof/>
          <w:szCs w:val="24"/>
        </w:rPr>
        <w:t>, 28(4), pp. 410–417. doi: 10.1016/j.janxdis.2014.02.003.</w:t>
      </w:r>
    </w:p>
    <w:p w14:paraId="09D4968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David, A. and Glore, P. (2013) ‘The impact of design and aesthetics on usability, credibility, and learning in an online environment’, </w:t>
      </w:r>
      <w:r w:rsidRPr="00734178">
        <w:rPr>
          <w:rFonts w:ascii="Calibri" w:hAnsi="Calibri" w:cs="Calibri"/>
          <w:i/>
          <w:iCs/>
          <w:noProof/>
          <w:szCs w:val="24"/>
        </w:rPr>
        <w:t>Online Journal of Distance Learning Administration</w:t>
      </w:r>
      <w:r w:rsidRPr="00734178">
        <w:rPr>
          <w:rFonts w:ascii="Calibri" w:hAnsi="Calibri" w:cs="Calibri"/>
          <w:noProof/>
          <w:szCs w:val="24"/>
        </w:rPr>
        <w:t>, 13(4), pp. 1–8. doi: 10.1016/j.midw.2009.05.005.</w:t>
      </w:r>
    </w:p>
    <w:p w14:paraId="3BA0AD96"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Dear, B. F. </w:t>
      </w:r>
      <w:r w:rsidRPr="00734178">
        <w:rPr>
          <w:rFonts w:ascii="Calibri" w:hAnsi="Calibri" w:cs="Calibri"/>
          <w:i/>
          <w:iCs/>
          <w:noProof/>
          <w:szCs w:val="24"/>
        </w:rPr>
        <w:t>et al.</w:t>
      </w:r>
      <w:r w:rsidRPr="00734178">
        <w:rPr>
          <w:rFonts w:ascii="Calibri" w:hAnsi="Calibri" w:cs="Calibri"/>
          <w:noProof/>
          <w:szCs w:val="24"/>
        </w:rPr>
        <w:t xml:space="preserve"> (2013) ‘Internet-delivered cognitive behavioural therapy for depression: A feasibility open trial for older adults’, </w:t>
      </w:r>
      <w:r w:rsidRPr="00734178">
        <w:rPr>
          <w:rFonts w:ascii="Calibri" w:hAnsi="Calibri" w:cs="Calibri"/>
          <w:i/>
          <w:iCs/>
          <w:noProof/>
          <w:szCs w:val="24"/>
        </w:rPr>
        <w:t>Australian &amp; New Zealand Journal of Psychiatry</w:t>
      </w:r>
      <w:r w:rsidRPr="00734178">
        <w:rPr>
          <w:rFonts w:ascii="Calibri" w:hAnsi="Calibri" w:cs="Calibri"/>
          <w:noProof/>
          <w:szCs w:val="24"/>
        </w:rPr>
        <w:t>, 47(2), pp. 169–176. doi: 10.1177/0004867412466154.</w:t>
      </w:r>
    </w:p>
    <w:p w14:paraId="1E3031D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Dear, B. F. </w:t>
      </w:r>
      <w:r w:rsidRPr="00734178">
        <w:rPr>
          <w:rFonts w:ascii="Calibri" w:hAnsi="Calibri" w:cs="Calibri"/>
          <w:i/>
          <w:iCs/>
          <w:noProof/>
          <w:szCs w:val="24"/>
        </w:rPr>
        <w:t>et al.</w:t>
      </w:r>
      <w:r w:rsidRPr="00734178">
        <w:rPr>
          <w:rFonts w:ascii="Calibri" w:hAnsi="Calibri" w:cs="Calibri"/>
          <w:noProof/>
          <w:szCs w:val="24"/>
        </w:rPr>
        <w:t xml:space="preserve"> (2015) ‘Clinical and Cost-Effectiveness of Therapist-Guided Internet-Delivered Cognitive Behavior Therapy for Older Adults With Symptoms of Anxiety: A Randomized Controlled Trial’, </w:t>
      </w:r>
      <w:r w:rsidRPr="00734178">
        <w:rPr>
          <w:rFonts w:ascii="Calibri" w:hAnsi="Calibri" w:cs="Calibri"/>
          <w:i/>
          <w:iCs/>
          <w:noProof/>
          <w:szCs w:val="24"/>
        </w:rPr>
        <w:t>Behavior Therapy</w:t>
      </w:r>
      <w:r w:rsidRPr="00734178">
        <w:rPr>
          <w:rFonts w:ascii="Calibri" w:hAnsi="Calibri" w:cs="Calibri"/>
          <w:noProof/>
          <w:szCs w:val="24"/>
        </w:rPr>
        <w:t>. Elsevier B.V., 46(2), pp. 206–217. doi: 10.1016/j.beth.2014.09.007.</w:t>
      </w:r>
    </w:p>
    <w:p w14:paraId="39F45FC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Delgadillo, J. </w:t>
      </w:r>
      <w:r w:rsidRPr="00734178">
        <w:rPr>
          <w:rFonts w:ascii="Calibri" w:hAnsi="Calibri" w:cs="Calibri"/>
          <w:i/>
          <w:iCs/>
          <w:noProof/>
          <w:szCs w:val="24"/>
        </w:rPr>
        <w:t>et al.</w:t>
      </w:r>
      <w:r w:rsidRPr="00734178">
        <w:rPr>
          <w:rFonts w:ascii="Calibri" w:hAnsi="Calibri" w:cs="Calibri"/>
          <w:noProof/>
          <w:szCs w:val="24"/>
        </w:rPr>
        <w:t xml:space="preserve"> (2017) ‘Case complexity as a guide for psychological treatment selection.’, </w:t>
      </w:r>
      <w:r w:rsidRPr="00734178">
        <w:rPr>
          <w:rFonts w:ascii="Calibri" w:hAnsi="Calibri" w:cs="Calibri"/>
          <w:i/>
          <w:iCs/>
          <w:noProof/>
          <w:szCs w:val="24"/>
        </w:rPr>
        <w:t>Journal of Consulting and Clinical Psychology</w:t>
      </w:r>
      <w:r w:rsidRPr="00734178">
        <w:rPr>
          <w:rFonts w:ascii="Calibri" w:hAnsi="Calibri" w:cs="Calibri"/>
          <w:noProof/>
          <w:szCs w:val="24"/>
        </w:rPr>
        <w:t>, 85(9), pp. 835–853. doi: 10.1037/ccp0000231.</w:t>
      </w:r>
    </w:p>
    <w:p w14:paraId="6F0BB70D"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Delgadillo, J. (2018) ‘Guided self-help in a brave new world’, </w:t>
      </w:r>
      <w:r w:rsidRPr="00734178">
        <w:rPr>
          <w:rFonts w:ascii="Calibri" w:hAnsi="Calibri" w:cs="Calibri"/>
          <w:i/>
          <w:iCs/>
          <w:noProof/>
          <w:szCs w:val="24"/>
        </w:rPr>
        <w:t>The British Journal of Psychiatry</w:t>
      </w:r>
      <w:r w:rsidRPr="00734178">
        <w:rPr>
          <w:rFonts w:ascii="Calibri" w:hAnsi="Calibri" w:cs="Calibri"/>
          <w:noProof/>
          <w:szCs w:val="24"/>
        </w:rPr>
        <w:t>, 212(02), pp. 65–66. doi: 10.1192/bjp.2017.17.</w:t>
      </w:r>
    </w:p>
    <w:p w14:paraId="2F7A526D"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Delgadillo, J. and Groom, M. (2017) ‘Using Psychoeducation and Role Induction to Improve Completion Rates in Cognitive Behavioural Therapy’, </w:t>
      </w:r>
      <w:r w:rsidRPr="00734178">
        <w:rPr>
          <w:rFonts w:ascii="Calibri" w:hAnsi="Calibri" w:cs="Calibri"/>
          <w:i/>
          <w:iCs/>
          <w:noProof/>
          <w:szCs w:val="24"/>
        </w:rPr>
        <w:t>Behavioural and Cognitive Psychotherapy</w:t>
      </w:r>
      <w:r w:rsidRPr="00734178">
        <w:rPr>
          <w:rFonts w:ascii="Calibri" w:hAnsi="Calibri" w:cs="Calibri"/>
          <w:noProof/>
          <w:szCs w:val="24"/>
        </w:rPr>
        <w:t>, 45(02), pp. 170–184. doi: 10.1017/S1352465816000643.</w:t>
      </w:r>
    </w:p>
    <w:p w14:paraId="02B8FE3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Deloitte (2017) ‘State of the smart Consumer and business usage patterns’, pp. 3–52. Available at: https://www.deloitte.co.uk/mobileuk/assets/img/download/global-mobile-consumer-survey-2017_uk-cut.pdf#page=16.</w:t>
      </w:r>
    </w:p>
    <w:p w14:paraId="0DFE0716"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Department for Business Energy &amp; Industrial Strategy (2012) </w:t>
      </w:r>
      <w:r w:rsidRPr="00734178">
        <w:rPr>
          <w:rFonts w:ascii="Calibri" w:hAnsi="Calibri" w:cs="Calibri"/>
          <w:i/>
          <w:iCs/>
          <w:noProof/>
          <w:szCs w:val="24"/>
        </w:rPr>
        <w:t>CE marking</w:t>
      </w:r>
      <w:r w:rsidRPr="00734178">
        <w:rPr>
          <w:rFonts w:ascii="Calibri" w:hAnsi="Calibri" w:cs="Calibri"/>
          <w:noProof/>
          <w:szCs w:val="24"/>
        </w:rPr>
        <w:t xml:space="preserve">, </w:t>
      </w:r>
      <w:r w:rsidRPr="00734178">
        <w:rPr>
          <w:rFonts w:ascii="Calibri" w:hAnsi="Calibri" w:cs="Calibri"/>
          <w:i/>
          <w:iCs/>
          <w:noProof/>
          <w:szCs w:val="24"/>
        </w:rPr>
        <w:t>gov.uk</w:t>
      </w:r>
      <w:r w:rsidRPr="00734178">
        <w:rPr>
          <w:rFonts w:ascii="Calibri" w:hAnsi="Calibri" w:cs="Calibri"/>
          <w:noProof/>
          <w:szCs w:val="24"/>
        </w:rPr>
        <w:t>. Available at: https://www.gov.uk/guidance/ce-marking (Accessed: 24 February 2018).</w:t>
      </w:r>
    </w:p>
    <w:p w14:paraId="65628ED0"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lastRenderedPageBreak/>
        <w:t>Department of Health (2011) ‘Talking therapies: A four-year plan of action. A supporting document to No health without mental health: A cross- government mental health outcomes strategy for people of all ages’, pp. 1–28. Available at: http://www.dh.gov.uk/en/Publicationsandstatistics/Publications/PublicationsPolicyAndGuidance/DH_123759 (Accessed: 15 May 2017).</w:t>
      </w:r>
    </w:p>
    <w:p w14:paraId="110DBEC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Department of Health (2013) ‘How to make IAPT more accessible to Older People’, (March).</w:t>
      </w:r>
    </w:p>
    <w:p w14:paraId="575C530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Department of Health and Social Care (2012) </w:t>
      </w:r>
      <w:r w:rsidRPr="00734178">
        <w:rPr>
          <w:rFonts w:ascii="Calibri" w:hAnsi="Calibri" w:cs="Calibri"/>
          <w:i/>
          <w:iCs/>
          <w:noProof/>
          <w:szCs w:val="24"/>
        </w:rPr>
        <w:t>Friends and Family Test: what it means for NHS - GOV.UK</w:t>
      </w:r>
      <w:r w:rsidRPr="00734178">
        <w:rPr>
          <w:rFonts w:ascii="Calibri" w:hAnsi="Calibri" w:cs="Calibri"/>
          <w:noProof/>
          <w:szCs w:val="24"/>
        </w:rPr>
        <w:t xml:space="preserve">, </w:t>
      </w:r>
      <w:r w:rsidRPr="00734178">
        <w:rPr>
          <w:rFonts w:ascii="Calibri" w:hAnsi="Calibri" w:cs="Calibri"/>
          <w:i/>
          <w:iCs/>
          <w:noProof/>
          <w:szCs w:val="24"/>
        </w:rPr>
        <w:t>gov.uk</w:t>
      </w:r>
      <w:r w:rsidRPr="00734178">
        <w:rPr>
          <w:rFonts w:ascii="Calibri" w:hAnsi="Calibri" w:cs="Calibri"/>
          <w:noProof/>
          <w:szCs w:val="24"/>
        </w:rPr>
        <w:t>. Available at: https://www.gov.uk/government/news/friends-and-family-test-what-it-means-for-nhs (Accessed: 5 March 2018).</w:t>
      </w:r>
    </w:p>
    <w:p w14:paraId="0BEAD82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Devilly, G. J. and Borkovec, T. D. (2000) ‘Psychometric properties of the credibility/expectancy questionnaire’, </w:t>
      </w:r>
      <w:r w:rsidRPr="00734178">
        <w:rPr>
          <w:rFonts w:ascii="Calibri" w:hAnsi="Calibri" w:cs="Calibri"/>
          <w:i/>
          <w:iCs/>
          <w:noProof/>
          <w:szCs w:val="24"/>
        </w:rPr>
        <w:t>Journal of Behavior Therapy and Experimental Psychiatry</w:t>
      </w:r>
      <w:r w:rsidRPr="00734178">
        <w:rPr>
          <w:rFonts w:ascii="Calibri" w:hAnsi="Calibri" w:cs="Calibri"/>
          <w:noProof/>
          <w:szCs w:val="24"/>
        </w:rPr>
        <w:t>, 31(2), pp. 73–86. doi: 10.1016/S0005-7916(00)00012-4.</w:t>
      </w:r>
    </w:p>
    <w:p w14:paraId="4B729C5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Djernes, J. K. (2006) ‘Prevalence and predictors of depression in populations of elderly: A review’, </w:t>
      </w:r>
      <w:r w:rsidRPr="00734178">
        <w:rPr>
          <w:rFonts w:ascii="Calibri" w:hAnsi="Calibri" w:cs="Calibri"/>
          <w:i/>
          <w:iCs/>
          <w:noProof/>
          <w:szCs w:val="24"/>
        </w:rPr>
        <w:t>Acta Psychiatrica Scandinavica</w:t>
      </w:r>
      <w:r w:rsidRPr="00734178">
        <w:rPr>
          <w:rFonts w:ascii="Calibri" w:hAnsi="Calibri" w:cs="Calibri"/>
          <w:noProof/>
          <w:szCs w:val="24"/>
        </w:rPr>
        <w:t>, 113(5), pp. 372–387. doi: 10.1111/j.1600-0447.2006.00770.x.</w:t>
      </w:r>
    </w:p>
    <w:p w14:paraId="06E3B4F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Donker, T., Bennett, K., </w:t>
      </w:r>
      <w:r w:rsidRPr="00734178">
        <w:rPr>
          <w:rFonts w:ascii="Calibri" w:hAnsi="Calibri" w:cs="Calibri"/>
          <w:i/>
          <w:iCs/>
          <w:noProof/>
          <w:szCs w:val="24"/>
        </w:rPr>
        <w:t>et al.</w:t>
      </w:r>
      <w:r w:rsidRPr="00734178">
        <w:rPr>
          <w:rFonts w:ascii="Calibri" w:hAnsi="Calibri" w:cs="Calibri"/>
          <w:noProof/>
          <w:szCs w:val="24"/>
        </w:rPr>
        <w:t xml:space="preserve"> (2013) ‘Internet-delivered interpersonal psychotherapy versus internet-delivered cognitive behavioral therapy for adults with depressive symptoms: Randomized controlled noninferiority trial’, </w:t>
      </w:r>
      <w:r w:rsidRPr="00734178">
        <w:rPr>
          <w:rFonts w:ascii="Calibri" w:hAnsi="Calibri" w:cs="Calibri"/>
          <w:i/>
          <w:iCs/>
          <w:noProof/>
          <w:szCs w:val="24"/>
        </w:rPr>
        <w:t>Journal of Medical Internet Research</w:t>
      </w:r>
      <w:r w:rsidRPr="00734178">
        <w:rPr>
          <w:rFonts w:ascii="Calibri" w:hAnsi="Calibri" w:cs="Calibri"/>
          <w:noProof/>
          <w:szCs w:val="24"/>
        </w:rPr>
        <w:t>, 15(5), pp. 1–16. doi: 10.2196/jmir.2307.</w:t>
      </w:r>
    </w:p>
    <w:p w14:paraId="68A1D333"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Donker, T., Petrie, K., </w:t>
      </w:r>
      <w:r w:rsidRPr="00734178">
        <w:rPr>
          <w:rFonts w:ascii="Calibri" w:hAnsi="Calibri" w:cs="Calibri"/>
          <w:i/>
          <w:iCs/>
          <w:noProof/>
          <w:szCs w:val="24"/>
        </w:rPr>
        <w:t>et al.</w:t>
      </w:r>
      <w:r w:rsidRPr="00734178">
        <w:rPr>
          <w:rFonts w:ascii="Calibri" w:hAnsi="Calibri" w:cs="Calibri"/>
          <w:noProof/>
          <w:szCs w:val="24"/>
        </w:rPr>
        <w:t xml:space="preserve"> (2013) ‘Smartphones for smarter delivery of mental health programs: a systematic review.’, </w:t>
      </w:r>
      <w:r w:rsidRPr="00734178">
        <w:rPr>
          <w:rFonts w:ascii="Calibri" w:hAnsi="Calibri" w:cs="Calibri"/>
          <w:i/>
          <w:iCs/>
          <w:noProof/>
          <w:szCs w:val="24"/>
        </w:rPr>
        <w:t>Journal of medical Internet research</w:t>
      </w:r>
      <w:r w:rsidRPr="00734178">
        <w:rPr>
          <w:rFonts w:ascii="Calibri" w:hAnsi="Calibri" w:cs="Calibri"/>
          <w:noProof/>
          <w:szCs w:val="24"/>
        </w:rPr>
        <w:t>. Journal of Medical Internet Research, 15(11), p. e247. doi: 10.2196/jmir.2791.</w:t>
      </w:r>
    </w:p>
    <w:p w14:paraId="23302E36"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Dutton, P. (2014) </w:t>
      </w:r>
      <w:r w:rsidRPr="00734178">
        <w:rPr>
          <w:rFonts w:ascii="Calibri" w:hAnsi="Calibri" w:cs="Calibri"/>
          <w:i/>
          <w:iCs/>
          <w:noProof/>
          <w:szCs w:val="24"/>
        </w:rPr>
        <w:t>Australia’s First Digital Hospital</w:t>
      </w:r>
      <w:r w:rsidRPr="00734178">
        <w:rPr>
          <w:rFonts w:ascii="Calibri" w:hAnsi="Calibri" w:cs="Calibri"/>
          <w:noProof/>
          <w:szCs w:val="24"/>
        </w:rPr>
        <w:t>. Australian Government Department of Health. Available at: http://www.health.gov.au/internet/ministers/publishing.nsf/Content/health-mediarel-yr2014-dutton109.htm (Accessed: 9 September 2016).</w:t>
      </w:r>
    </w:p>
    <w:p w14:paraId="0A698990"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Easton, K. </w:t>
      </w:r>
      <w:r w:rsidRPr="00734178">
        <w:rPr>
          <w:rFonts w:ascii="Calibri" w:hAnsi="Calibri" w:cs="Calibri"/>
          <w:i/>
          <w:iCs/>
          <w:noProof/>
          <w:szCs w:val="24"/>
        </w:rPr>
        <w:t>et al.</w:t>
      </w:r>
      <w:r w:rsidRPr="00734178">
        <w:rPr>
          <w:rFonts w:ascii="Calibri" w:hAnsi="Calibri" w:cs="Calibri"/>
          <w:noProof/>
          <w:szCs w:val="24"/>
        </w:rPr>
        <w:t xml:space="preserve"> (2018) ‘Technology supported delivery of Cognitive Analytic Therapy: Co-design, development and user-testing.’, in.</w:t>
      </w:r>
    </w:p>
    <w:p w14:paraId="0DCF18C8"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Elsegood, K. and Powell, D. (2008) ‘Computerised cognitive-behaviour therapy (cCBT) and older people: A pilot study to determine factors that influence willingness to engage with cCBT’, </w:t>
      </w:r>
      <w:r w:rsidRPr="00734178">
        <w:rPr>
          <w:rFonts w:ascii="Calibri" w:hAnsi="Calibri" w:cs="Calibri"/>
          <w:i/>
          <w:iCs/>
          <w:noProof/>
          <w:szCs w:val="24"/>
        </w:rPr>
        <w:t>Counselling and Psychotherapy Research</w:t>
      </w:r>
      <w:r w:rsidRPr="00734178">
        <w:rPr>
          <w:rFonts w:ascii="Calibri" w:hAnsi="Calibri" w:cs="Calibri"/>
          <w:noProof/>
          <w:szCs w:val="24"/>
        </w:rPr>
        <w:t>, 8(3), pp. 189–192. doi: 10.1080/14733140802163914.</w:t>
      </w:r>
    </w:p>
    <w:p w14:paraId="5CF65E5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Etzelmueller, A. </w:t>
      </w:r>
      <w:r w:rsidRPr="00734178">
        <w:rPr>
          <w:rFonts w:ascii="Calibri" w:hAnsi="Calibri" w:cs="Calibri"/>
          <w:i/>
          <w:iCs/>
          <w:noProof/>
          <w:szCs w:val="24"/>
        </w:rPr>
        <w:t>et al.</w:t>
      </w:r>
      <w:r w:rsidRPr="00734178">
        <w:rPr>
          <w:rFonts w:ascii="Calibri" w:hAnsi="Calibri" w:cs="Calibri"/>
          <w:noProof/>
          <w:szCs w:val="24"/>
        </w:rPr>
        <w:t xml:space="preserve"> (2018) ‘Patient’s experience with blended video- and internet based cognitive behavioural therapy service in routine care’, </w:t>
      </w:r>
      <w:r w:rsidRPr="00734178">
        <w:rPr>
          <w:rFonts w:ascii="Calibri" w:hAnsi="Calibri" w:cs="Calibri"/>
          <w:i/>
          <w:iCs/>
          <w:noProof/>
          <w:szCs w:val="24"/>
        </w:rPr>
        <w:t>Internet Interventions</w:t>
      </w:r>
      <w:r w:rsidRPr="00734178">
        <w:rPr>
          <w:rFonts w:ascii="Calibri" w:hAnsi="Calibri" w:cs="Calibri"/>
          <w:noProof/>
          <w:szCs w:val="24"/>
        </w:rPr>
        <w:t>. Elsevier, 12, pp. 165–175. doi: 10.1016/J.INVENT.2018.01.003.</w:t>
      </w:r>
    </w:p>
    <w:p w14:paraId="728EE7F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European Commission (2016) </w:t>
      </w:r>
      <w:r w:rsidRPr="00734178">
        <w:rPr>
          <w:rFonts w:ascii="Calibri" w:hAnsi="Calibri" w:cs="Calibri"/>
          <w:i/>
          <w:iCs/>
          <w:noProof/>
          <w:szCs w:val="24"/>
        </w:rPr>
        <w:t>Guidance document Medical Devices - Scope, field of application, definition - Qualification and Classification of stand alone software - MEDDEV 2.1/6</w:t>
      </w:r>
      <w:r w:rsidRPr="00734178">
        <w:rPr>
          <w:rFonts w:ascii="Calibri" w:hAnsi="Calibri" w:cs="Calibri"/>
          <w:noProof/>
          <w:szCs w:val="24"/>
        </w:rPr>
        <w:t xml:space="preserve">. Available at: </w:t>
      </w:r>
      <w:r w:rsidRPr="00734178">
        <w:rPr>
          <w:rFonts w:ascii="Calibri" w:hAnsi="Calibri" w:cs="Calibri"/>
          <w:noProof/>
          <w:szCs w:val="24"/>
        </w:rPr>
        <w:lastRenderedPageBreak/>
        <w:t>http://ec.europa.eu/DocsRoom/documents/17921/attachments/1/translations/en/renditions/pdf.</w:t>
      </w:r>
    </w:p>
    <w:p w14:paraId="6F666BF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European Commission (2017) </w:t>
      </w:r>
      <w:r w:rsidRPr="00734178">
        <w:rPr>
          <w:rFonts w:ascii="Calibri" w:hAnsi="Calibri" w:cs="Calibri"/>
          <w:i/>
          <w:iCs/>
          <w:noProof/>
          <w:szCs w:val="24"/>
        </w:rPr>
        <w:t>Report of the Working Group on mHealth assessment guidelines | Digital Single Market</w:t>
      </w:r>
      <w:r w:rsidRPr="00734178">
        <w:rPr>
          <w:rFonts w:ascii="Calibri" w:hAnsi="Calibri" w:cs="Calibri"/>
          <w:noProof/>
          <w:szCs w:val="24"/>
        </w:rPr>
        <w:t>. Available at: https://ec.europa.eu/digital-single-market/en/news/report-working-group-mhealth-assessment-guidelines (Accessed: 7 April 2018).</w:t>
      </w:r>
    </w:p>
    <w:p w14:paraId="4749A0A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Eysenbach, G. (2005) ‘The law of attrition.’, </w:t>
      </w:r>
      <w:r w:rsidRPr="00734178">
        <w:rPr>
          <w:rFonts w:ascii="Calibri" w:hAnsi="Calibri" w:cs="Calibri"/>
          <w:i/>
          <w:iCs/>
          <w:noProof/>
          <w:szCs w:val="24"/>
        </w:rPr>
        <w:t>Journal of medical Internet research</w:t>
      </w:r>
      <w:r w:rsidRPr="00734178">
        <w:rPr>
          <w:rFonts w:ascii="Calibri" w:hAnsi="Calibri" w:cs="Calibri"/>
          <w:noProof/>
          <w:szCs w:val="24"/>
        </w:rPr>
        <w:t>. Journal of Medical Internet Research, 7(1), p. e11. doi: 10.2196/jmir.7.1.e11.</w:t>
      </w:r>
    </w:p>
    <w:p w14:paraId="6EA4F51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Farrand, P. and Woodford, J. (2013) ‘Impact of support on the effectiveness of written cognitive behavioural self-help: A systematic review and meta-analysis of randomised controlled trials’, </w:t>
      </w:r>
      <w:r w:rsidRPr="00734178">
        <w:rPr>
          <w:rFonts w:ascii="Calibri" w:hAnsi="Calibri" w:cs="Calibri"/>
          <w:i/>
          <w:iCs/>
          <w:noProof/>
          <w:szCs w:val="24"/>
        </w:rPr>
        <w:t>Clinical Psychology Review</w:t>
      </w:r>
      <w:r w:rsidRPr="00734178">
        <w:rPr>
          <w:rFonts w:ascii="Calibri" w:hAnsi="Calibri" w:cs="Calibri"/>
          <w:noProof/>
          <w:szCs w:val="24"/>
        </w:rPr>
        <w:t>, 33(1), pp. 182–195. doi: 10.1016/j.cpr.2012.11.001.</w:t>
      </w:r>
    </w:p>
    <w:p w14:paraId="495C608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Farrer, L. </w:t>
      </w:r>
      <w:r w:rsidRPr="00734178">
        <w:rPr>
          <w:rFonts w:ascii="Calibri" w:hAnsi="Calibri" w:cs="Calibri"/>
          <w:i/>
          <w:iCs/>
          <w:noProof/>
          <w:szCs w:val="24"/>
        </w:rPr>
        <w:t>et al.</w:t>
      </w:r>
      <w:r w:rsidRPr="00734178">
        <w:rPr>
          <w:rFonts w:ascii="Calibri" w:hAnsi="Calibri" w:cs="Calibri"/>
          <w:noProof/>
          <w:szCs w:val="24"/>
        </w:rPr>
        <w:t xml:space="preserve"> (2011) ‘Internet-based CBT for depression with and without telephone tracking in a national helpline: Randomised controlled trial’, </w:t>
      </w:r>
      <w:r w:rsidRPr="00734178">
        <w:rPr>
          <w:rFonts w:ascii="Calibri" w:hAnsi="Calibri" w:cs="Calibri"/>
          <w:i/>
          <w:iCs/>
          <w:noProof/>
          <w:szCs w:val="24"/>
        </w:rPr>
        <w:t>PLoS ONE</w:t>
      </w:r>
      <w:r w:rsidRPr="00734178">
        <w:rPr>
          <w:rFonts w:ascii="Calibri" w:hAnsi="Calibri" w:cs="Calibri"/>
          <w:noProof/>
          <w:szCs w:val="24"/>
        </w:rPr>
        <w:t>, 6(11), p. e28099. doi: 10.1371/journal.pone.0028099.</w:t>
      </w:r>
    </w:p>
    <w:p w14:paraId="77F10DB6"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Firth, N., Barkham, M. and Kellett, S. (2015) ‘The clinical effectiveness of stepped care systems for depression in working age adults: A systematic review’, </w:t>
      </w:r>
      <w:r w:rsidRPr="00734178">
        <w:rPr>
          <w:rFonts w:ascii="Calibri" w:hAnsi="Calibri" w:cs="Calibri"/>
          <w:i/>
          <w:iCs/>
          <w:noProof/>
          <w:szCs w:val="24"/>
        </w:rPr>
        <w:t>Journal of Affective Disorders</w:t>
      </w:r>
      <w:r w:rsidRPr="00734178">
        <w:rPr>
          <w:rFonts w:ascii="Calibri" w:hAnsi="Calibri" w:cs="Calibri"/>
          <w:noProof/>
          <w:szCs w:val="24"/>
        </w:rPr>
        <w:t>. Elsevier, 170, pp. 119–130. doi: 10.1016/J.JAD.2014.08.030.</w:t>
      </w:r>
    </w:p>
    <w:p w14:paraId="75A7EF0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Fisk, A. </w:t>
      </w:r>
      <w:r w:rsidRPr="00734178">
        <w:rPr>
          <w:rFonts w:ascii="Calibri" w:hAnsi="Calibri" w:cs="Calibri"/>
          <w:i/>
          <w:iCs/>
          <w:noProof/>
          <w:szCs w:val="24"/>
        </w:rPr>
        <w:t>et al.</w:t>
      </w:r>
      <w:r w:rsidRPr="00734178">
        <w:rPr>
          <w:rFonts w:ascii="Calibri" w:hAnsi="Calibri" w:cs="Calibri"/>
          <w:noProof/>
          <w:szCs w:val="24"/>
        </w:rPr>
        <w:t xml:space="preserve"> (2009) </w:t>
      </w:r>
      <w:r w:rsidRPr="00734178">
        <w:rPr>
          <w:rFonts w:ascii="Calibri" w:hAnsi="Calibri" w:cs="Calibri"/>
          <w:i/>
          <w:iCs/>
          <w:noProof/>
          <w:szCs w:val="24"/>
        </w:rPr>
        <w:t>Designing for Older Adults</w:t>
      </w:r>
      <w:r w:rsidRPr="00734178">
        <w:rPr>
          <w:rFonts w:ascii="Calibri" w:hAnsi="Calibri" w:cs="Calibri"/>
          <w:noProof/>
          <w:szCs w:val="24"/>
        </w:rPr>
        <w:t>. CRC Press (Human Factors and Aging Series). doi: 10.1201/9781420080681.</w:t>
      </w:r>
    </w:p>
    <w:p w14:paraId="468AFAAD"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Fitzpatrick, K. K., Darcy, A. and Vierhile, M. (2017) ‘Delivering Cognitive Behavior Therapy to Young Adults With Symptoms of Depression and Anxiety Using a Fully Automated Conversational Agent (Woebot): A Randomized Controlled Trial’, </w:t>
      </w:r>
      <w:r w:rsidRPr="00734178">
        <w:rPr>
          <w:rFonts w:ascii="Calibri" w:hAnsi="Calibri" w:cs="Calibri"/>
          <w:i/>
          <w:iCs/>
          <w:noProof/>
          <w:szCs w:val="24"/>
        </w:rPr>
        <w:t>JMIR Mental Health</w:t>
      </w:r>
      <w:r w:rsidRPr="00734178">
        <w:rPr>
          <w:rFonts w:ascii="Calibri" w:hAnsi="Calibri" w:cs="Calibri"/>
          <w:noProof/>
          <w:szCs w:val="24"/>
        </w:rPr>
        <w:t>, 4(2), p. e19. doi: 10.2196/mental.7785.</w:t>
      </w:r>
    </w:p>
    <w:p w14:paraId="5CBF8BC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Flavián, C., Guinalíu, M. and Gurrea, R. (2006) ‘The role played by perceived usability, satisfaction and consumer trust on website loyalty’, </w:t>
      </w:r>
      <w:r w:rsidRPr="00734178">
        <w:rPr>
          <w:rFonts w:ascii="Calibri" w:hAnsi="Calibri" w:cs="Calibri"/>
          <w:i/>
          <w:iCs/>
          <w:noProof/>
          <w:szCs w:val="24"/>
        </w:rPr>
        <w:t>Information &amp; Management</w:t>
      </w:r>
      <w:r w:rsidRPr="00734178">
        <w:rPr>
          <w:rFonts w:ascii="Calibri" w:hAnsi="Calibri" w:cs="Calibri"/>
          <w:noProof/>
          <w:szCs w:val="24"/>
        </w:rPr>
        <w:t>. North-Holland, 43(1), pp. 1–14. doi: 10.1016/J.IM.2005.01.002.</w:t>
      </w:r>
    </w:p>
    <w:p w14:paraId="3B62FFD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Fleming, T. </w:t>
      </w:r>
      <w:r w:rsidRPr="00734178">
        <w:rPr>
          <w:rFonts w:ascii="Calibri" w:hAnsi="Calibri" w:cs="Calibri"/>
          <w:i/>
          <w:iCs/>
          <w:noProof/>
          <w:szCs w:val="24"/>
        </w:rPr>
        <w:t>et al.</w:t>
      </w:r>
      <w:r w:rsidRPr="00734178">
        <w:rPr>
          <w:rFonts w:ascii="Calibri" w:hAnsi="Calibri" w:cs="Calibri"/>
          <w:noProof/>
          <w:szCs w:val="24"/>
        </w:rPr>
        <w:t xml:space="preserve"> (2018) ‘Beyond the Trial: Systematic Review of Real-World Uptake and Engagement With Digital Self-Help Interventions for Depression, Low Mood, or Anxiety.’, </w:t>
      </w:r>
      <w:r w:rsidRPr="00734178">
        <w:rPr>
          <w:rFonts w:ascii="Calibri" w:hAnsi="Calibri" w:cs="Calibri"/>
          <w:i/>
          <w:iCs/>
          <w:noProof/>
          <w:szCs w:val="24"/>
        </w:rPr>
        <w:t>Journal of medical Internet research</w:t>
      </w:r>
      <w:r w:rsidRPr="00734178">
        <w:rPr>
          <w:rFonts w:ascii="Calibri" w:hAnsi="Calibri" w:cs="Calibri"/>
          <w:noProof/>
          <w:szCs w:val="24"/>
        </w:rPr>
        <w:t>. Journal of Medical Internet Research, 20(6), p. e199. doi: 10.2196/jmir.9275.</w:t>
      </w:r>
    </w:p>
    <w:p w14:paraId="5FFE39D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Furukawa, T. A. </w:t>
      </w:r>
      <w:r w:rsidRPr="00734178">
        <w:rPr>
          <w:rFonts w:ascii="Calibri" w:hAnsi="Calibri" w:cs="Calibri"/>
          <w:i/>
          <w:iCs/>
          <w:noProof/>
          <w:szCs w:val="24"/>
        </w:rPr>
        <w:t>et al.</w:t>
      </w:r>
      <w:r w:rsidRPr="00734178">
        <w:rPr>
          <w:rFonts w:ascii="Calibri" w:hAnsi="Calibri" w:cs="Calibri"/>
          <w:noProof/>
          <w:szCs w:val="24"/>
        </w:rPr>
        <w:t xml:space="preserve"> (2014) ‘Waiting list may be a nocebo condition in psychotherapy trials: a contribution from network meta-analysis’, </w:t>
      </w:r>
      <w:r w:rsidRPr="00734178">
        <w:rPr>
          <w:rFonts w:ascii="Calibri" w:hAnsi="Calibri" w:cs="Calibri"/>
          <w:i/>
          <w:iCs/>
          <w:noProof/>
          <w:szCs w:val="24"/>
        </w:rPr>
        <w:t>Acta Psychiatrica Scandinavica</w:t>
      </w:r>
      <w:r w:rsidRPr="00734178">
        <w:rPr>
          <w:rFonts w:ascii="Calibri" w:hAnsi="Calibri" w:cs="Calibri"/>
          <w:noProof/>
          <w:szCs w:val="24"/>
        </w:rPr>
        <w:t>, 130(3), pp. 181–192. doi: 10.1111/acps.12275.</w:t>
      </w:r>
    </w:p>
    <w:p w14:paraId="36FED42A"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Gaffney, H. </w:t>
      </w:r>
      <w:r w:rsidRPr="00734178">
        <w:rPr>
          <w:rFonts w:ascii="Calibri" w:hAnsi="Calibri" w:cs="Calibri"/>
          <w:i/>
          <w:iCs/>
          <w:noProof/>
          <w:szCs w:val="24"/>
        </w:rPr>
        <w:t>et al.</w:t>
      </w:r>
      <w:r w:rsidRPr="00734178">
        <w:rPr>
          <w:rFonts w:ascii="Calibri" w:hAnsi="Calibri" w:cs="Calibri"/>
          <w:noProof/>
          <w:szCs w:val="24"/>
        </w:rPr>
        <w:t xml:space="preserve"> (2014) ‘Manage Your Life Online (MYLO): A pilot trial of a conversational computer-based intervention for problem solving in a student sample’, </w:t>
      </w:r>
      <w:r w:rsidRPr="00734178">
        <w:rPr>
          <w:rFonts w:ascii="Calibri" w:hAnsi="Calibri" w:cs="Calibri"/>
          <w:i/>
          <w:iCs/>
          <w:noProof/>
          <w:szCs w:val="24"/>
        </w:rPr>
        <w:t>Behavioural and Cognitive Psychotherapy</w:t>
      </w:r>
      <w:r w:rsidRPr="00734178">
        <w:rPr>
          <w:rFonts w:ascii="Calibri" w:hAnsi="Calibri" w:cs="Calibri"/>
          <w:noProof/>
          <w:szCs w:val="24"/>
        </w:rPr>
        <w:t>, 42(6), pp. 731–746. doi: 10.1017/S135246581300060X.</w:t>
      </w:r>
    </w:p>
    <w:p w14:paraId="691E12EA"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Gega, L., Smith, J. and Reynolds, S. (2013) ‘Cognitive behaviour therapy (CBT) for depression by computer vs. therapist: Patient experiences and therapeutic processes’, </w:t>
      </w:r>
      <w:r w:rsidRPr="00734178">
        <w:rPr>
          <w:rFonts w:ascii="Calibri" w:hAnsi="Calibri" w:cs="Calibri"/>
          <w:i/>
          <w:iCs/>
          <w:noProof/>
          <w:szCs w:val="24"/>
        </w:rPr>
        <w:t>Psychotherapy Research</w:t>
      </w:r>
      <w:r w:rsidRPr="00734178">
        <w:rPr>
          <w:rFonts w:ascii="Calibri" w:hAnsi="Calibri" w:cs="Calibri"/>
          <w:noProof/>
          <w:szCs w:val="24"/>
        </w:rPr>
        <w:t xml:space="preserve">.  Taylor &amp; Francis Group , </w:t>
      </w:r>
      <w:r w:rsidRPr="00734178">
        <w:rPr>
          <w:rFonts w:ascii="Calibri" w:hAnsi="Calibri" w:cs="Calibri"/>
          <w:noProof/>
          <w:szCs w:val="24"/>
        </w:rPr>
        <w:lastRenderedPageBreak/>
        <w:t>23(2), pp. 218–231. doi: 10.1080/10503307.2013.766941.</w:t>
      </w:r>
    </w:p>
    <w:p w14:paraId="41C89C09"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Gellatly, J. </w:t>
      </w:r>
      <w:r w:rsidRPr="00734178">
        <w:rPr>
          <w:rFonts w:ascii="Calibri" w:hAnsi="Calibri" w:cs="Calibri"/>
          <w:i/>
          <w:iCs/>
          <w:noProof/>
          <w:szCs w:val="24"/>
        </w:rPr>
        <w:t>et al.</w:t>
      </w:r>
      <w:r w:rsidRPr="00734178">
        <w:rPr>
          <w:rFonts w:ascii="Calibri" w:hAnsi="Calibri" w:cs="Calibri"/>
          <w:noProof/>
          <w:szCs w:val="24"/>
        </w:rPr>
        <w:t xml:space="preserve"> (2007) ‘What makes self-help interventions effective in the management of depressive symptoms? Meta-analysis and meta-regression’, </w:t>
      </w:r>
      <w:r w:rsidRPr="00734178">
        <w:rPr>
          <w:rFonts w:ascii="Calibri" w:hAnsi="Calibri" w:cs="Calibri"/>
          <w:i/>
          <w:iCs/>
          <w:noProof/>
          <w:szCs w:val="24"/>
        </w:rPr>
        <w:t>Psychological Medicine</w:t>
      </w:r>
      <w:r w:rsidRPr="00734178">
        <w:rPr>
          <w:rFonts w:ascii="Calibri" w:hAnsi="Calibri" w:cs="Calibri"/>
          <w:noProof/>
          <w:szCs w:val="24"/>
        </w:rPr>
        <w:t>, 37(9), pp. 1217–1228. doi: 10.1017/S0033291707000062.</w:t>
      </w:r>
    </w:p>
    <w:p w14:paraId="4816D6D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Gilbody, S. </w:t>
      </w:r>
      <w:r w:rsidRPr="00734178">
        <w:rPr>
          <w:rFonts w:ascii="Calibri" w:hAnsi="Calibri" w:cs="Calibri"/>
          <w:i/>
          <w:iCs/>
          <w:noProof/>
          <w:szCs w:val="24"/>
        </w:rPr>
        <w:t>et al.</w:t>
      </w:r>
      <w:r w:rsidRPr="00734178">
        <w:rPr>
          <w:rFonts w:ascii="Calibri" w:hAnsi="Calibri" w:cs="Calibri"/>
          <w:noProof/>
          <w:szCs w:val="24"/>
        </w:rPr>
        <w:t xml:space="preserve"> (2015) ‘Computerised cognitive behaviour therapy (cCBT) as treatment for depression in primary care (REEACT trial): large scale pragmatic randomised controlled trial’, </w:t>
      </w:r>
      <w:r w:rsidRPr="00734178">
        <w:rPr>
          <w:rFonts w:ascii="Calibri" w:hAnsi="Calibri" w:cs="Calibri"/>
          <w:i/>
          <w:iCs/>
          <w:noProof/>
          <w:szCs w:val="24"/>
        </w:rPr>
        <w:t>Bmj</w:t>
      </w:r>
      <w:r w:rsidRPr="00734178">
        <w:rPr>
          <w:rFonts w:ascii="Calibri" w:hAnsi="Calibri" w:cs="Calibri"/>
          <w:noProof/>
          <w:szCs w:val="24"/>
        </w:rPr>
        <w:t>, 351, p. h5627. doi: 10.1136/bmj.h5627.</w:t>
      </w:r>
    </w:p>
    <w:p w14:paraId="2F3DD51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Grek, A. (2007) ‘Clinical management of suicidality in the elderly: an opportunity for involvement in the lives of older patients.’, </w:t>
      </w:r>
      <w:r w:rsidRPr="00734178">
        <w:rPr>
          <w:rFonts w:ascii="Calibri" w:hAnsi="Calibri" w:cs="Calibri"/>
          <w:i/>
          <w:iCs/>
          <w:noProof/>
          <w:szCs w:val="24"/>
        </w:rPr>
        <w:t>Canadian journal of psychiatry. Revue canadienne de psychiatrie</w:t>
      </w:r>
      <w:r w:rsidRPr="00734178">
        <w:rPr>
          <w:rFonts w:ascii="Calibri" w:hAnsi="Calibri" w:cs="Calibri"/>
          <w:noProof/>
          <w:szCs w:val="24"/>
        </w:rPr>
        <w:t>, 52(6 Suppl 1), p. 47S–57S. Available at: http://www.ncbi.nlm.nih.gov/pubmed/17824352 (Accessed: 20 July 2015).</w:t>
      </w:r>
    </w:p>
    <w:p w14:paraId="7223E5E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Griffiths, K. M., Calear, A. L. and Banfield, M. (2009) ‘Systematic review on Internet Support Groups (ISGs) and depression (1): Do ISGs reduce depressive symptoms?’, </w:t>
      </w:r>
      <w:r w:rsidRPr="00734178">
        <w:rPr>
          <w:rFonts w:ascii="Calibri" w:hAnsi="Calibri" w:cs="Calibri"/>
          <w:i/>
          <w:iCs/>
          <w:noProof/>
          <w:szCs w:val="24"/>
        </w:rPr>
        <w:t>Journal of medical Internet research</w:t>
      </w:r>
      <w:r w:rsidRPr="00734178">
        <w:rPr>
          <w:rFonts w:ascii="Calibri" w:hAnsi="Calibri" w:cs="Calibri"/>
          <w:noProof/>
          <w:szCs w:val="24"/>
        </w:rPr>
        <w:t>, 11(3), p. e40. doi: 10.2196/jmir.1270.</w:t>
      </w:r>
    </w:p>
    <w:p w14:paraId="663700D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Grime, P. R. (2004) ‘Computerized cognitive behavioural therapy at work: A randomized controlled trial in employees with recent stress-related absenteeism’, </w:t>
      </w:r>
      <w:r w:rsidRPr="00734178">
        <w:rPr>
          <w:rFonts w:ascii="Calibri" w:hAnsi="Calibri" w:cs="Calibri"/>
          <w:i/>
          <w:iCs/>
          <w:noProof/>
          <w:szCs w:val="24"/>
        </w:rPr>
        <w:t>Occupational Medicine</w:t>
      </w:r>
      <w:r w:rsidRPr="00734178">
        <w:rPr>
          <w:rFonts w:ascii="Calibri" w:hAnsi="Calibri" w:cs="Calibri"/>
          <w:noProof/>
          <w:szCs w:val="24"/>
        </w:rPr>
        <w:t>, 54(5), pp. 353–359. doi: 10.1093/occmed/kqh077.</w:t>
      </w:r>
    </w:p>
    <w:p w14:paraId="67282E1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Gum, A. M., King-Kallimanis, B. and Kohn, R. (2009) ‘Prevalence of Mood, Anxiety, and Substance-Abuse Disorders for Older Americans in the National Comorbidity Survey-Replication’, </w:t>
      </w:r>
      <w:r w:rsidRPr="00734178">
        <w:rPr>
          <w:rFonts w:ascii="Calibri" w:hAnsi="Calibri" w:cs="Calibri"/>
          <w:i/>
          <w:iCs/>
          <w:noProof/>
          <w:szCs w:val="24"/>
        </w:rPr>
        <w:t>The American Journal of Geriatric Psychiatry</w:t>
      </w:r>
      <w:r w:rsidRPr="00734178">
        <w:rPr>
          <w:rFonts w:ascii="Calibri" w:hAnsi="Calibri" w:cs="Calibri"/>
          <w:noProof/>
          <w:szCs w:val="24"/>
        </w:rPr>
        <w:t>, 17(9), pp. 769–781. doi: 10.1097/JGP.0b013e3181ad4f5a.</w:t>
      </w:r>
    </w:p>
    <w:p w14:paraId="0B7E11F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Hague, J., Kellett, S. and Simmonds-Buckely, M. (2017) ‘Low intensity assessment and treatment competency scales’, </w:t>
      </w:r>
      <w:r w:rsidRPr="00734178">
        <w:rPr>
          <w:rFonts w:ascii="Calibri" w:hAnsi="Calibri" w:cs="Calibri"/>
          <w:i/>
          <w:iCs/>
          <w:noProof/>
          <w:szCs w:val="24"/>
        </w:rPr>
        <w:t>University of Sheffield</w:t>
      </w:r>
      <w:r w:rsidRPr="00734178">
        <w:rPr>
          <w:rFonts w:ascii="Calibri" w:hAnsi="Calibri" w:cs="Calibri"/>
          <w:noProof/>
          <w:szCs w:val="24"/>
        </w:rPr>
        <w:t>.</w:t>
      </w:r>
    </w:p>
    <w:p w14:paraId="7E83D4C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Hall, J. </w:t>
      </w:r>
      <w:r w:rsidRPr="00734178">
        <w:rPr>
          <w:rFonts w:ascii="Calibri" w:hAnsi="Calibri" w:cs="Calibri"/>
          <w:i/>
          <w:iCs/>
          <w:noProof/>
          <w:szCs w:val="24"/>
        </w:rPr>
        <w:t>et al.</w:t>
      </w:r>
      <w:r w:rsidRPr="00734178">
        <w:rPr>
          <w:rFonts w:ascii="Calibri" w:hAnsi="Calibri" w:cs="Calibri"/>
          <w:noProof/>
          <w:szCs w:val="24"/>
        </w:rPr>
        <w:t xml:space="preserve"> (2016) ‘Efficacy of Cognitive Behavioral Therapy for Generalized Anxiety Disorder in Older Adults: Systematic Review, Meta-Analysis, and Meta-Regression’, </w:t>
      </w:r>
      <w:r w:rsidRPr="00734178">
        <w:rPr>
          <w:rFonts w:ascii="Calibri" w:hAnsi="Calibri" w:cs="Calibri"/>
          <w:i/>
          <w:iCs/>
          <w:noProof/>
          <w:szCs w:val="24"/>
        </w:rPr>
        <w:t>American Journal of Geriatric Psychiatry</w:t>
      </w:r>
      <w:r w:rsidRPr="00734178">
        <w:rPr>
          <w:rFonts w:ascii="Calibri" w:hAnsi="Calibri" w:cs="Calibri"/>
          <w:noProof/>
          <w:szCs w:val="24"/>
        </w:rPr>
        <w:t>. Elsevier Inc., 24(11), pp. 1063–1073. doi: 10.1016/j.jagp.2016.06.006.</w:t>
      </w:r>
    </w:p>
    <w:p w14:paraId="2286719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Hamilton, A. D. and Brady, R. R. W. (2012) ‘Medical professional involvement in smartphone “apps” in dermatology’, </w:t>
      </w:r>
      <w:r w:rsidRPr="00734178">
        <w:rPr>
          <w:rFonts w:ascii="Calibri" w:hAnsi="Calibri" w:cs="Calibri"/>
          <w:i/>
          <w:iCs/>
          <w:noProof/>
          <w:szCs w:val="24"/>
        </w:rPr>
        <w:t>British Journal of Dermatology</w:t>
      </w:r>
      <w:r w:rsidRPr="00734178">
        <w:rPr>
          <w:rFonts w:ascii="Calibri" w:hAnsi="Calibri" w:cs="Calibri"/>
          <w:noProof/>
          <w:szCs w:val="24"/>
        </w:rPr>
        <w:t>. Blackwell Publishing Ltd, 167(1), pp. 220–221. doi: 10.1111/j.1365-2133.2012.10844.x.</w:t>
      </w:r>
    </w:p>
    <w:p w14:paraId="1ABFA603"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Hamilton, D. F. </w:t>
      </w:r>
      <w:r w:rsidRPr="00734178">
        <w:rPr>
          <w:rFonts w:ascii="Calibri" w:hAnsi="Calibri" w:cs="Calibri"/>
          <w:i/>
          <w:iCs/>
          <w:noProof/>
          <w:szCs w:val="24"/>
        </w:rPr>
        <w:t>et al.</w:t>
      </w:r>
      <w:r w:rsidRPr="00734178">
        <w:rPr>
          <w:rFonts w:ascii="Calibri" w:hAnsi="Calibri" w:cs="Calibri"/>
          <w:noProof/>
          <w:szCs w:val="24"/>
        </w:rPr>
        <w:t xml:space="preserve"> (2014) ‘Assessing treatment outcomes using a single question: The Net Promoter Score’, </w:t>
      </w:r>
      <w:r w:rsidRPr="00734178">
        <w:rPr>
          <w:rFonts w:ascii="Calibri" w:hAnsi="Calibri" w:cs="Calibri"/>
          <w:i/>
          <w:iCs/>
          <w:noProof/>
          <w:szCs w:val="24"/>
        </w:rPr>
        <w:t>Bone and Joint Journal</w:t>
      </w:r>
      <w:r w:rsidRPr="00734178">
        <w:rPr>
          <w:rFonts w:ascii="Calibri" w:hAnsi="Calibri" w:cs="Calibri"/>
          <w:noProof/>
          <w:szCs w:val="24"/>
        </w:rPr>
        <w:t>, 96 B(5), pp. 622–628. doi: 10.1302/0301-620X.96B5.32434.</w:t>
      </w:r>
    </w:p>
    <w:p w14:paraId="45508ED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Hanson, V. L. (2009) ‘Age and web access’, in </w:t>
      </w:r>
      <w:r w:rsidRPr="00734178">
        <w:rPr>
          <w:rFonts w:ascii="Calibri" w:hAnsi="Calibri" w:cs="Calibri"/>
          <w:i/>
          <w:iCs/>
          <w:noProof/>
          <w:szCs w:val="24"/>
        </w:rPr>
        <w:t>Proceedings of the 2009 International Cross-Disciplinary Conference on Web Accessibililty (W4A) - W4A ’09</w:t>
      </w:r>
      <w:r w:rsidRPr="00734178">
        <w:rPr>
          <w:rFonts w:ascii="Calibri" w:hAnsi="Calibri" w:cs="Calibri"/>
          <w:noProof/>
          <w:szCs w:val="24"/>
        </w:rPr>
        <w:t>. New York, New York, USA: ACM Press, p. 7. doi: 10.1145/1535654.1535658.</w:t>
      </w:r>
    </w:p>
    <w:p w14:paraId="3E85A2F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lastRenderedPageBreak/>
        <w:t xml:space="preserve">Hatcher, R. L. and Gillaspy, J. A. (2006) ‘Development and validation of a revised short version of the working alliance inventory’, </w:t>
      </w:r>
      <w:r w:rsidRPr="00734178">
        <w:rPr>
          <w:rFonts w:ascii="Calibri" w:hAnsi="Calibri" w:cs="Calibri"/>
          <w:i/>
          <w:iCs/>
          <w:noProof/>
          <w:szCs w:val="24"/>
        </w:rPr>
        <w:t>Psychotherapy Research</w:t>
      </w:r>
      <w:r w:rsidRPr="00734178">
        <w:rPr>
          <w:rFonts w:ascii="Calibri" w:hAnsi="Calibri" w:cs="Calibri"/>
          <w:noProof/>
          <w:szCs w:val="24"/>
        </w:rPr>
        <w:t>, 16(1), pp. 12–25. doi: 10.1080/10503300500352500.</w:t>
      </w:r>
    </w:p>
    <w:p w14:paraId="27C94F59"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Health and Social Care Information Centre (2015) </w:t>
      </w:r>
      <w:r w:rsidRPr="00734178">
        <w:rPr>
          <w:rFonts w:ascii="Calibri" w:hAnsi="Calibri" w:cs="Calibri"/>
          <w:i/>
          <w:iCs/>
          <w:noProof/>
          <w:szCs w:val="24"/>
        </w:rPr>
        <w:t>Psychological Therapies: Annual Report on the use of IAPT services England, 2014/15</w:t>
      </w:r>
      <w:r w:rsidRPr="00734178">
        <w:rPr>
          <w:rFonts w:ascii="Calibri" w:hAnsi="Calibri" w:cs="Calibri"/>
          <w:noProof/>
          <w:szCs w:val="24"/>
        </w:rPr>
        <w:t>. Available at: http://www.hscic.gov.uk/catalogue/PUB14899/psyc-ther-ann-rep-2013-14.pdf.</w:t>
      </w:r>
    </w:p>
    <w:p w14:paraId="70F5C19A"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Hedges, L. V. (1984) ‘Advances in statistical methods for meta-analysis’, </w:t>
      </w:r>
      <w:r w:rsidRPr="00734178">
        <w:rPr>
          <w:rFonts w:ascii="Calibri" w:hAnsi="Calibri" w:cs="Calibri"/>
          <w:i/>
          <w:iCs/>
          <w:noProof/>
          <w:szCs w:val="24"/>
        </w:rPr>
        <w:t>New Directions for Program Evaluation</w:t>
      </w:r>
      <w:r w:rsidRPr="00734178">
        <w:rPr>
          <w:rFonts w:ascii="Calibri" w:hAnsi="Calibri" w:cs="Calibri"/>
          <w:noProof/>
          <w:szCs w:val="24"/>
        </w:rPr>
        <w:t>. Wiley-Blackwell, 1984(24), pp. 25–42. doi: 10.1002/ev.1376.</w:t>
      </w:r>
    </w:p>
    <w:p w14:paraId="1F111A99"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Heim, E. </w:t>
      </w:r>
      <w:r w:rsidRPr="00734178">
        <w:rPr>
          <w:rFonts w:ascii="Calibri" w:hAnsi="Calibri" w:cs="Calibri"/>
          <w:i/>
          <w:iCs/>
          <w:noProof/>
          <w:szCs w:val="24"/>
        </w:rPr>
        <w:t>et al.</w:t>
      </w:r>
      <w:r w:rsidRPr="00734178">
        <w:rPr>
          <w:rFonts w:ascii="Calibri" w:hAnsi="Calibri" w:cs="Calibri"/>
          <w:noProof/>
          <w:szCs w:val="24"/>
        </w:rPr>
        <w:t xml:space="preserve"> (2018) ‘Working alliance with an avatar: How far can we go with internet interventions?’, </w:t>
      </w:r>
      <w:r w:rsidRPr="00734178">
        <w:rPr>
          <w:rFonts w:ascii="Calibri" w:hAnsi="Calibri" w:cs="Calibri"/>
          <w:i/>
          <w:iCs/>
          <w:noProof/>
          <w:szCs w:val="24"/>
        </w:rPr>
        <w:t>Internet Interventions</w:t>
      </w:r>
      <w:r w:rsidRPr="00734178">
        <w:rPr>
          <w:rFonts w:ascii="Calibri" w:hAnsi="Calibri" w:cs="Calibri"/>
          <w:noProof/>
          <w:szCs w:val="24"/>
        </w:rPr>
        <w:t>. Elsevier, 11(January), pp. 41–46. doi: 10.1016/j.invent.2018.01.005.</w:t>
      </w:r>
    </w:p>
    <w:p w14:paraId="6E36178D"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Helgadóttir, F. D. </w:t>
      </w:r>
      <w:r w:rsidRPr="00734178">
        <w:rPr>
          <w:rFonts w:ascii="Calibri" w:hAnsi="Calibri" w:cs="Calibri"/>
          <w:i/>
          <w:iCs/>
          <w:noProof/>
          <w:szCs w:val="24"/>
        </w:rPr>
        <w:t>et al.</w:t>
      </w:r>
      <w:r w:rsidRPr="00734178">
        <w:rPr>
          <w:rFonts w:ascii="Calibri" w:hAnsi="Calibri" w:cs="Calibri"/>
          <w:noProof/>
          <w:szCs w:val="24"/>
        </w:rPr>
        <w:t xml:space="preserve"> (2009) ‘Online CBT I: Bridging the gap between Eliza and modern online CBT treatment packages’, </w:t>
      </w:r>
      <w:r w:rsidRPr="00734178">
        <w:rPr>
          <w:rFonts w:ascii="Calibri" w:hAnsi="Calibri" w:cs="Calibri"/>
          <w:i/>
          <w:iCs/>
          <w:noProof/>
          <w:szCs w:val="24"/>
        </w:rPr>
        <w:t>Behaviour Change</w:t>
      </w:r>
      <w:r w:rsidRPr="00734178">
        <w:rPr>
          <w:rFonts w:ascii="Calibri" w:hAnsi="Calibri" w:cs="Calibri"/>
          <w:noProof/>
          <w:szCs w:val="24"/>
        </w:rPr>
        <w:t>, 26(4), pp. 245–253. doi: 10.1375/bech.26.4.245.</w:t>
      </w:r>
    </w:p>
    <w:p w14:paraId="2C32705D"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hellojoy (2018) </w:t>
      </w:r>
      <w:r w:rsidRPr="00734178">
        <w:rPr>
          <w:rFonts w:ascii="Calibri" w:hAnsi="Calibri" w:cs="Calibri"/>
          <w:i/>
          <w:iCs/>
          <w:noProof/>
          <w:szCs w:val="24"/>
        </w:rPr>
        <w:t>Joy</w:t>
      </w:r>
      <w:r w:rsidRPr="00734178">
        <w:rPr>
          <w:rFonts w:ascii="Calibri" w:hAnsi="Calibri" w:cs="Calibri"/>
          <w:noProof/>
          <w:szCs w:val="24"/>
        </w:rPr>
        <w:t>. Available at: http://www.hellojoy.ai/ (Accessed: 6 April 2018).</w:t>
      </w:r>
    </w:p>
    <w:p w14:paraId="260D683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Higgins, J. (2011) </w:t>
      </w:r>
      <w:r w:rsidRPr="00734178">
        <w:rPr>
          <w:rFonts w:ascii="Calibri" w:hAnsi="Calibri" w:cs="Calibri"/>
          <w:i/>
          <w:iCs/>
          <w:noProof/>
          <w:szCs w:val="24"/>
        </w:rPr>
        <w:t>Cochrane Handbook for systematic reviews of interventions version</w:t>
      </w:r>
      <w:r w:rsidRPr="00734178">
        <w:rPr>
          <w:rFonts w:ascii="Calibri" w:hAnsi="Calibri" w:cs="Calibri"/>
          <w:noProof/>
          <w:szCs w:val="24"/>
        </w:rPr>
        <w:t xml:space="preserve">, </w:t>
      </w:r>
      <w:r w:rsidRPr="00734178">
        <w:rPr>
          <w:rFonts w:ascii="Calibri" w:hAnsi="Calibri" w:cs="Calibri"/>
          <w:i/>
          <w:iCs/>
          <w:noProof/>
          <w:szCs w:val="24"/>
        </w:rPr>
        <w:t>The Cochrane Collaboration</w:t>
      </w:r>
      <w:r w:rsidRPr="00734178">
        <w:rPr>
          <w:rFonts w:ascii="Calibri" w:hAnsi="Calibri" w:cs="Calibri"/>
          <w:noProof/>
          <w:szCs w:val="24"/>
        </w:rPr>
        <w:t>. doi: 10.1002/9780470712184.ch5.</w:t>
      </w:r>
    </w:p>
    <w:p w14:paraId="6B64DEC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Higgins, J. P. T. </w:t>
      </w:r>
      <w:r w:rsidRPr="00734178">
        <w:rPr>
          <w:rFonts w:ascii="Calibri" w:hAnsi="Calibri" w:cs="Calibri"/>
          <w:i/>
          <w:iCs/>
          <w:noProof/>
          <w:szCs w:val="24"/>
        </w:rPr>
        <w:t>et al.</w:t>
      </w:r>
      <w:r w:rsidRPr="00734178">
        <w:rPr>
          <w:rFonts w:ascii="Calibri" w:hAnsi="Calibri" w:cs="Calibri"/>
          <w:noProof/>
          <w:szCs w:val="24"/>
        </w:rPr>
        <w:t xml:space="preserve"> (2003) ‘Measuring inconsistency in meta-analyses.’, </w:t>
      </w:r>
      <w:r w:rsidRPr="00734178">
        <w:rPr>
          <w:rFonts w:ascii="Calibri" w:hAnsi="Calibri" w:cs="Calibri"/>
          <w:i/>
          <w:iCs/>
          <w:noProof/>
          <w:szCs w:val="24"/>
        </w:rPr>
        <w:t>BMJ (Clinical research ed.)</w:t>
      </w:r>
      <w:r w:rsidRPr="00734178">
        <w:rPr>
          <w:rFonts w:ascii="Calibri" w:hAnsi="Calibri" w:cs="Calibri"/>
          <w:noProof/>
          <w:szCs w:val="24"/>
        </w:rPr>
        <w:t>. British Medical Journal Publishing Group, 327(7414), pp. 557–60. doi: 10.1136/bmj.327.7414.557.</w:t>
      </w:r>
    </w:p>
    <w:p w14:paraId="17C434D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Higgins, J. P. T. </w:t>
      </w:r>
      <w:r w:rsidRPr="00734178">
        <w:rPr>
          <w:rFonts w:ascii="Calibri" w:hAnsi="Calibri" w:cs="Calibri"/>
          <w:i/>
          <w:iCs/>
          <w:noProof/>
          <w:szCs w:val="24"/>
        </w:rPr>
        <w:t>et al.</w:t>
      </w:r>
      <w:r w:rsidRPr="00734178">
        <w:rPr>
          <w:rFonts w:ascii="Calibri" w:hAnsi="Calibri" w:cs="Calibri"/>
          <w:noProof/>
          <w:szCs w:val="24"/>
        </w:rPr>
        <w:t xml:space="preserve"> (2011) ‘The Cochrane Collaboration’s tool for assessing risk of bias in randomised trials.’, </w:t>
      </w:r>
      <w:r w:rsidRPr="00734178">
        <w:rPr>
          <w:rFonts w:ascii="Calibri" w:hAnsi="Calibri" w:cs="Calibri"/>
          <w:i/>
          <w:iCs/>
          <w:noProof/>
          <w:szCs w:val="24"/>
        </w:rPr>
        <w:t>BMJ (Clinical research ed.)</w:t>
      </w:r>
      <w:r w:rsidRPr="00734178">
        <w:rPr>
          <w:rFonts w:ascii="Calibri" w:hAnsi="Calibri" w:cs="Calibri"/>
          <w:noProof/>
          <w:szCs w:val="24"/>
        </w:rPr>
        <w:t>. British Medical Journal Publishing Group, 343, p. d5928. doi: 10.1136/BMJ.D5928.</w:t>
      </w:r>
    </w:p>
    <w:p w14:paraId="5D2CECC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Higginson, S., Mansell, W. and Wood, A. M. (2011) ‘An integrative mechanistic account of psychological distress, therapeutic change and recovery: The Perceptual Control Theory approach’, </w:t>
      </w:r>
      <w:r w:rsidRPr="00734178">
        <w:rPr>
          <w:rFonts w:ascii="Calibri" w:hAnsi="Calibri" w:cs="Calibri"/>
          <w:i/>
          <w:iCs/>
          <w:noProof/>
          <w:szCs w:val="24"/>
        </w:rPr>
        <w:t>Clinical Psychology Review</w:t>
      </w:r>
      <w:r w:rsidRPr="00734178">
        <w:rPr>
          <w:rFonts w:ascii="Calibri" w:hAnsi="Calibri" w:cs="Calibri"/>
          <w:noProof/>
          <w:szCs w:val="24"/>
        </w:rPr>
        <w:t>, 31(2), pp. 249–259. doi: 10.1016/j.cpr.2010.01.005.</w:t>
      </w:r>
    </w:p>
    <w:p w14:paraId="1F83AC9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Hind, D. </w:t>
      </w:r>
      <w:r w:rsidRPr="00734178">
        <w:rPr>
          <w:rFonts w:ascii="Calibri" w:hAnsi="Calibri" w:cs="Calibri"/>
          <w:i/>
          <w:iCs/>
          <w:noProof/>
          <w:szCs w:val="24"/>
        </w:rPr>
        <w:t>et al.</w:t>
      </w:r>
      <w:r w:rsidRPr="00734178">
        <w:rPr>
          <w:rFonts w:ascii="Calibri" w:hAnsi="Calibri" w:cs="Calibri"/>
          <w:noProof/>
          <w:szCs w:val="24"/>
        </w:rPr>
        <w:t xml:space="preserve"> (2010) ‘The acceptability of computerised cognitive behavioural therapy for the treatment of depression in people with chronic physical disease: a qualitative study of people with multiple sclerosis.’, </w:t>
      </w:r>
      <w:r w:rsidRPr="00734178">
        <w:rPr>
          <w:rFonts w:ascii="Calibri" w:hAnsi="Calibri" w:cs="Calibri"/>
          <w:i/>
          <w:iCs/>
          <w:noProof/>
          <w:szCs w:val="24"/>
        </w:rPr>
        <w:t>Psychology &amp; Health</w:t>
      </w:r>
      <w:r w:rsidRPr="00734178">
        <w:rPr>
          <w:rFonts w:ascii="Calibri" w:hAnsi="Calibri" w:cs="Calibri"/>
          <w:noProof/>
          <w:szCs w:val="24"/>
        </w:rPr>
        <w:t>, 25(6), pp. 699–712. doi: 10.1080/08870440902842739.</w:t>
      </w:r>
    </w:p>
    <w:p w14:paraId="1980D5B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Høifødt, R. S. </w:t>
      </w:r>
      <w:r w:rsidRPr="00734178">
        <w:rPr>
          <w:rFonts w:ascii="Calibri" w:hAnsi="Calibri" w:cs="Calibri"/>
          <w:i/>
          <w:iCs/>
          <w:noProof/>
          <w:szCs w:val="24"/>
        </w:rPr>
        <w:t>et al.</w:t>
      </w:r>
      <w:r w:rsidRPr="00734178">
        <w:rPr>
          <w:rFonts w:ascii="Calibri" w:hAnsi="Calibri" w:cs="Calibri"/>
          <w:noProof/>
          <w:szCs w:val="24"/>
        </w:rPr>
        <w:t xml:space="preserve"> (2013) ‘The clinical effectiveness of web-based cognitive behavioral therapy with face-to-face therapist support for depressed primary care patients: Randomized controlled trial’, </w:t>
      </w:r>
      <w:r w:rsidRPr="00734178">
        <w:rPr>
          <w:rFonts w:ascii="Calibri" w:hAnsi="Calibri" w:cs="Calibri"/>
          <w:i/>
          <w:iCs/>
          <w:noProof/>
          <w:szCs w:val="24"/>
        </w:rPr>
        <w:t>Journal of Medical Internet Research</w:t>
      </w:r>
      <w:r w:rsidRPr="00734178">
        <w:rPr>
          <w:rFonts w:ascii="Calibri" w:hAnsi="Calibri" w:cs="Calibri"/>
          <w:noProof/>
          <w:szCs w:val="24"/>
        </w:rPr>
        <w:t>, 15(8), p. e153. doi: 10.2196/jmir.2714.</w:t>
      </w:r>
    </w:p>
    <w:p w14:paraId="7E94153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Howells, A., Ivtzan, I. and Eiroa-Orosa, F. J. (2014) ‘Putting the “app” in Happiness: A Randomised Controlled Trial of a Smartphone-Based Mindfulness Intervention to Enhance Wellbeing’, </w:t>
      </w:r>
      <w:r w:rsidRPr="00734178">
        <w:rPr>
          <w:rFonts w:ascii="Calibri" w:hAnsi="Calibri" w:cs="Calibri"/>
          <w:i/>
          <w:iCs/>
          <w:noProof/>
          <w:szCs w:val="24"/>
        </w:rPr>
        <w:t>Journal of Happiness Studies</w:t>
      </w:r>
      <w:r w:rsidRPr="00734178">
        <w:rPr>
          <w:rFonts w:ascii="Calibri" w:hAnsi="Calibri" w:cs="Calibri"/>
          <w:noProof/>
          <w:szCs w:val="24"/>
        </w:rPr>
        <w:t>, 17(1), pp. 163–185. doi: 10.1007/s10902-014-9589-1.</w:t>
      </w:r>
    </w:p>
    <w:p w14:paraId="11FFA8B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HSCIC (2016) </w:t>
      </w:r>
      <w:r w:rsidRPr="00734178">
        <w:rPr>
          <w:rFonts w:ascii="Calibri" w:hAnsi="Calibri" w:cs="Calibri"/>
          <w:i/>
          <w:iCs/>
          <w:noProof/>
          <w:szCs w:val="24"/>
        </w:rPr>
        <w:t>Psychological Therapies: Annual report on the use of IAPT services</w:t>
      </w:r>
      <w:r w:rsidRPr="00734178">
        <w:rPr>
          <w:rFonts w:ascii="Calibri" w:hAnsi="Calibri" w:cs="Calibri"/>
          <w:noProof/>
          <w:szCs w:val="24"/>
        </w:rPr>
        <w:t>. Available at: http://content.digital.nhs.uk/catalogue/PUB22110/psych-ther-ann-rep-2015-16.pdf (Accessed: 15 May 2017).</w:t>
      </w:r>
    </w:p>
    <w:p w14:paraId="17F943F0"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lastRenderedPageBreak/>
        <w:t xml:space="preserve">Huckvale, K. </w:t>
      </w:r>
      <w:r w:rsidRPr="00734178">
        <w:rPr>
          <w:rFonts w:ascii="Calibri" w:hAnsi="Calibri" w:cs="Calibri"/>
          <w:i/>
          <w:iCs/>
          <w:noProof/>
          <w:szCs w:val="24"/>
        </w:rPr>
        <w:t>et al.</w:t>
      </w:r>
      <w:r w:rsidRPr="00734178">
        <w:rPr>
          <w:rFonts w:ascii="Calibri" w:hAnsi="Calibri" w:cs="Calibri"/>
          <w:noProof/>
          <w:szCs w:val="24"/>
        </w:rPr>
        <w:t xml:space="preserve"> (2015) ‘Unaddressed privacy risks in accredited health and wellness apps: A cross-sectional systematic assessment’, </w:t>
      </w:r>
      <w:r w:rsidRPr="00734178">
        <w:rPr>
          <w:rFonts w:ascii="Calibri" w:hAnsi="Calibri" w:cs="Calibri"/>
          <w:i/>
          <w:iCs/>
          <w:noProof/>
          <w:szCs w:val="24"/>
        </w:rPr>
        <w:t>BMC Medicine</w:t>
      </w:r>
      <w:r w:rsidRPr="00734178">
        <w:rPr>
          <w:rFonts w:ascii="Calibri" w:hAnsi="Calibri" w:cs="Calibri"/>
          <w:noProof/>
          <w:szCs w:val="24"/>
        </w:rPr>
        <w:t>. BioMed Central Ltd., 13(1), p. 214. doi: 10.1186/s12916-015-0444-y.</w:t>
      </w:r>
    </w:p>
    <w:p w14:paraId="50B00988"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ISO (2010) </w:t>
      </w:r>
      <w:r w:rsidRPr="00734178">
        <w:rPr>
          <w:rFonts w:ascii="Calibri" w:hAnsi="Calibri" w:cs="Calibri"/>
          <w:i/>
          <w:iCs/>
          <w:noProof/>
          <w:szCs w:val="24"/>
        </w:rPr>
        <w:t>Iso 9241-210:2010</w:t>
      </w:r>
      <w:r w:rsidRPr="00734178">
        <w:rPr>
          <w:rFonts w:ascii="Calibri" w:hAnsi="Calibri" w:cs="Calibri"/>
          <w:noProof/>
          <w:szCs w:val="24"/>
        </w:rPr>
        <w:t>.</w:t>
      </w:r>
    </w:p>
    <w:p w14:paraId="0C6A7AD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ISO (2016) ‘Systems and software engineering - Systems and software Quality Requirements and Evaluation ( SQuaRE ) – Measurement of quality in use’, pp. 31–32.</w:t>
      </w:r>
    </w:p>
    <w:p w14:paraId="6BF7CBD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ISO (2018) </w:t>
      </w:r>
      <w:r w:rsidRPr="00734178">
        <w:rPr>
          <w:rFonts w:ascii="Calibri" w:hAnsi="Calibri" w:cs="Calibri"/>
          <w:i/>
          <w:iCs/>
          <w:noProof/>
          <w:szCs w:val="24"/>
        </w:rPr>
        <w:t>ISO 9241-11:2018(en), Ergonomics of human-system interaction — Part 11: Usability: Definitions and concepts</w:t>
      </w:r>
      <w:r w:rsidRPr="00734178">
        <w:rPr>
          <w:rFonts w:ascii="Calibri" w:hAnsi="Calibri" w:cs="Calibri"/>
          <w:noProof/>
          <w:szCs w:val="24"/>
        </w:rPr>
        <w:t>. Available at: https://www.iso.org/obp/ui/fr/#iso:std:iso:9241:-11:ed-2:v1:en (Accessed: 10 April 2018).</w:t>
      </w:r>
    </w:p>
    <w:p w14:paraId="1C54F93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Jasper, K. </w:t>
      </w:r>
      <w:r w:rsidRPr="00734178">
        <w:rPr>
          <w:rFonts w:ascii="Calibri" w:hAnsi="Calibri" w:cs="Calibri"/>
          <w:i/>
          <w:iCs/>
          <w:noProof/>
          <w:szCs w:val="24"/>
        </w:rPr>
        <w:t>et al.</w:t>
      </w:r>
      <w:r w:rsidRPr="00734178">
        <w:rPr>
          <w:rFonts w:ascii="Calibri" w:hAnsi="Calibri" w:cs="Calibri"/>
          <w:noProof/>
          <w:szCs w:val="24"/>
        </w:rPr>
        <w:t xml:space="preserve"> (2014) ‘The working alliance in a randomized controlled trial comparing Internet-based self-help and face-to-face cognitive behavior therapy for chronic tinnitus’, </w:t>
      </w:r>
      <w:r w:rsidRPr="00734178">
        <w:rPr>
          <w:rFonts w:ascii="Calibri" w:hAnsi="Calibri" w:cs="Calibri"/>
          <w:i/>
          <w:iCs/>
          <w:noProof/>
          <w:szCs w:val="24"/>
        </w:rPr>
        <w:t>Internet Interventions</w:t>
      </w:r>
      <w:r w:rsidRPr="00734178">
        <w:rPr>
          <w:rFonts w:ascii="Calibri" w:hAnsi="Calibri" w:cs="Calibri"/>
          <w:noProof/>
          <w:szCs w:val="24"/>
        </w:rPr>
        <w:t>, 1(2), pp. 49–57. doi: 10.1016/j.invent.2014.04.002.</w:t>
      </w:r>
    </w:p>
    <w:p w14:paraId="02E9664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Jennings, M. and Morgan (2000) ‘Theory and models for creating engaging and immersive ecommerce Websites’, in </w:t>
      </w:r>
      <w:r w:rsidRPr="00734178">
        <w:rPr>
          <w:rFonts w:ascii="Calibri" w:hAnsi="Calibri" w:cs="Calibri"/>
          <w:i/>
          <w:iCs/>
          <w:noProof/>
          <w:szCs w:val="24"/>
        </w:rPr>
        <w:t>Proceedings of the 2000 ACM SIGCPR conference on Computer personnel research  - SIGCPR ’00</w:t>
      </w:r>
      <w:r w:rsidRPr="00734178">
        <w:rPr>
          <w:rFonts w:ascii="Calibri" w:hAnsi="Calibri" w:cs="Calibri"/>
          <w:noProof/>
          <w:szCs w:val="24"/>
        </w:rPr>
        <w:t>. New York, New York, USA: ACM Press, pp. 77–85. doi: 10.1145/333334.333358.</w:t>
      </w:r>
    </w:p>
    <w:p w14:paraId="4F06A86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Joanna Briggs Institute (2014) </w:t>
      </w:r>
      <w:r w:rsidRPr="00734178">
        <w:rPr>
          <w:rFonts w:ascii="Calibri" w:hAnsi="Calibri" w:cs="Calibri"/>
          <w:i/>
          <w:iCs/>
          <w:noProof/>
          <w:szCs w:val="24"/>
        </w:rPr>
        <w:t>The JBI Approach</w:t>
      </w:r>
      <w:r w:rsidRPr="00734178">
        <w:rPr>
          <w:rFonts w:ascii="Calibri" w:hAnsi="Calibri" w:cs="Calibri"/>
          <w:noProof/>
          <w:szCs w:val="24"/>
        </w:rPr>
        <w:t xml:space="preserve">, </w:t>
      </w:r>
      <w:r w:rsidRPr="00734178">
        <w:rPr>
          <w:rFonts w:ascii="Calibri" w:hAnsi="Calibri" w:cs="Calibri"/>
          <w:i/>
          <w:iCs/>
          <w:noProof/>
          <w:szCs w:val="24"/>
        </w:rPr>
        <w:t>The Joanna Briggs Institute</w:t>
      </w:r>
      <w:r w:rsidRPr="00734178">
        <w:rPr>
          <w:rFonts w:ascii="Calibri" w:hAnsi="Calibri" w:cs="Calibri"/>
          <w:noProof/>
          <w:szCs w:val="24"/>
        </w:rPr>
        <w:t>. Available at: http://joannabriggs.org/jbi-approach.html#tabbed-nav=Levels-of-Evidence%0Ahttp://joannabriggs.org/jbi-approach.html%7B%23%7Dtabbed-nav=JBI-approach%5Cnhttp://joannabriggs.org/jbi-approach.html%23tabbed-nav=JBI-approach%5Cnhttp://joannabriggs.org/jbi-approach. (Accessed: 24 October 2018).</w:t>
      </w:r>
    </w:p>
    <w:p w14:paraId="4D788BF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Kaldo, V. </w:t>
      </w:r>
      <w:r w:rsidRPr="00734178">
        <w:rPr>
          <w:rFonts w:ascii="Calibri" w:hAnsi="Calibri" w:cs="Calibri"/>
          <w:i/>
          <w:iCs/>
          <w:noProof/>
          <w:szCs w:val="24"/>
        </w:rPr>
        <w:t>et al.</w:t>
      </w:r>
      <w:r w:rsidRPr="00734178">
        <w:rPr>
          <w:rFonts w:ascii="Calibri" w:hAnsi="Calibri" w:cs="Calibri"/>
          <w:noProof/>
          <w:szCs w:val="24"/>
        </w:rPr>
        <w:t xml:space="preserve"> (2008) ‘Internet Versus Group Cognitive-Behavioral Treatment of Distress Associated With Tinnitus: A Randomized Controlled Trial’, </w:t>
      </w:r>
      <w:r w:rsidRPr="00734178">
        <w:rPr>
          <w:rFonts w:ascii="Calibri" w:hAnsi="Calibri" w:cs="Calibri"/>
          <w:i/>
          <w:iCs/>
          <w:noProof/>
          <w:szCs w:val="24"/>
        </w:rPr>
        <w:t>Behavior Therapy</w:t>
      </w:r>
      <w:r w:rsidRPr="00734178">
        <w:rPr>
          <w:rFonts w:ascii="Calibri" w:hAnsi="Calibri" w:cs="Calibri"/>
          <w:noProof/>
          <w:szCs w:val="24"/>
        </w:rPr>
        <w:t>, 39(4), pp. 348–359. doi: 10.1016/j.beth.2007.10.003.</w:t>
      </w:r>
    </w:p>
    <w:p w14:paraId="249E1A7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Kaltenthaler, E. </w:t>
      </w:r>
      <w:r w:rsidRPr="00734178">
        <w:rPr>
          <w:rFonts w:ascii="Calibri" w:hAnsi="Calibri" w:cs="Calibri"/>
          <w:i/>
          <w:iCs/>
          <w:noProof/>
          <w:szCs w:val="24"/>
        </w:rPr>
        <w:t>et al.</w:t>
      </w:r>
      <w:r w:rsidRPr="00734178">
        <w:rPr>
          <w:rFonts w:ascii="Calibri" w:hAnsi="Calibri" w:cs="Calibri"/>
          <w:noProof/>
          <w:szCs w:val="24"/>
        </w:rPr>
        <w:t xml:space="preserve"> (2008) ‘The acceptability to patients of computerized cognitive behaviour therapy for depression: a systematic review’, </w:t>
      </w:r>
      <w:r w:rsidRPr="00734178">
        <w:rPr>
          <w:rFonts w:ascii="Calibri" w:hAnsi="Calibri" w:cs="Calibri"/>
          <w:i/>
          <w:iCs/>
          <w:noProof/>
          <w:szCs w:val="24"/>
        </w:rPr>
        <w:t>Psychological Medicine</w:t>
      </w:r>
      <w:r w:rsidRPr="00734178">
        <w:rPr>
          <w:rFonts w:ascii="Calibri" w:hAnsi="Calibri" w:cs="Calibri"/>
          <w:noProof/>
          <w:szCs w:val="24"/>
        </w:rPr>
        <w:t>, 38(11), p. 1521. doi: 10.1017/S0033291707002607.</w:t>
      </w:r>
    </w:p>
    <w:p w14:paraId="606AD0C6"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Karlsson, P. and Bergmark, A. (2015) ‘Compared with what? An analysis of control-group types in Cochrane and Campbell reviews of psychosocial treatment efficacy with substance use disorders’, </w:t>
      </w:r>
      <w:r w:rsidRPr="00734178">
        <w:rPr>
          <w:rFonts w:ascii="Calibri" w:hAnsi="Calibri" w:cs="Calibri"/>
          <w:i/>
          <w:iCs/>
          <w:noProof/>
          <w:szCs w:val="24"/>
        </w:rPr>
        <w:t>Addiction</w:t>
      </w:r>
      <w:r w:rsidRPr="00734178">
        <w:rPr>
          <w:rFonts w:ascii="Calibri" w:hAnsi="Calibri" w:cs="Calibri"/>
          <w:noProof/>
          <w:szCs w:val="24"/>
        </w:rPr>
        <w:t>, 110(3), pp. 420–428. doi: 10.1111/add.12799.</w:t>
      </w:r>
    </w:p>
    <w:p w14:paraId="7CD831F0"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Karyotaki, E. </w:t>
      </w:r>
      <w:r w:rsidRPr="00734178">
        <w:rPr>
          <w:rFonts w:ascii="Calibri" w:hAnsi="Calibri" w:cs="Calibri"/>
          <w:i/>
          <w:iCs/>
          <w:noProof/>
          <w:szCs w:val="24"/>
        </w:rPr>
        <w:t>et al.</w:t>
      </w:r>
      <w:r w:rsidRPr="00734178">
        <w:rPr>
          <w:rFonts w:ascii="Calibri" w:hAnsi="Calibri" w:cs="Calibri"/>
          <w:noProof/>
          <w:szCs w:val="24"/>
        </w:rPr>
        <w:t xml:space="preserve"> (2017) ‘Efficacy of Self-guided Internet-Based Cognitive Behavioral Therapy in the Treatment of Depressive Symptoms’, </w:t>
      </w:r>
      <w:r w:rsidRPr="00734178">
        <w:rPr>
          <w:rFonts w:ascii="Calibri" w:hAnsi="Calibri" w:cs="Calibri"/>
          <w:i/>
          <w:iCs/>
          <w:noProof/>
          <w:szCs w:val="24"/>
        </w:rPr>
        <w:t>JAMA Psychiatry</w:t>
      </w:r>
      <w:r w:rsidRPr="00734178">
        <w:rPr>
          <w:rFonts w:ascii="Calibri" w:hAnsi="Calibri" w:cs="Calibri"/>
          <w:noProof/>
          <w:szCs w:val="24"/>
        </w:rPr>
        <w:t>, 74(4), p. 351. doi: 10.1001/jamapsychiatry.2017.0044.</w:t>
      </w:r>
    </w:p>
    <w:p w14:paraId="0D00C79D"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Keiningham, T. L. </w:t>
      </w:r>
      <w:r w:rsidRPr="00734178">
        <w:rPr>
          <w:rFonts w:ascii="Calibri" w:hAnsi="Calibri" w:cs="Calibri"/>
          <w:i/>
          <w:iCs/>
          <w:noProof/>
          <w:szCs w:val="24"/>
        </w:rPr>
        <w:t>et al.</w:t>
      </w:r>
      <w:r w:rsidRPr="00734178">
        <w:rPr>
          <w:rFonts w:ascii="Calibri" w:hAnsi="Calibri" w:cs="Calibri"/>
          <w:noProof/>
          <w:szCs w:val="24"/>
        </w:rPr>
        <w:t xml:space="preserve"> (2007) ‘A Longitudinal Examination of Net Promoter and Firm Revenue Growth’, </w:t>
      </w:r>
      <w:r w:rsidRPr="00734178">
        <w:rPr>
          <w:rFonts w:ascii="Calibri" w:hAnsi="Calibri" w:cs="Calibri"/>
          <w:i/>
          <w:iCs/>
          <w:noProof/>
          <w:szCs w:val="24"/>
        </w:rPr>
        <w:t>Journal of Marketing</w:t>
      </w:r>
      <w:r w:rsidRPr="00734178">
        <w:rPr>
          <w:rFonts w:ascii="Calibri" w:hAnsi="Calibri" w:cs="Calibri"/>
          <w:noProof/>
          <w:szCs w:val="24"/>
        </w:rPr>
        <w:t>.  American Marketing Association , 71(3), pp. 39–51. doi: 10.1509/jmkg.71.3.39.</w:t>
      </w:r>
    </w:p>
    <w:p w14:paraId="71F69C96"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Kenardy, J., McCafferty, K. and Rosa, V. (2003) ‘Internet-Delivered Indicated Prevention For Anxiety Disorders: </w:t>
      </w:r>
      <w:r w:rsidRPr="00734178">
        <w:rPr>
          <w:rFonts w:ascii="Calibri" w:hAnsi="Calibri" w:cs="Calibri"/>
          <w:noProof/>
          <w:szCs w:val="24"/>
        </w:rPr>
        <w:lastRenderedPageBreak/>
        <w:t xml:space="preserve">A Randomized Controlled Trial’, </w:t>
      </w:r>
      <w:r w:rsidRPr="00734178">
        <w:rPr>
          <w:rFonts w:ascii="Calibri" w:hAnsi="Calibri" w:cs="Calibri"/>
          <w:i/>
          <w:iCs/>
          <w:noProof/>
          <w:szCs w:val="24"/>
        </w:rPr>
        <w:t>Behavioural and Cognitive Psychotherapy</w:t>
      </w:r>
      <w:r w:rsidRPr="00734178">
        <w:rPr>
          <w:rFonts w:ascii="Calibri" w:hAnsi="Calibri" w:cs="Calibri"/>
          <w:noProof/>
          <w:szCs w:val="24"/>
        </w:rPr>
        <w:t>. Cambridge University Press, 31(3), p. S1352465803003047. doi: 10.1017/S1352465803003047.</w:t>
      </w:r>
    </w:p>
    <w:p w14:paraId="1CE21C6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Kessler, D. </w:t>
      </w:r>
      <w:r w:rsidRPr="00734178">
        <w:rPr>
          <w:rFonts w:ascii="Calibri" w:hAnsi="Calibri" w:cs="Calibri"/>
          <w:i/>
          <w:iCs/>
          <w:noProof/>
          <w:szCs w:val="24"/>
        </w:rPr>
        <w:t>et al.</w:t>
      </w:r>
      <w:r w:rsidRPr="00734178">
        <w:rPr>
          <w:rFonts w:ascii="Calibri" w:hAnsi="Calibri" w:cs="Calibri"/>
          <w:noProof/>
          <w:szCs w:val="24"/>
        </w:rPr>
        <w:t xml:space="preserve"> (2009) ‘Therapist-delivered Internet psychotherapy for depression in primary care: a randomised controlled trial.’, </w:t>
      </w:r>
      <w:r w:rsidRPr="00734178">
        <w:rPr>
          <w:rFonts w:ascii="Calibri" w:hAnsi="Calibri" w:cs="Calibri"/>
          <w:i/>
          <w:iCs/>
          <w:noProof/>
          <w:szCs w:val="24"/>
        </w:rPr>
        <w:t>Lancet</w:t>
      </w:r>
      <w:r w:rsidRPr="00734178">
        <w:rPr>
          <w:rFonts w:ascii="Calibri" w:hAnsi="Calibri" w:cs="Calibri"/>
          <w:noProof/>
          <w:szCs w:val="24"/>
        </w:rPr>
        <w:t>. Elsevier Ltd, 374(9690), pp. 628–34. doi: 10.1016/S0140-6736(09)61257-5.</w:t>
      </w:r>
    </w:p>
    <w:p w14:paraId="29697E3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Kim, K. (2016) ‘The Relationship of UX and Perceptions of Credibility’, </w:t>
      </w:r>
      <w:r w:rsidRPr="00734178">
        <w:rPr>
          <w:rFonts w:ascii="Calibri" w:hAnsi="Calibri" w:cs="Calibri"/>
          <w:i/>
          <w:iCs/>
          <w:noProof/>
          <w:szCs w:val="24"/>
        </w:rPr>
        <w:t>International Journal of Affective Engineering</w:t>
      </w:r>
      <w:r w:rsidRPr="00734178">
        <w:rPr>
          <w:rFonts w:ascii="Calibri" w:hAnsi="Calibri" w:cs="Calibri"/>
          <w:noProof/>
          <w:szCs w:val="24"/>
        </w:rPr>
        <w:t>. Japan Society of Kansei Engineering, 15(2), pp. 109–114. doi: 10.5057/ijae.IJAE-D-15-00042.</w:t>
      </w:r>
    </w:p>
    <w:p w14:paraId="4F1B6D5A"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Kleiboer, A. </w:t>
      </w:r>
      <w:r w:rsidRPr="00734178">
        <w:rPr>
          <w:rFonts w:ascii="Calibri" w:hAnsi="Calibri" w:cs="Calibri"/>
          <w:i/>
          <w:iCs/>
          <w:noProof/>
          <w:szCs w:val="24"/>
        </w:rPr>
        <w:t>et al.</w:t>
      </w:r>
      <w:r w:rsidRPr="00734178">
        <w:rPr>
          <w:rFonts w:ascii="Calibri" w:hAnsi="Calibri" w:cs="Calibri"/>
          <w:noProof/>
          <w:szCs w:val="24"/>
        </w:rPr>
        <w:t xml:space="preserve"> (2016) ‘European COMPARative Effectiveness research on blended Depression treatment versus treatment-as-usual (E-COMPARED): study protocol for a randomized controlled, non-inferiority trial in eight European countries’, </w:t>
      </w:r>
      <w:r w:rsidRPr="00734178">
        <w:rPr>
          <w:rFonts w:ascii="Calibri" w:hAnsi="Calibri" w:cs="Calibri"/>
          <w:i/>
          <w:iCs/>
          <w:noProof/>
          <w:szCs w:val="24"/>
        </w:rPr>
        <w:t>Trials</w:t>
      </w:r>
      <w:r w:rsidRPr="00734178">
        <w:rPr>
          <w:rFonts w:ascii="Calibri" w:hAnsi="Calibri" w:cs="Calibri"/>
          <w:noProof/>
          <w:szCs w:val="24"/>
        </w:rPr>
        <w:t>. BioMed Central, 17(1), p. 387. doi: 10.1186/s13063-016-1511-1.</w:t>
      </w:r>
    </w:p>
    <w:p w14:paraId="6A3EF51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Knowles, S. E. </w:t>
      </w:r>
      <w:r w:rsidRPr="00734178">
        <w:rPr>
          <w:rFonts w:ascii="Calibri" w:hAnsi="Calibri" w:cs="Calibri"/>
          <w:i/>
          <w:iCs/>
          <w:noProof/>
          <w:szCs w:val="24"/>
        </w:rPr>
        <w:t>et al.</w:t>
      </w:r>
      <w:r w:rsidRPr="00734178">
        <w:rPr>
          <w:rFonts w:ascii="Calibri" w:hAnsi="Calibri" w:cs="Calibri"/>
          <w:noProof/>
          <w:szCs w:val="24"/>
        </w:rPr>
        <w:t xml:space="preserve"> (2015) ‘Patient experience of computerised therapy for depression in primary care.’, </w:t>
      </w:r>
      <w:r w:rsidRPr="00734178">
        <w:rPr>
          <w:rFonts w:ascii="Calibri" w:hAnsi="Calibri" w:cs="Calibri"/>
          <w:i/>
          <w:iCs/>
          <w:noProof/>
          <w:szCs w:val="24"/>
        </w:rPr>
        <w:t>BMJ open</w:t>
      </w:r>
      <w:r w:rsidRPr="00734178">
        <w:rPr>
          <w:rFonts w:ascii="Calibri" w:hAnsi="Calibri" w:cs="Calibri"/>
          <w:noProof/>
          <w:szCs w:val="24"/>
        </w:rPr>
        <w:t>. British Medical Journal Publishing Group, 5(11), p. e008581. doi: 10.1136/bmjopen-2015-008581.</w:t>
      </w:r>
    </w:p>
    <w:p w14:paraId="0C4CE2E0"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Kraemer, H. C. and Kupfer, D. J. (2006) ‘Size of Treatment Effects and Their Importance to Clinical Research and Practice’, </w:t>
      </w:r>
      <w:r w:rsidRPr="00734178">
        <w:rPr>
          <w:rFonts w:ascii="Calibri" w:hAnsi="Calibri" w:cs="Calibri"/>
          <w:i/>
          <w:iCs/>
          <w:noProof/>
          <w:szCs w:val="24"/>
        </w:rPr>
        <w:t>Biological Psychiatry</w:t>
      </w:r>
      <w:r w:rsidRPr="00734178">
        <w:rPr>
          <w:rFonts w:ascii="Calibri" w:hAnsi="Calibri" w:cs="Calibri"/>
          <w:noProof/>
          <w:szCs w:val="24"/>
        </w:rPr>
        <w:t>. Elsevier, 59(11), pp. 990–996. doi: 10.1016/J.BIOPSYCH.2005.09.014.</w:t>
      </w:r>
    </w:p>
    <w:p w14:paraId="7CA86059"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Kroenke, K. </w:t>
      </w:r>
      <w:r w:rsidRPr="00734178">
        <w:rPr>
          <w:rFonts w:ascii="Calibri" w:hAnsi="Calibri" w:cs="Calibri"/>
          <w:i/>
          <w:iCs/>
          <w:noProof/>
          <w:szCs w:val="24"/>
        </w:rPr>
        <w:t>et al.</w:t>
      </w:r>
      <w:r w:rsidRPr="00734178">
        <w:rPr>
          <w:rFonts w:ascii="Calibri" w:hAnsi="Calibri" w:cs="Calibri"/>
          <w:noProof/>
          <w:szCs w:val="24"/>
        </w:rPr>
        <w:t xml:space="preserve"> (2010) ‘The Patient Health Questionnaire Somatic, Anxiety, and Depressive Symptom Scales: a systematic review’, </w:t>
      </w:r>
      <w:r w:rsidRPr="00734178">
        <w:rPr>
          <w:rFonts w:ascii="Calibri" w:hAnsi="Calibri" w:cs="Calibri"/>
          <w:i/>
          <w:iCs/>
          <w:noProof/>
          <w:szCs w:val="24"/>
        </w:rPr>
        <w:t>General Hospital Psychiatry</w:t>
      </w:r>
      <w:r w:rsidRPr="00734178">
        <w:rPr>
          <w:rFonts w:ascii="Calibri" w:hAnsi="Calibri" w:cs="Calibri"/>
          <w:noProof/>
          <w:szCs w:val="24"/>
        </w:rPr>
        <w:t>. Elsevier, 32(4), pp. 345–359. doi: 10.1016/J.GENHOSPPSYCH.2010.03.006.</w:t>
      </w:r>
    </w:p>
    <w:p w14:paraId="6285204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Kroenke, K., Spitzer, R. L. and Williams, J. B. (2001) ‘The PHQ-9: validity of a brief depression severity measure.’, </w:t>
      </w:r>
      <w:r w:rsidRPr="00734178">
        <w:rPr>
          <w:rFonts w:ascii="Calibri" w:hAnsi="Calibri" w:cs="Calibri"/>
          <w:i/>
          <w:iCs/>
          <w:noProof/>
          <w:szCs w:val="24"/>
        </w:rPr>
        <w:t>Journal of general internal medicine</w:t>
      </w:r>
      <w:r w:rsidRPr="00734178">
        <w:rPr>
          <w:rFonts w:ascii="Calibri" w:hAnsi="Calibri" w:cs="Calibri"/>
          <w:noProof/>
          <w:szCs w:val="24"/>
        </w:rPr>
        <w:t>. Springer, 16(9), pp. 606–13. doi: 10.1046/J.1525-1497.2001.016009606.X.</w:t>
      </w:r>
    </w:p>
    <w:p w14:paraId="28343E0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Laidlaw, K. and Pachana, N. A. (2009) ‘Aging, mental health, and demographic change: Challenges for psychotherapists.’, </w:t>
      </w:r>
      <w:r w:rsidRPr="00734178">
        <w:rPr>
          <w:rFonts w:ascii="Calibri" w:hAnsi="Calibri" w:cs="Calibri"/>
          <w:i/>
          <w:iCs/>
          <w:noProof/>
          <w:szCs w:val="24"/>
        </w:rPr>
        <w:t>Professional Psychology: Research and Practice</w:t>
      </w:r>
      <w:r w:rsidRPr="00734178">
        <w:rPr>
          <w:rFonts w:ascii="Calibri" w:hAnsi="Calibri" w:cs="Calibri"/>
          <w:noProof/>
          <w:szCs w:val="24"/>
        </w:rPr>
        <w:t>, 40(6), pp. 601–608. doi: 10.1037/a0017215.</w:t>
      </w:r>
    </w:p>
    <w:p w14:paraId="773B69A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Laidlaw, K., Thompson, L. W. and Gallagher-Thompson, D. (2004) ‘Comprehensive Conceptualization of Cognitive Behaviour Therapy for Late Life Depression’, </w:t>
      </w:r>
      <w:r w:rsidRPr="00734178">
        <w:rPr>
          <w:rFonts w:ascii="Calibri" w:hAnsi="Calibri" w:cs="Calibri"/>
          <w:i/>
          <w:iCs/>
          <w:noProof/>
          <w:szCs w:val="24"/>
        </w:rPr>
        <w:t>Behavioural and Cognitive Psychotherapy</w:t>
      </w:r>
      <w:r w:rsidRPr="00734178">
        <w:rPr>
          <w:rFonts w:ascii="Calibri" w:hAnsi="Calibri" w:cs="Calibri"/>
          <w:noProof/>
          <w:szCs w:val="24"/>
        </w:rPr>
        <w:t>, 32(4), pp. 389–399. doi: 10.1017/S1352465804001584.</w:t>
      </w:r>
    </w:p>
    <w:p w14:paraId="3D511BD6"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Law, E. L.-C. </w:t>
      </w:r>
      <w:r w:rsidRPr="00734178">
        <w:rPr>
          <w:rFonts w:ascii="Calibri" w:hAnsi="Calibri" w:cs="Calibri"/>
          <w:i/>
          <w:iCs/>
          <w:noProof/>
          <w:szCs w:val="24"/>
        </w:rPr>
        <w:t>et al.</w:t>
      </w:r>
      <w:r w:rsidRPr="00734178">
        <w:rPr>
          <w:rFonts w:ascii="Calibri" w:hAnsi="Calibri" w:cs="Calibri"/>
          <w:noProof/>
          <w:szCs w:val="24"/>
        </w:rPr>
        <w:t xml:space="preserve"> (2009) ‘Understanding, scoping and defining user experience’, in </w:t>
      </w:r>
      <w:r w:rsidRPr="00734178">
        <w:rPr>
          <w:rFonts w:ascii="Calibri" w:hAnsi="Calibri" w:cs="Calibri"/>
          <w:i/>
          <w:iCs/>
          <w:noProof/>
          <w:szCs w:val="24"/>
        </w:rPr>
        <w:t>Proceedings of the 27th international conference on Human factors in computing systems - CHI 09</w:t>
      </w:r>
      <w:r w:rsidRPr="00734178">
        <w:rPr>
          <w:rFonts w:ascii="Calibri" w:hAnsi="Calibri" w:cs="Calibri"/>
          <w:noProof/>
          <w:szCs w:val="24"/>
        </w:rPr>
        <w:t>. New York, New York, USA: ACM Press, p. 719. doi: 10.1145/1518701.1518813.</w:t>
      </w:r>
    </w:p>
    <w:p w14:paraId="6BA5B76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Lean, T. (2013) ‘Mediating the microcomputer: The educational character of the 1980s British popular computing boom’, </w:t>
      </w:r>
      <w:r w:rsidRPr="00734178">
        <w:rPr>
          <w:rFonts w:ascii="Calibri" w:hAnsi="Calibri" w:cs="Calibri"/>
          <w:i/>
          <w:iCs/>
          <w:noProof/>
          <w:szCs w:val="24"/>
        </w:rPr>
        <w:t>Public Understanding of Science</w:t>
      </w:r>
      <w:r w:rsidRPr="00734178">
        <w:rPr>
          <w:rFonts w:ascii="Calibri" w:hAnsi="Calibri" w:cs="Calibri"/>
          <w:noProof/>
          <w:szCs w:val="24"/>
        </w:rPr>
        <w:t>. SAGE PublicationsSage UK: London, England, 22(5), pp. 546–558. doi: 10.1177/0963662512457904.</w:t>
      </w:r>
    </w:p>
    <w:p w14:paraId="4F7AFD3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lastRenderedPageBreak/>
        <w:t xml:space="preserve">Leigh, S. and Flatt, S. (2015) ‘App-based psychological interventions: friend or foe?: Table 1’, </w:t>
      </w:r>
      <w:r w:rsidRPr="00734178">
        <w:rPr>
          <w:rFonts w:ascii="Calibri" w:hAnsi="Calibri" w:cs="Calibri"/>
          <w:i/>
          <w:iCs/>
          <w:noProof/>
          <w:szCs w:val="24"/>
        </w:rPr>
        <w:t>Evidence-Based Mental Health</w:t>
      </w:r>
      <w:r w:rsidRPr="00734178">
        <w:rPr>
          <w:rFonts w:ascii="Calibri" w:hAnsi="Calibri" w:cs="Calibri"/>
          <w:noProof/>
          <w:szCs w:val="24"/>
        </w:rPr>
        <w:t>, 18(4), pp. 97–99. doi: 10.1136/eb-2015-102203.</w:t>
      </w:r>
    </w:p>
    <w:p w14:paraId="3C51AD7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Lesaffre, E. (2008) ‘Superiority, equivalence, and non-inferiority trials’, </w:t>
      </w:r>
      <w:r w:rsidRPr="00734178">
        <w:rPr>
          <w:rFonts w:ascii="Calibri" w:hAnsi="Calibri" w:cs="Calibri"/>
          <w:i/>
          <w:iCs/>
          <w:noProof/>
          <w:szCs w:val="24"/>
        </w:rPr>
        <w:t>Bulletin of the NYU Hospital for Joint Diseases</w:t>
      </w:r>
      <w:r w:rsidRPr="00734178">
        <w:rPr>
          <w:rFonts w:ascii="Calibri" w:hAnsi="Calibri" w:cs="Calibri"/>
          <w:noProof/>
          <w:szCs w:val="24"/>
        </w:rPr>
        <w:t>, 66(2), pp. 150–154. doi: 10.1067/mhj.2000.104184.</w:t>
      </w:r>
    </w:p>
    <w:p w14:paraId="24781FF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Levine, D. M., Lipsitz, S. R. and Linder, J. A. (2016) ‘Trends in Seniors’ Use of Digital Health Technology in the United States, 2011-2014’, </w:t>
      </w:r>
      <w:r w:rsidRPr="00734178">
        <w:rPr>
          <w:rFonts w:ascii="Calibri" w:hAnsi="Calibri" w:cs="Calibri"/>
          <w:i/>
          <w:iCs/>
          <w:noProof/>
          <w:szCs w:val="24"/>
        </w:rPr>
        <w:t>JAMA</w:t>
      </w:r>
      <w:r w:rsidRPr="00734178">
        <w:rPr>
          <w:rFonts w:ascii="Calibri" w:hAnsi="Calibri" w:cs="Calibri"/>
          <w:noProof/>
          <w:szCs w:val="24"/>
        </w:rPr>
        <w:t>. American Medical Association, 316(5), p. 538. doi: 10.1001/jama.2016.9124.</w:t>
      </w:r>
    </w:p>
    <w:p w14:paraId="2F703FD9"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Lewis, J. R. (1991) ‘Psychometric Evaluation of an After-Scenario Questionnaire for ComputerR Usability Studies: the ASQ’, </w:t>
      </w:r>
      <w:r w:rsidRPr="00734178">
        <w:rPr>
          <w:rFonts w:ascii="Calibri" w:hAnsi="Calibri" w:cs="Calibri"/>
          <w:i/>
          <w:iCs/>
          <w:noProof/>
          <w:szCs w:val="24"/>
        </w:rPr>
        <w:t>SIGCHI Bulletin</w:t>
      </w:r>
      <w:r w:rsidRPr="00734178">
        <w:rPr>
          <w:rFonts w:ascii="Calibri" w:hAnsi="Calibri" w:cs="Calibri"/>
          <w:noProof/>
          <w:szCs w:val="24"/>
        </w:rPr>
        <w:t>, 23(I), pp. 78–81. doi: 10.1145/122672.122692.</w:t>
      </w:r>
    </w:p>
    <w:p w14:paraId="004E22E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Lintvedt, O. K. </w:t>
      </w:r>
      <w:r w:rsidRPr="00734178">
        <w:rPr>
          <w:rFonts w:ascii="Calibri" w:hAnsi="Calibri" w:cs="Calibri"/>
          <w:i/>
          <w:iCs/>
          <w:noProof/>
          <w:szCs w:val="24"/>
        </w:rPr>
        <w:t>et al.</w:t>
      </w:r>
      <w:r w:rsidRPr="00734178">
        <w:rPr>
          <w:rFonts w:ascii="Calibri" w:hAnsi="Calibri" w:cs="Calibri"/>
          <w:noProof/>
          <w:szCs w:val="24"/>
        </w:rPr>
        <w:t xml:space="preserve"> (2013) ‘Evaluating the effectiveness and efficacy of unguided internet-based self-help intervention for the prevention of depression: A randomized controlled trial’, </w:t>
      </w:r>
      <w:r w:rsidRPr="00734178">
        <w:rPr>
          <w:rFonts w:ascii="Calibri" w:hAnsi="Calibri" w:cs="Calibri"/>
          <w:i/>
          <w:iCs/>
          <w:noProof/>
          <w:szCs w:val="24"/>
        </w:rPr>
        <w:t>Clinical Psychology and Psychotherapy</w:t>
      </w:r>
      <w:r w:rsidRPr="00734178">
        <w:rPr>
          <w:rFonts w:ascii="Calibri" w:hAnsi="Calibri" w:cs="Calibri"/>
          <w:noProof/>
          <w:szCs w:val="24"/>
        </w:rPr>
        <w:t>, 20(1), pp. 10–27. doi: 10.1002/cpp.770.</w:t>
      </w:r>
    </w:p>
    <w:p w14:paraId="509CCA4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Lovibond, S. H. and Lovibond, P. F. (1995) </w:t>
      </w:r>
      <w:r w:rsidRPr="00734178">
        <w:rPr>
          <w:rFonts w:ascii="Calibri" w:hAnsi="Calibri" w:cs="Calibri"/>
          <w:i/>
          <w:iCs/>
          <w:noProof/>
          <w:szCs w:val="24"/>
        </w:rPr>
        <w:t>Manual for the Depression Anxiety Stress Scales. (2nd. Ed.)</w:t>
      </w:r>
      <w:r w:rsidRPr="00734178">
        <w:rPr>
          <w:rFonts w:ascii="Calibri" w:hAnsi="Calibri" w:cs="Calibri"/>
          <w:noProof/>
          <w:szCs w:val="24"/>
        </w:rPr>
        <w:t>. Sydney: Psychology Foundation.</w:t>
      </w:r>
    </w:p>
    <w:p w14:paraId="2A0A17D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Ly, K. H., Ly, A. M. and Andersson, G. (2017) ‘A fully automated conversational agent for promoting mental well-being: A pilot RCT using mixed methods’, </w:t>
      </w:r>
      <w:r w:rsidRPr="00734178">
        <w:rPr>
          <w:rFonts w:ascii="Calibri" w:hAnsi="Calibri" w:cs="Calibri"/>
          <w:i/>
          <w:iCs/>
          <w:noProof/>
          <w:szCs w:val="24"/>
        </w:rPr>
        <w:t>Internet Interventions</w:t>
      </w:r>
      <w:r w:rsidRPr="00734178">
        <w:rPr>
          <w:rFonts w:ascii="Calibri" w:hAnsi="Calibri" w:cs="Calibri"/>
          <w:noProof/>
          <w:szCs w:val="24"/>
        </w:rPr>
        <w:t>. Elsevier, 10(August), pp. 39–46. doi: 10.1016/j.invent.2017.10.002.</w:t>
      </w:r>
    </w:p>
    <w:p w14:paraId="60422F0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Mackinnon, A., Griffiths, K. M. and Christensen, H. (2008) ‘Comparative randomised trial of online cognitive-behavioural therapy and an information website for depression: 12-Month outcomes’, </w:t>
      </w:r>
      <w:r w:rsidRPr="00734178">
        <w:rPr>
          <w:rFonts w:ascii="Calibri" w:hAnsi="Calibri" w:cs="Calibri"/>
          <w:i/>
          <w:iCs/>
          <w:noProof/>
          <w:szCs w:val="24"/>
        </w:rPr>
        <w:t>British Journal of Psychiatry</w:t>
      </w:r>
      <w:r w:rsidRPr="00734178">
        <w:rPr>
          <w:rFonts w:ascii="Calibri" w:hAnsi="Calibri" w:cs="Calibri"/>
          <w:noProof/>
          <w:szCs w:val="24"/>
        </w:rPr>
        <w:t>, 192(2), pp. 130–134. doi: 10.1192/bjp.bp.106.032078.</w:t>
      </w:r>
    </w:p>
    <w:p w14:paraId="661242A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Mani, M. </w:t>
      </w:r>
      <w:r w:rsidRPr="00734178">
        <w:rPr>
          <w:rFonts w:ascii="Calibri" w:hAnsi="Calibri" w:cs="Calibri"/>
          <w:i/>
          <w:iCs/>
          <w:noProof/>
          <w:szCs w:val="24"/>
        </w:rPr>
        <w:t>et al.</w:t>
      </w:r>
      <w:r w:rsidRPr="00734178">
        <w:rPr>
          <w:rFonts w:ascii="Calibri" w:hAnsi="Calibri" w:cs="Calibri"/>
          <w:noProof/>
          <w:szCs w:val="24"/>
        </w:rPr>
        <w:t xml:space="preserve"> (2015) ‘Review and Evaluation of Mindfulness-Based iPhone Apps’, </w:t>
      </w:r>
      <w:r w:rsidRPr="00734178">
        <w:rPr>
          <w:rFonts w:ascii="Calibri" w:hAnsi="Calibri" w:cs="Calibri"/>
          <w:i/>
          <w:iCs/>
          <w:noProof/>
          <w:szCs w:val="24"/>
        </w:rPr>
        <w:t>JMIR mHealth and uHealth</w:t>
      </w:r>
      <w:r w:rsidRPr="00734178">
        <w:rPr>
          <w:rFonts w:ascii="Calibri" w:hAnsi="Calibri" w:cs="Calibri"/>
          <w:noProof/>
          <w:szCs w:val="24"/>
        </w:rPr>
        <w:t>, 3(3), p. e82. doi: 10.2196/mhealth.4328.</w:t>
      </w:r>
    </w:p>
    <w:p w14:paraId="659311B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Mansell, W. (2005) ‘Control theory and psychopathology: An integrative approach’, </w:t>
      </w:r>
      <w:r w:rsidRPr="00734178">
        <w:rPr>
          <w:rFonts w:ascii="Calibri" w:hAnsi="Calibri" w:cs="Calibri"/>
          <w:i/>
          <w:iCs/>
          <w:noProof/>
          <w:szCs w:val="24"/>
        </w:rPr>
        <w:t>Psychology and Psychotherapy: Theory, Research and Practice</w:t>
      </w:r>
      <w:r w:rsidRPr="00734178">
        <w:rPr>
          <w:rFonts w:ascii="Calibri" w:hAnsi="Calibri" w:cs="Calibri"/>
          <w:noProof/>
          <w:szCs w:val="24"/>
        </w:rPr>
        <w:t>, 78(2), pp. 141–178. doi: 10.1348/147608304X21400.</w:t>
      </w:r>
    </w:p>
    <w:p w14:paraId="561AD97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Mansell, W. </w:t>
      </w:r>
      <w:r w:rsidRPr="00734178">
        <w:rPr>
          <w:rFonts w:ascii="Calibri" w:hAnsi="Calibri" w:cs="Calibri"/>
          <w:i/>
          <w:iCs/>
          <w:noProof/>
          <w:szCs w:val="24"/>
        </w:rPr>
        <w:t>et al.</w:t>
      </w:r>
      <w:r w:rsidRPr="00734178">
        <w:rPr>
          <w:rFonts w:ascii="Calibri" w:hAnsi="Calibri" w:cs="Calibri"/>
          <w:noProof/>
          <w:szCs w:val="24"/>
        </w:rPr>
        <w:t xml:space="preserve"> (2012) </w:t>
      </w:r>
      <w:r w:rsidRPr="00734178">
        <w:rPr>
          <w:rFonts w:ascii="Calibri" w:hAnsi="Calibri" w:cs="Calibri"/>
          <w:i/>
          <w:iCs/>
          <w:noProof/>
          <w:szCs w:val="24"/>
        </w:rPr>
        <w:t>A Transdiagnostic Approach to CBT using Method of Levels Therapy</w:t>
      </w:r>
      <w:r w:rsidRPr="00734178">
        <w:rPr>
          <w:rFonts w:ascii="Calibri" w:hAnsi="Calibri" w:cs="Calibri"/>
          <w:noProof/>
          <w:szCs w:val="24"/>
        </w:rPr>
        <w:t>. doi: 10.4324/9780203081334.</w:t>
      </w:r>
    </w:p>
    <w:p w14:paraId="5F168BF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Marks, I. M. </w:t>
      </w:r>
      <w:r w:rsidRPr="00734178">
        <w:rPr>
          <w:rFonts w:ascii="Calibri" w:hAnsi="Calibri" w:cs="Calibri"/>
          <w:i/>
          <w:iCs/>
          <w:noProof/>
          <w:szCs w:val="24"/>
        </w:rPr>
        <w:t>et al.</w:t>
      </w:r>
      <w:r w:rsidRPr="00734178">
        <w:rPr>
          <w:rFonts w:ascii="Calibri" w:hAnsi="Calibri" w:cs="Calibri"/>
          <w:noProof/>
          <w:szCs w:val="24"/>
        </w:rPr>
        <w:t xml:space="preserve"> (2003) ‘Pragmatic evaluation of computer-aided self-help for anxiety and depression’, </w:t>
      </w:r>
      <w:r w:rsidRPr="00734178">
        <w:rPr>
          <w:rFonts w:ascii="Calibri" w:hAnsi="Calibri" w:cs="Calibri"/>
          <w:i/>
          <w:iCs/>
          <w:noProof/>
          <w:szCs w:val="24"/>
        </w:rPr>
        <w:t>British Journal of Psychiatry</w:t>
      </w:r>
      <w:r w:rsidRPr="00734178">
        <w:rPr>
          <w:rFonts w:ascii="Calibri" w:hAnsi="Calibri" w:cs="Calibri"/>
          <w:noProof/>
          <w:szCs w:val="24"/>
        </w:rPr>
        <w:t>, 183(JULY), pp. 57–65. doi: 10.1192/bjp.183.1.57.</w:t>
      </w:r>
    </w:p>
    <w:p w14:paraId="7F0470B9"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Marks, I. M. </w:t>
      </w:r>
      <w:r w:rsidRPr="00734178">
        <w:rPr>
          <w:rFonts w:ascii="Calibri" w:hAnsi="Calibri" w:cs="Calibri"/>
          <w:i/>
          <w:iCs/>
          <w:noProof/>
          <w:szCs w:val="24"/>
        </w:rPr>
        <w:t>et al.</w:t>
      </w:r>
      <w:r w:rsidRPr="00734178">
        <w:rPr>
          <w:rFonts w:ascii="Calibri" w:hAnsi="Calibri" w:cs="Calibri"/>
          <w:noProof/>
          <w:szCs w:val="24"/>
        </w:rPr>
        <w:t xml:space="preserve"> (2004) ‘Saving clinicians’ time by delegating routine aspects of therapy to a computer: A randomized controlled trial in phobia/panic disorder’, </w:t>
      </w:r>
      <w:r w:rsidRPr="00734178">
        <w:rPr>
          <w:rFonts w:ascii="Calibri" w:hAnsi="Calibri" w:cs="Calibri"/>
          <w:i/>
          <w:iCs/>
          <w:noProof/>
          <w:szCs w:val="24"/>
        </w:rPr>
        <w:t>Psychological Medicine</w:t>
      </w:r>
      <w:r w:rsidRPr="00734178">
        <w:rPr>
          <w:rFonts w:ascii="Calibri" w:hAnsi="Calibri" w:cs="Calibri"/>
          <w:noProof/>
          <w:szCs w:val="24"/>
        </w:rPr>
        <w:t>, 34(1), pp. 9–17. doi: 10.1017/S003329170300878X.</w:t>
      </w:r>
    </w:p>
    <w:p w14:paraId="68655BE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McCartney, M. (2013) ‘How do we know whether medical apps work?’, </w:t>
      </w:r>
      <w:r w:rsidRPr="00734178">
        <w:rPr>
          <w:rFonts w:ascii="Calibri" w:hAnsi="Calibri" w:cs="Calibri"/>
          <w:i/>
          <w:iCs/>
          <w:noProof/>
          <w:szCs w:val="24"/>
        </w:rPr>
        <w:t>BMJ</w:t>
      </w:r>
      <w:r w:rsidRPr="00734178">
        <w:rPr>
          <w:rFonts w:ascii="Calibri" w:hAnsi="Calibri" w:cs="Calibri"/>
          <w:noProof/>
          <w:szCs w:val="24"/>
        </w:rPr>
        <w:t>, 346, p. f1811. doi: 10.1136/bmj.f1811.</w:t>
      </w:r>
    </w:p>
    <w:p w14:paraId="13844A2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lastRenderedPageBreak/>
        <w:t xml:space="preserve">McClay, C.-A. </w:t>
      </w:r>
      <w:r w:rsidRPr="00734178">
        <w:rPr>
          <w:rFonts w:ascii="Calibri" w:hAnsi="Calibri" w:cs="Calibri"/>
          <w:i/>
          <w:iCs/>
          <w:noProof/>
          <w:szCs w:val="24"/>
        </w:rPr>
        <w:t>et al.</w:t>
      </w:r>
      <w:r w:rsidRPr="00734178">
        <w:rPr>
          <w:rFonts w:ascii="Calibri" w:hAnsi="Calibri" w:cs="Calibri"/>
          <w:noProof/>
          <w:szCs w:val="24"/>
        </w:rPr>
        <w:t xml:space="preserve"> (2013) ‘A community-based group-guided self-help intervention for low mood and stress: study protocol for a randomized controlled trial.’, </w:t>
      </w:r>
      <w:r w:rsidRPr="00734178">
        <w:rPr>
          <w:rFonts w:ascii="Calibri" w:hAnsi="Calibri" w:cs="Calibri"/>
          <w:i/>
          <w:iCs/>
          <w:noProof/>
          <w:szCs w:val="24"/>
        </w:rPr>
        <w:t>Trials</w:t>
      </w:r>
      <w:r w:rsidRPr="00734178">
        <w:rPr>
          <w:rFonts w:ascii="Calibri" w:hAnsi="Calibri" w:cs="Calibri"/>
          <w:noProof/>
          <w:szCs w:val="24"/>
        </w:rPr>
        <w:t>, 14, p. 392. doi: 10.1186/1745-6215-14-392.</w:t>
      </w:r>
    </w:p>
    <w:p w14:paraId="551E40D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McHugh, R. K. </w:t>
      </w:r>
      <w:r w:rsidRPr="00734178">
        <w:rPr>
          <w:rFonts w:ascii="Calibri" w:hAnsi="Calibri" w:cs="Calibri"/>
          <w:i/>
          <w:iCs/>
          <w:noProof/>
          <w:szCs w:val="24"/>
        </w:rPr>
        <w:t>et al.</w:t>
      </w:r>
      <w:r w:rsidRPr="00734178">
        <w:rPr>
          <w:rFonts w:ascii="Calibri" w:hAnsi="Calibri" w:cs="Calibri"/>
          <w:noProof/>
          <w:szCs w:val="24"/>
        </w:rPr>
        <w:t xml:space="preserve"> (2013) ‘Patient Preference for Psychological vs Pharmacologic Treatment of Psychiatric Disorders’, </w:t>
      </w:r>
      <w:r w:rsidRPr="00734178">
        <w:rPr>
          <w:rFonts w:ascii="Calibri" w:hAnsi="Calibri" w:cs="Calibri"/>
          <w:i/>
          <w:iCs/>
          <w:noProof/>
          <w:szCs w:val="24"/>
        </w:rPr>
        <w:t>The Journal of Clinical Psychiatry</w:t>
      </w:r>
      <w:r w:rsidRPr="00734178">
        <w:rPr>
          <w:rFonts w:ascii="Calibri" w:hAnsi="Calibri" w:cs="Calibri"/>
          <w:noProof/>
          <w:szCs w:val="24"/>
        </w:rPr>
        <w:t>, 74(06), pp. 595–602. doi: 10.4088/JCP.12r07757.</w:t>
      </w:r>
    </w:p>
    <w:p w14:paraId="04AB580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McManus, S. </w:t>
      </w:r>
      <w:r w:rsidRPr="00734178">
        <w:rPr>
          <w:rFonts w:ascii="Calibri" w:hAnsi="Calibri" w:cs="Calibri"/>
          <w:i/>
          <w:iCs/>
          <w:noProof/>
          <w:szCs w:val="24"/>
        </w:rPr>
        <w:t>et al.</w:t>
      </w:r>
      <w:r w:rsidRPr="00734178">
        <w:rPr>
          <w:rFonts w:ascii="Calibri" w:hAnsi="Calibri" w:cs="Calibri"/>
          <w:noProof/>
          <w:szCs w:val="24"/>
        </w:rPr>
        <w:t xml:space="preserve"> (2009) </w:t>
      </w:r>
      <w:r w:rsidRPr="00734178">
        <w:rPr>
          <w:rFonts w:ascii="Calibri" w:hAnsi="Calibri" w:cs="Calibri"/>
          <w:i/>
          <w:iCs/>
          <w:noProof/>
          <w:szCs w:val="24"/>
        </w:rPr>
        <w:t>Adult psychiatric morbidity in England, 2007 Results of a household survey</w:t>
      </w:r>
      <w:r w:rsidRPr="00734178">
        <w:rPr>
          <w:rFonts w:ascii="Calibri" w:hAnsi="Calibri" w:cs="Calibri"/>
          <w:noProof/>
          <w:szCs w:val="24"/>
        </w:rPr>
        <w:t xml:space="preserve">, </w:t>
      </w:r>
      <w:r w:rsidRPr="00734178">
        <w:rPr>
          <w:rFonts w:ascii="Calibri" w:hAnsi="Calibri" w:cs="Calibri"/>
          <w:i/>
          <w:iCs/>
          <w:noProof/>
          <w:szCs w:val="24"/>
        </w:rPr>
        <w:t>The Health and Social Care Information Centre, Social Care Statistics.</w:t>
      </w:r>
      <w:r w:rsidRPr="00734178">
        <w:rPr>
          <w:rFonts w:ascii="Calibri" w:hAnsi="Calibri" w:cs="Calibri"/>
          <w:noProof/>
          <w:szCs w:val="24"/>
        </w:rPr>
        <w:t xml:space="preserve"> doi: 10.13140/2.1.1563.5205.</w:t>
      </w:r>
    </w:p>
    <w:p w14:paraId="3C5D7E3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McManus, S. </w:t>
      </w:r>
      <w:r w:rsidRPr="00734178">
        <w:rPr>
          <w:rFonts w:ascii="Calibri" w:hAnsi="Calibri" w:cs="Calibri"/>
          <w:i/>
          <w:iCs/>
          <w:noProof/>
          <w:szCs w:val="24"/>
        </w:rPr>
        <w:t>et al.</w:t>
      </w:r>
      <w:r w:rsidRPr="00734178">
        <w:rPr>
          <w:rFonts w:ascii="Calibri" w:hAnsi="Calibri" w:cs="Calibri"/>
          <w:noProof/>
          <w:szCs w:val="24"/>
        </w:rPr>
        <w:t xml:space="preserve"> (2016) </w:t>
      </w:r>
      <w:r w:rsidRPr="00734178">
        <w:rPr>
          <w:rFonts w:ascii="Calibri" w:hAnsi="Calibri" w:cs="Calibri"/>
          <w:i/>
          <w:iCs/>
          <w:noProof/>
          <w:szCs w:val="24"/>
        </w:rPr>
        <w:t>Mental health and wellbeing in England: Adult Psychiatric Morbidity Survey 2014</w:t>
      </w:r>
      <w:r w:rsidRPr="00734178">
        <w:rPr>
          <w:rFonts w:ascii="Calibri" w:hAnsi="Calibri" w:cs="Calibri"/>
          <w:noProof/>
          <w:szCs w:val="24"/>
        </w:rPr>
        <w:t>. Available at: http://content.digital.nhs.uk/catalogue/PUB21748 (Accessed: 15 May 2017).</w:t>
      </w:r>
    </w:p>
    <w:p w14:paraId="69BF736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McMillan, M. (2004) </w:t>
      </w:r>
      <w:r w:rsidRPr="00734178">
        <w:rPr>
          <w:rFonts w:ascii="Calibri" w:hAnsi="Calibri" w:cs="Calibri"/>
          <w:i/>
          <w:iCs/>
          <w:noProof/>
          <w:szCs w:val="24"/>
        </w:rPr>
        <w:t>The person-centred approach to therapeutic change</w:t>
      </w:r>
      <w:r w:rsidRPr="00734178">
        <w:rPr>
          <w:rFonts w:ascii="Calibri" w:hAnsi="Calibri" w:cs="Calibri"/>
          <w:noProof/>
          <w:szCs w:val="24"/>
        </w:rPr>
        <w:t>. SAGE Publications. Available at: https://books.google.co.uk/books?id=5MTP1u3oV1QC&amp;printsec=frontcover&amp;dq=carl+rogers+core+conditions&amp;hl=en&amp;sa=X&amp;ved=0ahUKEwjy_pn6gqbaAhWaF8AKHRlEDtgQ6AEILjAB#v=onepage&amp;q=core conditions&amp;f=false (Accessed: 6 April 2018).</w:t>
      </w:r>
    </w:p>
    <w:p w14:paraId="70BBCA9A"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Mcmurchie, W. </w:t>
      </w:r>
      <w:r w:rsidRPr="00734178">
        <w:rPr>
          <w:rFonts w:ascii="Calibri" w:hAnsi="Calibri" w:cs="Calibri"/>
          <w:i/>
          <w:iCs/>
          <w:noProof/>
          <w:szCs w:val="24"/>
        </w:rPr>
        <w:t>et al.</w:t>
      </w:r>
      <w:r w:rsidRPr="00734178">
        <w:rPr>
          <w:rFonts w:ascii="Calibri" w:hAnsi="Calibri" w:cs="Calibri"/>
          <w:noProof/>
          <w:szCs w:val="24"/>
        </w:rPr>
        <w:t xml:space="preserve"> (2013) ‘Computerised cognitive behavioural therapy for depression and anxiety with older people: A pilot study to examine patient acceptability and treatment outcome’, </w:t>
      </w:r>
      <w:r w:rsidRPr="00734178">
        <w:rPr>
          <w:rFonts w:ascii="Calibri" w:hAnsi="Calibri" w:cs="Calibri"/>
          <w:i/>
          <w:iCs/>
          <w:noProof/>
          <w:szCs w:val="24"/>
        </w:rPr>
        <w:t>International Journal of Geriatric Psychiatry</w:t>
      </w:r>
      <w:r w:rsidRPr="00734178">
        <w:rPr>
          <w:rFonts w:ascii="Calibri" w:hAnsi="Calibri" w:cs="Calibri"/>
          <w:noProof/>
          <w:szCs w:val="24"/>
        </w:rPr>
        <w:t>, pp. 1147–1156. doi: 10.1002/gps.3935.</w:t>
      </w:r>
    </w:p>
    <w:p w14:paraId="6F586403"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Meadows, J. and Kellett, S. (2017) ‘Development and Evaluation of Cognitive Analytic Guided Self-Help (CAT-SH) for Use in IAPT Services’, </w:t>
      </w:r>
      <w:r w:rsidRPr="00734178">
        <w:rPr>
          <w:rFonts w:ascii="Calibri" w:hAnsi="Calibri" w:cs="Calibri"/>
          <w:i/>
          <w:iCs/>
          <w:noProof/>
          <w:szCs w:val="24"/>
        </w:rPr>
        <w:t>Behavioural and Cognitive Psychotherapy</w:t>
      </w:r>
      <w:r w:rsidRPr="00734178">
        <w:rPr>
          <w:rFonts w:ascii="Calibri" w:hAnsi="Calibri" w:cs="Calibri"/>
          <w:noProof/>
          <w:szCs w:val="24"/>
        </w:rPr>
        <w:t>, 45, pp. 266–284. doi: 10.1017/S1352465816000485.</w:t>
      </w:r>
    </w:p>
    <w:p w14:paraId="2D01C0DA"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Melville, K. M., Casey, L. M. and Kavanagh, D. J. (2010) ‘Dropout from Internet-based treatment for psychological disorders’, </w:t>
      </w:r>
      <w:r w:rsidRPr="00734178">
        <w:rPr>
          <w:rFonts w:ascii="Calibri" w:hAnsi="Calibri" w:cs="Calibri"/>
          <w:i/>
          <w:iCs/>
          <w:noProof/>
          <w:szCs w:val="24"/>
        </w:rPr>
        <w:t>British Journal of Clinical Psychology</w:t>
      </w:r>
      <w:r w:rsidRPr="00734178">
        <w:rPr>
          <w:rFonts w:ascii="Calibri" w:hAnsi="Calibri" w:cs="Calibri"/>
          <w:noProof/>
          <w:szCs w:val="24"/>
        </w:rPr>
        <w:t>, 49(4), pp. 455–471. doi: 10.1348/014466509X472138.</w:t>
      </w:r>
    </w:p>
    <w:p w14:paraId="3750251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Mental Health Network (2014) </w:t>
      </w:r>
      <w:r w:rsidRPr="00734178">
        <w:rPr>
          <w:rFonts w:ascii="Calibri" w:hAnsi="Calibri" w:cs="Calibri"/>
          <w:i/>
          <w:iCs/>
          <w:noProof/>
          <w:szCs w:val="24"/>
        </w:rPr>
        <w:t>The future’s digital Mental health and technology</w:t>
      </w:r>
      <w:r w:rsidRPr="00734178">
        <w:rPr>
          <w:rFonts w:ascii="Calibri" w:hAnsi="Calibri" w:cs="Calibri"/>
          <w:noProof/>
          <w:szCs w:val="24"/>
        </w:rPr>
        <w:t>. Available at: http://www.nhsconfed.org/~/media/Confederation/Files/Publications/Documents/the-futures-digital.pdf.</w:t>
      </w:r>
    </w:p>
    <w:p w14:paraId="18ACB309"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MHRA (2016) </w:t>
      </w:r>
      <w:r w:rsidRPr="00734178">
        <w:rPr>
          <w:rFonts w:ascii="Calibri" w:hAnsi="Calibri" w:cs="Calibri"/>
          <w:i/>
          <w:iCs/>
          <w:noProof/>
          <w:szCs w:val="24"/>
        </w:rPr>
        <w:t>Guidance: Medical device stand-alone software including apps (including IVDMDs) All</w:t>
      </w:r>
      <w:r w:rsidRPr="00734178">
        <w:rPr>
          <w:rFonts w:ascii="Calibri" w:hAnsi="Calibri" w:cs="Calibri"/>
          <w:noProof/>
          <w:szCs w:val="24"/>
        </w:rPr>
        <w:t xml:space="preserve">, </w:t>
      </w:r>
      <w:r w:rsidRPr="00734178">
        <w:rPr>
          <w:rFonts w:ascii="Calibri" w:hAnsi="Calibri" w:cs="Calibri"/>
          <w:i/>
          <w:iCs/>
          <w:noProof/>
          <w:szCs w:val="24"/>
        </w:rPr>
        <w:t>Mhra</w:t>
      </w:r>
      <w:r w:rsidRPr="00734178">
        <w:rPr>
          <w:rFonts w:ascii="Calibri" w:hAnsi="Calibri" w:cs="Calibri"/>
          <w:noProof/>
          <w:szCs w:val="24"/>
        </w:rPr>
        <w:t>. Available at: http://ec.europa.eu/growth/sectors/medical-devices/ (Accessed: 9 September 2016).</w:t>
      </w:r>
    </w:p>
    <w:p w14:paraId="345D308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Mifsud, J. (2011) </w:t>
      </w:r>
      <w:r w:rsidRPr="00734178">
        <w:rPr>
          <w:rFonts w:ascii="Calibri" w:hAnsi="Calibri" w:cs="Calibri"/>
          <w:i/>
          <w:iCs/>
          <w:noProof/>
          <w:szCs w:val="24"/>
        </w:rPr>
        <w:t>The Difference (and Relationship) Between Usability And User Experience</w:t>
      </w:r>
      <w:r w:rsidRPr="00734178">
        <w:rPr>
          <w:rFonts w:ascii="Calibri" w:hAnsi="Calibri" w:cs="Calibri"/>
          <w:noProof/>
          <w:szCs w:val="24"/>
        </w:rPr>
        <w:t xml:space="preserve">, </w:t>
      </w:r>
      <w:r w:rsidRPr="00734178">
        <w:rPr>
          <w:rFonts w:ascii="Calibri" w:hAnsi="Calibri" w:cs="Calibri"/>
          <w:i/>
          <w:iCs/>
          <w:noProof/>
          <w:szCs w:val="24"/>
        </w:rPr>
        <w:t>UsabilityGeek</w:t>
      </w:r>
      <w:r w:rsidRPr="00734178">
        <w:rPr>
          <w:rFonts w:ascii="Calibri" w:hAnsi="Calibri" w:cs="Calibri"/>
          <w:noProof/>
          <w:szCs w:val="24"/>
        </w:rPr>
        <w:t>. Available at: https://usabilitygeek.com/the-difference-between-usability-and-user-experience/ (Accessed: 12 June 2018).</w:t>
      </w:r>
    </w:p>
    <w:p w14:paraId="761B266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Mifsud, J. (2015) </w:t>
      </w:r>
      <w:r w:rsidRPr="00734178">
        <w:rPr>
          <w:rFonts w:ascii="Calibri" w:hAnsi="Calibri" w:cs="Calibri"/>
          <w:i/>
          <w:iCs/>
          <w:noProof/>
          <w:szCs w:val="24"/>
        </w:rPr>
        <w:t>Usability Metrics - A Guide To Quantify The Usability Of Any System - Usability Geek</w:t>
      </w:r>
      <w:r w:rsidRPr="00734178">
        <w:rPr>
          <w:rFonts w:ascii="Calibri" w:hAnsi="Calibri" w:cs="Calibri"/>
          <w:noProof/>
          <w:szCs w:val="24"/>
        </w:rPr>
        <w:t xml:space="preserve">, </w:t>
      </w:r>
      <w:r w:rsidRPr="00734178">
        <w:rPr>
          <w:rFonts w:ascii="Calibri" w:hAnsi="Calibri" w:cs="Calibri"/>
          <w:i/>
          <w:iCs/>
          <w:noProof/>
          <w:szCs w:val="24"/>
        </w:rPr>
        <w:t>UsabilityGeek</w:t>
      </w:r>
      <w:r w:rsidRPr="00734178">
        <w:rPr>
          <w:rFonts w:ascii="Calibri" w:hAnsi="Calibri" w:cs="Calibri"/>
          <w:noProof/>
          <w:szCs w:val="24"/>
        </w:rPr>
        <w:t>. Available at: https://usabilitygeek.com/usability-metrics-a-guide-to-quantify-system-usability/ (Accessed: 26 October 2018).</w:t>
      </w:r>
    </w:p>
    <w:p w14:paraId="0A9CE6D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MindTech (2014) </w:t>
      </w:r>
      <w:r w:rsidRPr="00734178">
        <w:rPr>
          <w:rFonts w:ascii="Calibri" w:hAnsi="Calibri" w:cs="Calibri"/>
          <w:i/>
          <w:iCs/>
          <w:noProof/>
          <w:szCs w:val="24"/>
        </w:rPr>
        <w:t>Digital mental health toolkit - MindTech</w:t>
      </w:r>
      <w:r w:rsidRPr="00734178">
        <w:rPr>
          <w:rFonts w:ascii="Calibri" w:hAnsi="Calibri" w:cs="Calibri"/>
          <w:noProof/>
          <w:szCs w:val="24"/>
        </w:rPr>
        <w:t>. Available at: http://www.mindtech.org.uk/digital-</w:t>
      </w:r>
      <w:r w:rsidRPr="00734178">
        <w:rPr>
          <w:rFonts w:ascii="Calibri" w:hAnsi="Calibri" w:cs="Calibri"/>
          <w:noProof/>
          <w:szCs w:val="24"/>
        </w:rPr>
        <w:lastRenderedPageBreak/>
        <w:t>mental-health-toolkit.html (Accessed: 20 October 2015).</w:t>
      </w:r>
    </w:p>
    <w:p w14:paraId="4051244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Mitchell, N. and Gordon, P. K. (2007) ‘Attitudes Towards Computerized CBT for Depression Amongst a Student Population’, </w:t>
      </w:r>
      <w:r w:rsidRPr="00734178">
        <w:rPr>
          <w:rFonts w:ascii="Calibri" w:hAnsi="Calibri" w:cs="Calibri"/>
          <w:i/>
          <w:iCs/>
          <w:noProof/>
          <w:szCs w:val="24"/>
        </w:rPr>
        <w:t>Behavioural and Cognitive Psychotherapy</w:t>
      </w:r>
      <w:r w:rsidRPr="00734178">
        <w:rPr>
          <w:rFonts w:ascii="Calibri" w:hAnsi="Calibri" w:cs="Calibri"/>
          <w:noProof/>
          <w:szCs w:val="24"/>
        </w:rPr>
        <w:t>, 35(04), p. 421. doi: 10.1017/S1352465807003700.</w:t>
      </w:r>
    </w:p>
    <w:p w14:paraId="03E93433"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Moher, D. </w:t>
      </w:r>
      <w:r w:rsidRPr="00734178">
        <w:rPr>
          <w:rFonts w:ascii="Calibri" w:hAnsi="Calibri" w:cs="Calibri"/>
          <w:i/>
          <w:iCs/>
          <w:noProof/>
          <w:szCs w:val="24"/>
        </w:rPr>
        <w:t>et al.</w:t>
      </w:r>
      <w:r w:rsidRPr="00734178">
        <w:rPr>
          <w:rFonts w:ascii="Calibri" w:hAnsi="Calibri" w:cs="Calibri"/>
          <w:noProof/>
          <w:szCs w:val="24"/>
        </w:rPr>
        <w:t xml:space="preserve"> (2009) ‘Preferred reporting items for systematic reviews and meta-analyses: the PRISMA statement.’, </w:t>
      </w:r>
      <w:r w:rsidRPr="00734178">
        <w:rPr>
          <w:rFonts w:ascii="Calibri" w:hAnsi="Calibri" w:cs="Calibri"/>
          <w:i/>
          <w:iCs/>
          <w:noProof/>
          <w:szCs w:val="24"/>
        </w:rPr>
        <w:t>BMJ (Clinical research ed.)</w:t>
      </w:r>
      <w:r w:rsidRPr="00734178">
        <w:rPr>
          <w:rFonts w:ascii="Calibri" w:hAnsi="Calibri" w:cs="Calibri"/>
          <w:noProof/>
          <w:szCs w:val="24"/>
        </w:rPr>
        <w:t>. British Medical Journal Publishing Group, 339, p. b2535. doi: 10.1136/BMJ.B2535.</w:t>
      </w:r>
    </w:p>
    <w:p w14:paraId="248446C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Morrison, C. and Doherty, G. (2014) ‘Analyzing Engagement in a Web-Based Intervention Platform Through Visualizing Log-Data.’, </w:t>
      </w:r>
      <w:r w:rsidRPr="00734178">
        <w:rPr>
          <w:rFonts w:ascii="Calibri" w:hAnsi="Calibri" w:cs="Calibri"/>
          <w:i/>
          <w:iCs/>
          <w:noProof/>
          <w:szCs w:val="24"/>
        </w:rPr>
        <w:t>Journal of medical Internet research</w:t>
      </w:r>
      <w:r w:rsidRPr="00734178">
        <w:rPr>
          <w:rFonts w:ascii="Calibri" w:hAnsi="Calibri" w:cs="Calibri"/>
          <w:noProof/>
          <w:szCs w:val="24"/>
        </w:rPr>
        <w:t>, 16(11), pp. 1–16. doi: 10.2196/jmir.3575.</w:t>
      </w:r>
    </w:p>
    <w:p w14:paraId="019CB16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Morrison, L. G. </w:t>
      </w:r>
      <w:r w:rsidRPr="00734178">
        <w:rPr>
          <w:rFonts w:ascii="Calibri" w:hAnsi="Calibri" w:cs="Calibri"/>
          <w:i/>
          <w:iCs/>
          <w:noProof/>
          <w:szCs w:val="24"/>
        </w:rPr>
        <w:t>et al.</w:t>
      </w:r>
      <w:r w:rsidRPr="00734178">
        <w:rPr>
          <w:rFonts w:ascii="Calibri" w:hAnsi="Calibri" w:cs="Calibri"/>
          <w:noProof/>
          <w:szCs w:val="24"/>
        </w:rPr>
        <w:t xml:space="preserve"> (2018) ‘Comparing usage of a web and app stress management intervention: An observational study’, </w:t>
      </w:r>
      <w:r w:rsidRPr="00734178">
        <w:rPr>
          <w:rFonts w:ascii="Calibri" w:hAnsi="Calibri" w:cs="Calibri"/>
          <w:i/>
          <w:iCs/>
          <w:noProof/>
          <w:szCs w:val="24"/>
        </w:rPr>
        <w:t>Internet Interventions</w:t>
      </w:r>
      <w:r w:rsidRPr="00734178">
        <w:rPr>
          <w:rFonts w:ascii="Calibri" w:hAnsi="Calibri" w:cs="Calibri"/>
          <w:noProof/>
          <w:szCs w:val="24"/>
        </w:rPr>
        <w:t>. Elsevier, 12, pp. 74–82. doi: 10.1016/J.INVENT.2018.03.006.</w:t>
      </w:r>
    </w:p>
    <w:p w14:paraId="734EF6E9"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Mueller, C. </w:t>
      </w:r>
      <w:r w:rsidRPr="00734178">
        <w:rPr>
          <w:rFonts w:ascii="Calibri" w:hAnsi="Calibri" w:cs="Calibri"/>
          <w:i/>
          <w:iCs/>
          <w:noProof/>
          <w:szCs w:val="24"/>
        </w:rPr>
        <w:t>et al.</w:t>
      </w:r>
      <w:r w:rsidRPr="00734178">
        <w:rPr>
          <w:rFonts w:ascii="Calibri" w:hAnsi="Calibri" w:cs="Calibri"/>
          <w:noProof/>
          <w:szCs w:val="24"/>
        </w:rPr>
        <w:t xml:space="preserve"> (2017) </w:t>
      </w:r>
      <w:r w:rsidRPr="00734178">
        <w:rPr>
          <w:rFonts w:ascii="Calibri" w:hAnsi="Calibri" w:cs="Calibri"/>
          <w:i/>
          <w:iCs/>
          <w:noProof/>
          <w:szCs w:val="24"/>
        </w:rPr>
        <w:t>A Practice Primer on Mental Health in Older People</w:t>
      </w:r>
      <w:r w:rsidRPr="00734178">
        <w:rPr>
          <w:rFonts w:ascii="Calibri" w:hAnsi="Calibri" w:cs="Calibri"/>
          <w:noProof/>
          <w:szCs w:val="24"/>
        </w:rPr>
        <w:t xml:space="preserve">, </w:t>
      </w:r>
      <w:r w:rsidRPr="00734178">
        <w:rPr>
          <w:rFonts w:ascii="Calibri" w:hAnsi="Calibri" w:cs="Calibri"/>
          <w:i/>
          <w:iCs/>
          <w:noProof/>
          <w:szCs w:val="24"/>
        </w:rPr>
        <w:t>NHS England and NHS Improvement</w:t>
      </w:r>
      <w:r w:rsidRPr="00734178">
        <w:rPr>
          <w:rFonts w:ascii="Calibri" w:hAnsi="Calibri" w:cs="Calibri"/>
          <w:noProof/>
          <w:szCs w:val="24"/>
        </w:rPr>
        <w:t>. Available at: https://www.england.nhs.uk/publication/a-practice-primer-on-mental-health-in-older-people/ (Accessed: 5 October 2018).</w:t>
      </w:r>
    </w:p>
    <w:p w14:paraId="37634CD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Murray, E. </w:t>
      </w:r>
      <w:r w:rsidRPr="00734178">
        <w:rPr>
          <w:rFonts w:ascii="Calibri" w:hAnsi="Calibri" w:cs="Calibri"/>
          <w:i/>
          <w:iCs/>
          <w:noProof/>
          <w:szCs w:val="24"/>
        </w:rPr>
        <w:t>et al.</w:t>
      </w:r>
      <w:r w:rsidRPr="00734178">
        <w:rPr>
          <w:rFonts w:ascii="Calibri" w:hAnsi="Calibri" w:cs="Calibri"/>
          <w:noProof/>
          <w:szCs w:val="24"/>
        </w:rPr>
        <w:t xml:space="preserve"> (2016) ‘Evaluating Digital Health Interventions: Key Questions and Approaches’, </w:t>
      </w:r>
      <w:r w:rsidRPr="00734178">
        <w:rPr>
          <w:rFonts w:ascii="Calibri" w:hAnsi="Calibri" w:cs="Calibri"/>
          <w:i/>
          <w:iCs/>
          <w:noProof/>
          <w:szCs w:val="24"/>
        </w:rPr>
        <w:t>American Journal of Preventive Medicine</w:t>
      </w:r>
      <w:r w:rsidRPr="00734178">
        <w:rPr>
          <w:rFonts w:ascii="Calibri" w:hAnsi="Calibri" w:cs="Calibri"/>
          <w:noProof/>
          <w:szCs w:val="24"/>
        </w:rPr>
        <w:t>. Elsevier, 51(5), pp. 843–851. doi: 10.1016/J.AMEPRE.2016.06.008.</w:t>
      </w:r>
    </w:p>
    <w:p w14:paraId="7786E32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Murray, K. </w:t>
      </w:r>
      <w:r w:rsidRPr="00734178">
        <w:rPr>
          <w:rFonts w:ascii="Calibri" w:hAnsi="Calibri" w:cs="Calibri"/>
          <w:i/>
          <w:iCs/>
          <w:noProof/>
          <w:szCs w:val="24"/>
        </w:rPr>
        <w:t>et al.</w:t>
      </w:r>
      <w:r w:rsidRPr="00734178">
        <w:rPr>
          <w:rFonts w:ascii="Calibri" w:hAnsi="Calibri" w:cs="Calibri"/>
          <w:noProof/>
          <w:szCs w:val="24"/>
        </w:rPr>
        <w:t xml:space="preserve"> (2007) ‘Does therapist guidance improve uptake, adherence and outcome from a CD-ROM based cognitive-behavioral intervention for the treatment of bulimia nervosa?’, </w:t>
      </w:r>
      <w:r w:rsidRPr="00734178">
        <w:rPr>
          <w:rFonts w:ascii="Calibri" w:hAnsi="Calibri" w:cs="Calibri"/>
          <w:i/>
          <w:iCs/>
          <w:noProof/>
          <w:szCs w:val="24"/>
        </w:rPr>
        <w:t>Computers in Human Behavior</w:t>
      </w:r>
      <w:r w:rsidRPr="00734178">
        <w:rPr>
          <w:rFonts w:ascii="Calibri" w:hAnsi="Calibri" w:cs="Calibri"/>
          <w:noProof/>
          <w:szCs w:val="24"/>
        </w:rPr>
        <w:t>. Pergamon, 23(1), pp. 850–859. doi: 10.1016/J.CHB.2004.11.014.</w:t>
      </w:r>
    </w:p>
    <w:p w14:paraId="0CC68C8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National Information Board (2014) </w:t>
      </w:r>
      <w:r w:rsidRPr="00734178">
        <w:rPr>
          <w:rFonts w:ascii="Calibri" w:hAnsi="Calibri" w:cs="Calibri"/>
          <w:i/>
          <w:iCs/>
          <w:noProof/>
          <w:szCs w:val="24"/>
        </w:rPr>
        <w:t>Personalised Health and Care 2020, Using Data and Technology to Transform Outcomes for Patients and Citizens, A Framework for Action</w:t>
      </w:r>
      <w:r w:rsidRPr="00734178">
        <w:rPr>
          <w:rFonts w:ascii="Calibri" w:hAnsi="Calibri" w:cs="Calibri"/>
          <w:noProof/>
          <w:szCs w:val="24"/>
        </w:rPr>
        <w:t>. Available at: https://www.gov.uk/government/uploads/system/uploads/attachment_data/file/384650/NIB_Report.pdf.</w:t>
      </w:r>
    </w:p>
    <w:p w14:paraId="380A7DB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National Information Board (2015) </w:t>
      </w:r>
      <w:r w:rsidRPr="00734178">
        <w:rPr>
          <w:rFonts w:ascii="Calibri" w:hAnsi="Calibri" w:cs="Calibri"/>
          <w:i/>
          <w:iCs/>
          <w:noProof/>
          <w:szCs w:val="24"/>
        </w:rPr>
        <w:t>WORK STREAM 1.2 ROADMAP. Enable me to make the right health and care choices. Providing citizens with access to an assessed set of NHS and social care ‘apps’ Work</w:t>
      </w:r>
      <w:r w:rsidRPr="00734178">
        <w:rPr>
          <w:rFonts w:ascii="Calibri" w:hAnsi="Calibri" w:cs="Calibri"/>
          <w:noProof/>
          <w:szCs w:val="24"/>
        </w:rPr>
        <w:t>. Available at: https://www.gov.uk/government/uploads/system/uploads/attachment_data/file/442830/Work_Stream_3.pdf (Accessed: 24 November 2016).</w:t>
      </w:r>
    </w:p>
    <w:p w14:paraId="0586ECA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National Institute for Health and Care Excellence (2006) </w:t>
      </w:r>
      <w:r w:rsidRPr="00734178">
        <w:rPr>
          <w:rFonts w:ascii="Calibri" w:hAnsi="Calibri" w:cs="Calibri"/>
          <w:i/>
          <w:iCs/>
          <w:noProof/>
          <w:szCs w:val="24"/>
        </w:rPr>
        <w:t>Computerised cognitive behaviour therapy for depression and anxiety. TA97</w:t>
      </w:r>
      <w:r w:rsidRPr="00734178">
        <w:rPr>
          <w:rFonts w:ascii="Calibri" w:hAnsi="Calibri" w:cs="Calibri"/>
          <w:noProof/>
          <w:szCs w:val="24"/>
        </w:rPr>
        <w:t>. Available at: https://www.nice.org.uk/guidance/ta97/ (Accessed: 9 September 2016).</w:t>
      </w:r>
    </w:p>
    <w:p w14:paraId="24312AC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National Institute for Health and Care Excellence (2008) </w:t>
      </w:r>
      <w:r w:rsidRPr="00734178">
        <w:rPr>
          <w:rFonts w:ascii="Calibri" w:hAnsi="Calibri" w:cs="Calibri"/>
          <w:i/>
          <w:iCs/>
          <w:noProof/>
          <w:szCs w:val="24"/>
        </w:rPr>
        <w:t>Computerised cognitive behaviour therapy for depression and anxiety: Review of Technology Appraisal 51</w:t>
      </w:r>
      <w:r w:rsidRPr="00734178">
        <w:rPr>
          <w:rFonts w:ascii="Calibri" w:hAnsi="Calibri" w:cs="Calibri"/>
          <w:noProof/>
          <w:szCs w:val="24"/>
        </w:rPr>
        <w:t>. Available at: http://www.nice.org.uk/guidance/ta97 (Accessed: 10 December 2014).</w:t>
      </w:r>
    </w:p>
    <w:p w14:paraId="0D427D38"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National Institute for Health and Care Excellence (2009) </w:t>
      </w:r>
      <w:r w:rsidRPr="00734178">
        <w:rPr>
          <w:rFonts w:ascii="Calibri" w:hAnsi="Calibri" w:cs="Calibri"/>
          <w:i/>
          <w:iCs/>
          <w:noProof/>
          <w:szCs w:val="24"/>
        </w:rPr>
        <w:t xml:space="preserve">Depression in adults: recognition and management. </w:t>
      </w:r>
      <w:r w:rsidRPr="00734178">
        <w:rPr>
          <w:rFonts w:ascii="Calibri" w:hAnsi="Calibri" w:cs="Calibri"/>
          <w:i/>
          <w:iCs/>
          <w:noProof/>
          <w:szCs w:val="24"/>
        </w:rPr>
        <w:lastRenderedPageBreak/>
        <w:t>CG90</w:t>
      </w:r>
      <w:r w:rsidRPr="00734178">
        <w:rPr>
          <w:rFonts w:ascii="Calibri" w:hAnsi="Calibri" w:cs="Calibri"/>
          <w:noProof/>
          <w:szCs w:val="24"/>
        </w:rPr>
        <w:t>. Available at: https://www.nice.org.uk/guidance/cg90/ (Accessed: 9 September 2016).</w:t>
      </w:r>
    </w:p>
    <w:p w14:paraId="4ACA82E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National Institute for Health and Care Excellence (2011) </w:t>
      </w:r>
      <w:r w:rsidRPr="00734178">
        <w:rPr>
          <w:rFonts w:ascii="Calibri" w:hAnsi="Calibri" w:cs="Calibri"/>
          <w:i/>
          <w:iCs/>
          <w:noProof/>
          <w:szCs w:val="24"/>
        </w:rPr>
        <w:t>Generalised anxiety disorder and panic disorder in adults: management. CG113</w:t>
      </w:r>
      <w:r w:rsidRPr="00734178">
        <w:rPr>
          <w:rFonts w:ascii="Calibri" w:hAnsi="Calibri" w:cs="Calibri"/>
          <w:noProof/>
          <w:szCs w:val="24"/>
        </w:rPr>
        <w:t>. Available at: https://www.nice.org.uk/guidance/cg113/ (Accessed: 9 September 2016).</w:t>
      </w:r>
    </w:p>
    <w:p w14:paraId="560D465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National Institute for Health and Care Excellence (2013) </w:t>
      </w:r>
      <w:r w:rsidRPr="00734178">
        <w:rPr>
          <w:rFonts w:ascii="Calibri" w:hAnsi="Calibri" w:cs="Calibri"/>
          <w:i/>
          <w:iCs/>
          <w:noProof/>
          <w:szCs w:val="24"/>
        </w:rPr>
        <w:t>Social anxiety disorder: Recognition, assessment and treatment. CG159</w:t>
      </w:r>
      <w:r w:rsidRPr="00734178">
        <w:rPr>
          <w:rFonts w:ascii="Calibri" w:hAnsi="Calibri" w:cs="Calibri"/>
          <w:noProof/>
          <w:szCs w:val="24"/>
        </w:rPr>
        <w:t>. Available at: https://www.nice.org.uk/guidance/cg159/ (Accessed: 9 September 2016).</w:t>
      </w:r>
    </w:p>
    <w:p w14:paraId="565050B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Newman, M. G. </w:t>
      </w:r>
      <w:r w:rsidRPr="00734178">
        <w:rPr>
          <w:rFonts w:ascii="Calibri" w:hAnsi="Calibri" w:cs="Calibri"/>
          <w:i/>
          <w:iCs/>
          <w:noProof/>
          <w:szCs w:val="24"/>
        </w:rPr>
        <w:t>et al.</w:t>
      </w:r>
      <w:r w:rsidRPr="00734178">
        <w:rPr>
          <w:rFonts w:ascii="Calibri" w:hAnsi="Calibri" w:cs="Calibri"/>
          <w:noProof/>
          <w:szCs w:val="24"/>
        </w:rPr>
        <w:t xml:space="preserve"> (2011a) ‘A review of technology-assisted self-help and minimal contact therapies for anxiety and depression: Is human contact necessary for therapeutic efficacy?’, </w:t>
      </w:r>
      <w:r w:rsidRPr="00734178">
        <w:rPr>
          <w:rFonts w:ascii="Calibri" w:hAnsi="Calibri" w:cs="Calibri"/>
          <w:i/>
          <w:iCs/>
          <w:noProof/>
          <w:szCs w:val="24"/>
        </w:rPr>
        <w:t>Clinical Psychology Review</w:t>
      </w:r>
      <w:r w:rsidRPr="00734178">
        <w:rPr>
          <w:rFonts w:ascii="Calibri" w:hAnsi="Calibri" w:cs="Calibri"/>
          <w:noProof/>
          <w:szCs w:val="24"/>
        </w:rPr>
        <w:t>, 31(1), pp. 89–103. doi: 10.1016/j.cpr.2010.09.008.</w:t>
      </w:r>
    </w:p>
    <w:p w14:paraId="6234956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Newman, M. G. </w:t>
      </w:r>
      <w:r w:rsidRPr="00734178">
        <w:rPr>
          <w:rFonts w:ascii="Calibri" w:hAnsi="Calibri" w:cs="Calibri"/>
          <w:i/>
          <w:iCs/>
          <w:noProof/>
          <w:szCs w:val="24"/>
        </w:rPr>
        <w:t>et al.</w:t>
      </w:r>
      <w:r w:rsidRPr="00734178">
        <w:rPr>
          <w:rFonts w:ascii="Calibri" w:hAnsi="Calibri" w:cs="Calibri"/>
          <w:noProof/>
          <w:szCs w:val="24"/>
        </w:rPr>
        <w:t xml:space="preserve"> (2011b) ‘A review of technology-assisted self-help and minimal contact therapies for drug and alcohol abuse and smoking addiction: Is human contact necessary for therapeutic efficacy?’, </w:t>
      </w:r>
      <w:r w:rsidRPr="00734178">
        <w:rPr>
          <w:rFonts w:ascii="Calibri" w:hAnsi="Calibri" w:cs="Calibri"/>
          <w:i/>
          <w:iCs/>
          <w:noProof/>
          <w:szCs w:val="24"/>
        </w:rPr>
        <w:t>Clinical Psychology Review</w:t>
      </w:r>
      <w:r w:rsidRPr="00734178">
        <w:rPr>
          <w:rFonts w:ascii="Calibri" w:hAnsi="Calibri" w:cs="Calibri"/>
          <w:noProof/>
          <w:szCs w:val="24"/>
        </w:rPr>
        <w:t>. Elsevier Ltd, 31, pp. 178–186. doi: 10.1016/j.cpr.2010.10.002.</w:t>
      </w:r>
    </w:p>
    <w:p w14:paraId="1653867A"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NHS Choices (2015a) </w:t>
      </w:r>
      <w:r w:rsidRPr="00734178">
        <w:rPr>
          <w:rFonts w:ascii="Calibri" w:hAnsi="Calibri" w:cs="Calibri"/>
          <w:i/>
          <w:iCs/>
          <w:noProof/>
          <w:szCs w:val="24"/>
        </w:rPr>
        <w:t>Authorities and trusts - The NHS in England - NHS Choices</w:t>
      </w:r>
      <w:r w:rsidRPr="00734178">
        <w:rPr>
          <w:rFonts w:ascii="Calibri" w:hAnsi="Calibri" w:cs="Calibri"/>
          <w:noProof/>
          <w:szCs w:val="24"/>
        </w:rPr>
        <w:t>. Department of Health. Available at: http://www.nhs.uk/NHSEngland/thenhs/about/Pages/authoritiesandtrusts.aspx (Accessed: 9 September 2016).</w:t>
      </w:r>
    </w:p>
    <w:p w14:paraId="1D5AC0CD"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NHS Choices (2015b) </w:t>
      </w:r>
      <w:r w:rsidRPr="00734178">
        <w:rPr>
          <w:rFonts w:ascii="Calibri" w:hAnsi="Calibri" w:cs="Calibri"/>
          <w:i/>
          <w:iCs/>
          <w:noProof/>
          <w:szCs w:val="24"/>
        </w:rPr>
        <w:t>Online mental health services</w:t>
      </w:r>
      <w:r w:rsidRPr="00734178">
        <w:rPr>
          <w:rFonts w:ascii="Calibri" w:hAnsi="Calibri" w:cs="Calibri"/>
          <w:noProof/>
          <w:szCs w:val="24"/>
        </w:rPr>
        <w:t>. Department of Health. Available at: http://www.nhs.uk/Conditions/online-mental-health-services/Pages/introduction.aspx (Accessed: 9 September 2016).</w:t>
      </w:r>
    </w:p>
    <w:p w14:paraId="3DA3411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NHS Digital (2016) </w:t>
      </w:r>
      <w:r w:rsidRPr="00734178">
        <w:rPr>
          <w:rFonts w:ascii="Calibri" w:hAnsi="Calibri" w:cs="Calibri"/>
          <w:i/>
          <w:iCs/>
          <w:noProof/>
          <w:szCs w:val="24"/>
        </w:rPr>
        <w:t>Improving Access to Psychological Therapies Data Set</w:t>
      </w:r>
      <w:r w:rsidRPr="00734178">
        <w:rPr>
          <w:rFonts w:ascii="Calibri" w:hAnsi="Calibri" w:cs="Calibri"/>
          <w:noProof/>
          <w:szCs w:val="24"/>
        </w:rPr>
        <w:t>. NHS Digital. Available at: http://content.digital.nhs.uk/iapt (Accessed: 9 September 2016).</w:t>
      </w:r>
    </w:p>
    <w:p w14:paraId="3B04767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NHS Digital (2017a) </w:t>
      </w:r>
      <w:r w:rsidRPr="00734178">
        <w:rPr>
          <w:rFonts w:ascii="Calibri" w:hAnsi="Calibri" w:cs="Calibri"/>
          <w:i/>
          <w:iCs/>
          <w:noProof/>
          <w:szCs w:val="24"/>
        </w:rPr>
        <w:t>Digital Assessment Questions - Beta</w:t>
      </w:r>
      <w:r w:rsidRPr="00734178">
        <w:rPr>
          <w:rFonts w:ascii="Calibri" w:hAnsi="Calibri" w:cs="Calibri"/>
          <w:noProof/>
          <w:szCs w:val="24"/>
        </w:rPr>
        <w:t>. Available at: https://developer.nhs.uk/digital-tools/daq/ (Accessed: 19 February 2018).</w:t>
      </w:r>
    </w:p>
    <w:p w14:paraId="35421AD6"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NHS Digital (2017b) </w:t>
      </w:r>
      <w:r w:rsidRPr="00734178">
        <w:rPr>
          <w:rFonts w:ascii="Calibri" w:hAnsi="Calibri" w:cs="Calibri"/>
          <w:i/>
          <w:iCs/>
          <w:noProof/>
          <w:szCs w:val="24"/>
        </w:rPr>
        <w:t>Psychological Therapies: Annual report on the use of IAPT services England, 2015-16</w:t>
      </w:r>
      <w:r w:rsidRPr="00734178">
        <w:rPr>
          <w:rFonts w:ascii="Calibri" w:hAnsi="Calibri" w:cs="Calibri"/>
          <w:noProof/>
          <w:szCs w:val="24"/>
        </w:rPr>
        <w:t>. Available at: https://files.digital.nhs.uk/pdf/1/0/psyc-ther-ann-rep-2015-16_v2.pdf (Accessed: 9 October 2018).</w:t>
      </w:r>
    </w:p>
    <w:p w14:paraId="440C488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NHS Digital (2018) </w:t>
      </w:r>
      <w:r w:rsidRPr="00734178">
        <w:rPr>
          <w:rFonts w:ascii="Calibri" w:hAnsi="Calibri" w:cs="Calibri"/>
          <w:i/>
          <w:iCs/>
          <w:noProof/>
          <w:szCs w:val="24"/>
        </w:rPr>
        <w:t>Digital Assessment Questionnaire V2.1</w:t>
      </w:r>
      <w:r w:rsidRPr="00734178">
        <w:rPr>
          <w:rFonts w:ascii="Calibri" w:hAnsi="Calibri" w:cs="Calibri"/>
          <w:noProof/>
          <w:szCs w:val="24"/>
        </w:rPr>
        <w:t>. Available at: https://www.england.nhs.uk/nhside (Accessed: 6 February 2019).</w:t>
      </w:r>
    </w:p>
    <w:p w14:paraId="2647332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NHS England (2013) </w:t>
      </w:r>
      <w:r w:rsidRPr="00734178">
        <w:rPr>
          <w:rFonts w:ascii="Calibri" w:hAnsi="Calibri" w:cs="Calibri"/>
          <w:i/>
          <w:iCs/>
          <w:noProof/>
          <w:szCs w:val="24"/>
        </w:rPr>
        <w:t>NHS Commissioning Board launches library of NHS-reviewed phone apps to help keep people healthy</w:t>
      </w:r>
      <w:r w:rsidRPr="00734178">
        <w:rPr>
          <w:rFonts w:ascii="Calibri" w:hAnsi="Calibri" w:cs="Calibri"/>
          <w:noProof/>
          <w:szCs w:val="24"/>
        </w:rPr>
        <w:t>. Available at: http://www.england.nhs.uk/2013/03/12/nhs-apps/ (Accessed: 9 September 2016).</w:t>
      </w:r>
    </w:p>
    <w:p w14:paraId="1481CC9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NHS England (2014) </w:t>
      </w:r>
      <w:r w:rsidRPr="00734178">
        <w:rPr>
          <w:rFonts w:ascii="Calibri" w:hAnsi="Calibri" w:cs="Calibri"/>
          <w:i/>
          <w:iCs/>
          <w:noProof/>
          <w:szCs w:val="24"/>
        </w:rPr>
        <w:t>Five year forward view</w:t>
      </w:r>
      <w:r w:rsidRPr="00734178">
        <w:rPr>
          <w:rFonts w:ascii="Calibri" w:hAnsi="Calibri" w:cs="Calibri"/>
          <w:noProof/>
          <w:szCs w:val="24"/>
        </w:rPr>
        <w:t>. Available at: https://www.england.nhs.uk/wp-content/uploads/2014/10/5yfv-web.pdf (Accessed: 9 September 2016).</w:t>
      </w:r>
    </w:p>
    <w:p w14:paraId="52926E88"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lastRenderedPageBreak/>
        <w:t xml:space="preserve">NHS England (2018) </w:t>
      </w:r>
      <w:r w:rsidRPr="00734178">
        <w:rPr>
          <w:rFonts w:ascii="Calibri" w:hAnsi="Calibri" w:cs="Calibri"/>
          <w:i/>
          <w:iCs/>
          <w:noProof/>
          <w:szCs w:val="24"/>
        </w:rPr>
        <w:t>Improving care for older people</w:t>
      </w:r>
      <w:r w:rsidRPr="00734178">
        <w:rPr>
          <w:rFonts w:ascii="Calibri" w:hAnsi="Calibri" w:cs="Calibri"/>
          <w:noProof/>
          <w:szCs w:val="24"/>
        </w:rPr>
        <w:t xml:space="preserve">, </w:t>
      </w:r>
      <w:r w:rsidRPr="00734178">
        <w:rPr>
          <w:rFonts w:ascii="Calibri" w:hAnsi="Calibri" w:cs="Calibri"/>
          <w:i/>
          <w:iCs/>
          <w:noProof/>
          <w:szCs w:val="24"/>
        </w:rPr>
        <w:t>NHS England</w:t>
      </w:r>
      <w:r w:rsidRPr="00734178">
        <w:rPr>
          <w:rFonts w:ascii="Calibri" w:hAnsi="Calibri" w:cs="Calibri"/>
          <w:noProof/>
          <w:szCs w:val="24"/>
        </w:rPr>
        <w:t>. Available at: https://www.england.nhs.uk/ourwork/ltc-op-eolc/older-people/improving-care-for-older-people/%0Ahttps://www.england.nhs.uk/ourwork/ltc-op-eolc/older-people/ (Accessed: 4 October 2018).</w:t>
      </w:r>
    </w:p>
    <w:p w14:paraId="56A741A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NICE (2009) </w:t>
      </w:r>
      <w:r w:rsidRPr="00734178">
        <w:rPr>
          <w:rFonts w:ascii="Calibri" w:hAnsi="Calibri" w:cs="Calibri"/>
          <w:i/>
          <w:iCs/>
          <w:noProof/>
          <w:szCs w:val="24"/>
        </w:rPr>
        <w:t>Depression in adults with chronic physical health problem: recognition and management. CG91</w:t>
      </w:r>
      <w:r w:rsidRPr="00734178">
        <w:rPr>
          <w:rFonts w:ascii="Calibri" w:hAnsi="Calibri" w:cs="Calibri"/>
          <w:noProof/>
          <w:szCs w:val="24"/>
        </w:rPr>
        <w:t>.</w:t>
      </w:r>
    </w:p>
    <w:p w14:paraId="698E933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NICE (2016) ‘NATIONAL INSTITUTE FOR HEALTH AND CARE EXCELLENCE PUBLIC BOARD MEETING’. Available at: https://www.nice.org.uk/Media/Default/Get-involved/Meetings-In-Public/Public-board-meetings/agenda-and-papers-nov-16.pdf (Accessed: 10 February 2018).</w:t>
      </w:r>
    </w:p>
    <w:p w14:paraId="1DB3506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NICE (2017) ‘NICE IAPT assessment programme: Eligibility requirements of digitally enabled therapy technologies’. Available at: https://www.nice.org.uk/Media/Default/About/what-we-do/NICE-advice/IAPT/eligibility-and-prioritisation-criteria.pdf (Accessed: 13 July 2018).</w:t>
      </w:r>
    </w:p>
    <w:p w14:paraId="0320063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Nielsen, J. (2012) </w:t>
      </w:r>
      <w:r w:rsidRPr="00734178">
        <w:rPr>
          <w:rFonts w:ascii="Calibri" w:hAnsi="Calibri" w:cs="Calibri"/>
          <w:i/>
          <w:iCs/>
          <w:noProof/>
          <w:szCs w:val="24"/>
        </w:rPr>
        <w:t>Usability 101: Introduction to Usability</w:t>
      </w:r>
      <w:r w:rsidRPr="00734178">
        <w:rPr>
          <w:rFonts w:ascii="Calibri" w:hAnsi="Calibri" w:cs="Calibri"/>
          <w:noProof/>
          <w:szCs w:val="24"/>
        </w:rPr>
        <w:t xml:space="preserve">, </w:t>
      </w:r>
      <w:r w:rsidRPr="00734178">
        <w:rPr>
          <w:rFonts w:ascii="Calibri" w:hAnsi="Calibri" w:cs="Calibri"/>
          <w:i/>
          <w:iCs/>
          <w:noProof/>
          <w:szCs w:val="24"/>
        </w:rPr>
        <w:t>Nielsen Norman Group</w:t>
      </w:r>
      <w:r w:rsidRPr="00734178">
        <w:rPr>
          <w:rFonts w:ascii="Calibri" w:hAnsi="Calibri" w:cs="Calibri"/>
          <w:noProof/>
          <w:szCs w:val="24"/>
        </w:rPr>
        <w:t>. Available at: https://www.nngroup.com/articles/usability-101-introduction-to-usability/ (Accessed: 3 October 2018).</w:t>
      </w:r>
    </w:p>
    <w:p w14:paraId="7E9C19F0"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O’Brien, H. L. and Toms, E. G. (2010) ‘The development and evaluation of a survey to measure user engagement’, </w:t>
      </w:r>
      <w:r w:rsidRPr="00734178">
        <w:rPr>
          <w:rFonts w:ascii="Calibri" w:hAnsi="Calibri" w:cs="Calibri"/>
          <w:i/>
          <w:iCs/>
          <w:noProof/>
          <w:szCs w:val="24"/>
        </w:rPr>
        <w:t>Journal of the American Society for Information Science and Technology</w:t>
      </w:r>
      <w:r w:rsidRPr="00734178">
        <w:rPr>
          <w:rFonts w:ascii="Calibri" w:hAnsi="Calibri" w:cs="Calibri"/>
          <w:noProof/>
          <w:szCs w:val="24"/>
        </w:rPr>
        <w:t>. Wiley-Blackwell, 61(1), pp. 50–69. doi: 10.1002/asi.21229.</w:t>
      </w:r>
    </w:p>
    <w:p w14:paraId="459C0CD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O’Connor, P. </w:t>
      </w:r>
      <w:r w:rsidRPr="00734178">
        <w:rPr>
          <w:rFonts w:ascii="Calibri" w:hAnsi="Calibri" w:cs="Calibri"/>
          <w:i/>
          <w:iCs/>
          <w:noProof/>
          <w:szCs w:val="24"/>
        </w:rPr>
        <w:t>et al.</w:t>
      </w:r>
      <w:r w:rsidRPr="00734178">
        <w:rPr>
          <w:rFonts w:ascii="Calibri" w:hAnsi="Calibri" w:cs="Calibri"/>
          <w:noProof/>
          <w:szCs w:val="24"/>
        </w:rPr>
        <w:t xml:space="preserve"> (2014) ‘Interns and their smartphones: use for clinical practice’, </w:t>
      </w:r>
      <w:r w:rsidRPr="00734178">
        <w:rPr>
          <w:rFonts w:ascii="Calibri" w:hAnsi="Calibri" w:cs="Calibri"/>
          <w:i/>
          <w:iCs/>
          <w:noProof/>
          <w:szCs w:val="24"/>
        </w:rPr>
        <w:t>Postgraduate Medical Journal</w:t>
      </w:r>
      <w:r w:rsidRPr="00734178">
        <w:rPr>
          <w:rFonts w:ascii="Calibri" w:hAnsi="Calibri" w:cs="Calibri"/>
          <w:noProof/>
          <w:szCs w:val="24"/>
        </w:rPr>
        <w:t>, 90(1060), pp. 75–79. doi: 10.1136/postgradmedj-2013-131930.</w:t>
      </w:r>
    </w:p>
    <w:p w14:paraId="0EA5803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O’Neill, S. and Brady, R. R. W. (2012) ‘Colorectal smartphone apps: opportunities and risks’, </w:t>
      </w:r>
      <w:r w:rsidRPr="00734178">
        <w:rPr>
          <w:rFonts w:ascii="Calibri" w:hAnsi="Calibri" w:cs="Calibri"/>
          <w:i/>
          <w:iCs/>
          <w:noProof/>
          <w:szCs w:val="24"/>
        </w:rPr>
        <w:t>Colorectal Disease</w:t>
      </w:r>
      <w:r w:rsidRPr="00734178">
        <w:rPr>
          <w:rFonts w:ascii="Calibri" w:hAnsi="Calibri" w:cs="Calibri"/>
          <w:noProof/>
          <w:szCs w:val="24"/>
        </w:rPr>
        <w:t>. Blackwell Publishing Ltd, 14(9), pp. e530–e534. doi: 10.1111/j.1463-1318.2012.03088.x.</w:t>
      </w:r>
    </w:p>
    <w:p w14:paraId="7E350F0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Ofcom (2016) ‘Adults’ media use and attitudes report’, (April), p. 182. doi: 10.1016/j.csi.2015.08.004.</w:t>
      </w:r>
    </w:p>
    <w:p w14:paraId="548E773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Oude Voshaar, R. C. (2013) ‘Lack of interventions for anxiety in older people’, </w:t>
      </w:r>
      <w:r w:rsidRPr="00734178">
        <w:rPr>
          <w:rFonts w:ascii="Calibri" w:hAnsi="Calibri" w:cs="Calibri"/>
          <w:i/>
          <w:iCs/>
          <w:noProof/>
          <w:szCs w:val="24"/>
        </w:rPr>
        <w:t>British Journal of Psychiatry</w:t>
      </w:r>
      <w:r w:rsidRPr="00734178">
        <w:rPr>
          <w:rFonts w:ascii="Calibri" w:hAnsi="Calibri" w:cs="Calibri"/>
          <w:noProof/>
          <w:szCs w:val="24"/>
        </w:rPr>
        <w:t>, 203(1), pp. 8–9. doi: 10.1192/bjp.bp.113.127639.</w:t>
      </w:r>
    </w:p>
    <w:p w14:paraId="787FE2E0"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Palmqvist, B., Carlbring, P. and Andersson, G. (2007) ‘Internet-delivered treatments with or without therapist input: Does the therapist factor have implications for efficacy and cost?’, </w:t>
      </w:r>
      <w:r w:rsidRPr="00734178">
        <w:rPr>
          <w:rFonts w:ascii="Calibri" w:hAnsi="Calibri" w:cs="Calibri"/>
          <w:i/>
          <w:iCs/>
          <w:noProof/>
          <w:szCs w:val="24"/>
        </w:rPr>
        <w:t>Expert Review of Pharmacoeconomics and Outcomes Research</w:t>
      </w:r>
      <w:r w:rsidRPr="00734178">
        <w:rPr>
          <w:rFonts w:ascii="Calibri" w:hAnsi="Calibri" w:cs="Calibri"/>
          <w:noProof/>
          <w:szCs w:val="24"/>
        </w:rPr>
        <w:t>, 7(3), pp. 291–297. doi: 10.1586/14737167.7.3.291.</w:t>
      </w:r>
    </w:p>
    <w:p w14:paraId="5D2F952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Peck, D. F. (2010) ‘The therapist-client relationship, computerized self-help and active therapy ingredients’, </w:t>
      </w:r>
      <w:r w:rsidRPr="00734178">
        <w:rPr>
          <w:rFonts w:ascii="Calibri" w:hAnsi="Calibri" w:cs="Calibri"/>
          <w:i/>
          <w:iCs/>
          <w:noProof/>
          <w:szCs w:val="24"/>
        </w:rPr>
        <w:t>Clinical Psychology and Psychotherapy</w:t>
      </w:r>
      <w:r w:rsidRPr="00734178">
        <w:rPr>
          <w:rFonts w:ascii="Calibri" w:hAnsi="Calibri" w:cs="Calibri"/>
          <w:noProof/>
          <w:szCs w:val="24"/>
        </w:rPr>
        <w:t>, 17(2), pp. 147–153. doi: 10.1002/cpp.669.</w:t>
      </w:r>
    </w:p>
    <w:p w14:paraId="057AA51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Pirkis, J. </w:t>
      </w:r>
      <w:r w:rsidRPr="00734178">
        <w:rPr>
          <w:rFonts w:ascii="Calibri" w:hAnsi="Calibri" w:cs="Calibri"/>
          <w:i/>
          <w:iCs/>
          <w:noProof/>
          <w:szCs w:val="24"/>
        </w:rPr>
        <w:t>et al.</w:t>
      </w:r>
      <w:r w:rsidRPr="00734178">
        <w:rPr>
          <w:rFonts w:ascii="Calibri" w:hAnsi="Calibri" w:cs="Calibri"/>
          <w:noProof/>
          <w:szCs w:val="24"/>
        </w:rPr>
        <w:t xml:space="preserve"> (2009) ‘The community prevalence of depression in older Australians’, </w:t>
      </w:r>
      <w:r w:rsidRPr="00734178">
        <w:rPr>
          <w:rFonts w:ascii="Calibri" w:hAnsi="Calibri" w:cs="Calibri"/>
          <w:i/>
          <w:iCs/>
          <w:noProof/>
          <w:szCs w:val="24"/>
        </w:rPr>
        <w:t>Journal of Affective Disorders</w:t>
      </w:r>
      <w:r w:rsidRPr="00734178">
        <w:rPr>
          <w:rFonts w:ascii="Calibri" w:hAnsi="Calibri" w:cs="Calibri"/>
          <w:noProof/>
          <w:szCs w:val="24"/>
        </w:rPr>
        <w:t>, 115(1–2), pp. 54–61. doi: 10.1016/j.jad.2008.08.014.</w:t>
      </w:r>
    </w:p>
    <w:p w14:paraId="4D1CDAC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Postel, M. G. </w:t>
      </w:r>
      <w:r w:rsidRPr="00734178">
        <w:rPr>
          <w:rFonts w:ascii="Calibri" w:hAnsi="Calibri" w:cs="Calibri"/>
          <w:i/>
          <w:iCs/>
          <w:noProof/>
          <w:szCs w:val="24"/>
        </w:rPr>
        <w:t>et al.</w:t>
      </w:r>
      <w:r w:rsidRPr="00734178">
        <w:rPr>
          <w:rFonts w:ascii="Calibri" w:hAnsi="Calibri" w:cs="Calibri"/>
          <w:noProof/>
          <w:szCs w:val="24"/>
        </w:rPr>
        <w:t xml:space="preserve"> (2010) ‘Effectiveness of a Web-based Intervention for Problem Drinkers and Reasons for Dropout: Randomized Controlled Trial’, </w:t>
      </w:r>
      <w:r w:rsidRPr="00734178">
        <w:rPr>
          <w:rFonts w:ascii="Calibri" w:hAnsi="Calibri" w:cs="Calibri"/>
          <w:i/>
          <w:iCs/>
          <w:noProof/>
          <w:szCs w:val="24"/>
        </w:rPr>
        <w:t>Journal of Medical Internet Research</w:t>
      </w:r>
      <w:r w:rsidRPr="00734178">
        <w:rPr>
          <w:rFonts w:ascii="Calibri" w:hAnsi="Calibri" w:cs="Calibri"/>
          <w:noProof/>
          <w:szCs w:val="24"/>
        </w:rPr>
        <w:t>, 12(4), p. e68. doi: 10.2196/jmir.1642.</w:t>
      </w:r>
    </w:p>
    <w:p w14:paraId="670188DD"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lastRenderedPageBreak/>
        <w:t xml:space="preserve">Powell, J. </w:t>
      </w:r>
      <w:r w:rsidRPr="00734178">
        <w:rPr>
          <w:rFonts w:ascii="Calibri" w:hAnsi="Calibri" w:cs="Calibri"/>
          <w:i/>
          <w:iCs/>
          <w:noProof/>
          <w:szCs w:val="24"/>
        </w:rPr>
        <w:t>et al.</w:t>
      </w:r>
      <w:r w:rsidRPr="00734178">
        <w:rPr>
          <w:rFonts w:ascii="Calibri" w:hAnsi="Calibri" w:cs="Calibri"/>
          <w:noProof/>
          <w:szCs w:val="24"/>
        </w:rPr>
        <w:t xml:space="preserve"> (2013) ‘Effectiveness of a web-based cognitive-behavioral tool to improve mental well-being in the general population: Randomized controlled trial’, </w:t>
      </w:r>
      <w:r w:rsidRPr="00734178">
        <w:rPr>
          <w:rFonts w:ascii="Calibri" w:hAnsi="Calibri" w:cs="Calibri"/>
          <w:i/>
          <w:iCs/>
          <w:noProof/>
          <w:szCs w:val="24"/>
        </w:rPr>
        <w:t>Journal of Medical Internet Research</w:t>
      </w:r>
      <w:r w:rsidRPr="00734178">
        <w:rPr>
          <w:rFonts w:ascii="Calibri" w:hAnsi="Calibri" w:cs="Calibri"/>
          <w:noProof/>
          <w:szCs w:val="24"/>
        </w:rPr>
        <w:t>, 15(1), pp. 1–17. doi: 10.2196/jmir.2240.</w:t>
      </w:r>
    </w:p>
    <w:p w14:paraId="40EC633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Powers, W. T. (1973) </w:t>
      </w:r>
      <w:r w:rsidRPr="00734178">
        <w:rPr>
          <w:rFonts w:ascii="Calibri" w:hAnsi="Calibri" w:cs="Calibri"/>
          <w:i/>
          <w:iCs/>
          <w:noProof/>
          <w:szCs w:val="24"/>
        </w:rPr>
        <w:t>Behavior: The control of perception.</w:t>
      </w:r>
    </w:p>
    <w:p w14:paraId="47A657F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Powers, W. T., Clark, R. K. and McFarland, R. L. (1960) ‘A General Feedback Theory of Human Behaviour: Part II’, </w:t>
      </w:r>
      <w:r w:rsidRPr="00734178">
        <w:rPr>
          <w:rFonts w:ascii="Calibri" w:hAnsi="Calibri" w:cs="Calibri"/>
          <w:i/>
          <w:iCs/>
          <w:noProof/>
          <w:szCs w:val="24"/>
        </w:rPr>
        <w:t>Perceptual and Motor Skills</w:t>
      </w:r>
      <w:r w:rsidRPr="00734178">
        <w:rPr>
          <w:rFonts w:ascii="Calibri" w:hAnsi="Calibri" w:cs="Calibri"/>
          <w:noProof/>
          <w:szCs w:val="24"/>
        </w:rPr>
        <w:t>, 11(7), pp. 309–323. doi: 10.2466/PMS.11.7.309-323.</w:t>
      </w:r>
    </w:p>
    <w:p w14:paraId="538A9B8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Proudfoot, J., Goldberg, D., Mann, A., Everitt, B., Marks, I. and Gray, J. A. (2003) ‘Computerized, interactive, multimedia cognitive-behavioural program for anxiety and depression in general practice’, </w:t>
      </w:r>
      <w:r w:rsidRPr="00734178">
        <w:rPr>
          <w:rFonts w:ascii="Calibri" w:hAnsi="Calibri" w:cs="Calibri"/>
          <w:i/>
          <w:iCs/>
          <w:noProof/>
          <w:szCs w:val="24"/>
        </w:rPr>
        <w:t>Psychological Medicine</w:t>
      </w:r>
      <w:r w:rsidRPr="00734178">
        <w:rPr>
          <w:rFonts w:ascii="Calibri" w:hAnsi="Calibri" w:cs="Calibri"/>
          <w:noProof/>
          <w:szCs w:val="24"/>
        </w:rPr>
        <w:t>. Cambridge University Press, 33(2), pp. 217–227. doi: 10.1017/S0033291702007225.</w:t>
      </w:r>
    </w:p>
    <w:p w14:paraId="077CF48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Proudfoot, J., Goldberg, D., Mann, A., Everitt, B., Marks, I., Gray, J. A., </w:t>
      </w:r>
      <w:r w:rsidRPr="00734178">
        <w:rPr>
          <w:rFonts w:ascii="Calibri" w:hAnsi="Calibri" w:cs="Calibri"/>
          <w:i/>
          <w:iCs/>
          <w:noProof/>
          <w:szCs w:val="24"/>
        </w:rPr>
        <w:t>et al.</w:t>
      </w:r>
      <w:r w:rsidRPr="00734178">
        <w:rPr>
          <w:rFonts w:ascii="Calibri" w:hAnsi="Calibri" w:cs="Calibri"/>
          <w:noProof/>
          <w:szCs w:val="24"/>
        </w:rPr>
        <w:t xml:space="preserve"> (2003) ‘Computerized, interactive, multimedia cognitive-behavioural program for anxiety and depression in general practice’, </w:t>
      </w:r>
      <w:r w:rsidRPr="00734178">
        <w:rPr>
          <w:rFonts w:ascii="Calibri" w:hAnsi="Calibri" w:cs="Calibri"/>
          <w:i/>
          <w:iCs/>
          <w:noProof/>
          <w:szCs w:val="24"/>
        </w:rPr>
        <w:t>Psychological medicine</w:t>
      </w:r>
      <w:r w:rsidRPr="00734178">
        <w:rPr>
          <w:rFonts w:ascii="Calibri" w:hAnsi="Calibri" w:cs="Calibri"/>
          <w:noProof/>
          <w:szCs w:val="24"/>
        </w:rPr>
        <w:t>. Cambridge University Press, 33(2), pp. 217–227. doi: 10.1017/S0033291702007225.</w:t>
      </w:r>
    </w:p>
    <w:p w14:paraId="5FBE26F3"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Proudfoot, J. </w:t>
      </w:r>
      <w:r w:rsidRPr="00734178">
        <w:rPr>
          <w:rFonts w:ascii="Calibri" w:hAnsi="Calibri" w:cs="Calibri"/>
          <w:i/>
          <w:iCs/>
          <w:noProof/>
          <w:szCs w:val="24"/>
        </w:rPr>
        <w:t>et al.</w:t>
      </w:r>
      <w:r w:rsidRPr="00734178">
        <w:rPr>
          <w:rFonts w:ascii="Calibri" w:hAnsi="Calibri" w:cs="Calibri"/>
          <w:noProof/>
          <w:szCs w:val="24"/>
        </w:rPr>
        <w:t xml:space="preserve"> (2003) ‘The development and beta-test of a computer-therapy program for anxiety and depression: Hurdles and lessons’, </w:t>
      </w:r>
      <w:r w:rsidRPr="00734178">
        <w:rPr>
          <w:rFonts w:ascii="Calibri" w:hAnsi="Calibri" w:cs="Calibri"/>
          <w:i/>
          <w:iCs/>
          <w:noProof/>
          <w:szCs w:val="24"/>
        </w:rPr>
        <w:t>Computers in Human Behavior</w:t>
      </w:r>
      <w:r w:rsidRPr="00734178">
        <w:rPr>
          <w:rFonts w:ascii="Calibri" w:hAnsi="Calibri" w:cs="Calibri"/>
          <w:noProof/>
          <w:szCs w:val="24"/>
        </w:rPr>
        <w:t>. Elsevier Science, 19(3), pp. 277–289. doi: 10.1016/S0747-5632(02)00062-6.</w:t>
      </w:r>
    </w:p>
    <w:p w14:paraId="1CE929C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Proudfoot, J. </w:t>
      </w:r>
      <w:r w:rsidRPr="00734178">
        <w:rPr>
          <w:rFonts w:ascii="Calibri" w:hAnsi="Calibri" w:cs="Calibri"/>
          <w:i/>
          <w:iCs/>
          <w:noProof/>
          <w:szCs w:val="24"/>
        </w:rPr>
        <w:t>et al.</w:t>
      </w:r>
      <w:r w:rsidRPr="00734178">
        <w:rPr>
          <w:rFonts w:ascii="Calibri" w:hAnsi="Calibri" w:cs="Calibri"/>
          <w:noProof/>
          <w:szCs w:val="24"/>
        </w:rPr>
        <w:t xml:space="preserve"> (2004) ‘Clinical efficacy of computerised cognitive-behavioural therapy for anxiety and depression in primary care: randomised controlled trial’, </w:t>
      </w:r>
      <w:r w:rsidRPr="00734178">
        <w:rPr>
          <w:rFonts w:ascii="Calibri" w:hAnsi="Calibri" w:cs="Calibri"/>
          <w:i/>
          <w:iCs/>
          <w:noProof/>
          <w:szCs w:val="24"/>
        </w:rPr>
        <w:t>The British Journal of Psychiatry</w:t>
      </w:r>
      <w:r w:rsidRPr="00734178">
        <w:rPr>
          <w:rFonts w:ascii="Calibri" w:hAnsi="Calibri" w:cs="Calibri"/>
          <w:noProof/>
          <w:szCs w:val="24"/>
        </w:rPr>
        <w:t>, 185(1), pp. 46–54. doi: 10.1192/bjp.185.1.46.</w:t>
      </w:r>
    </w:p>
    <w:p w14:paraId="37F531B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Proudfoot, J. G. (2004) ‘Computer-based treatment for anxiety and depression: Is it feasible? Is it effective?’, </w:t>
      </w:r>
      <w:r w:rsidRPr="00734178">
        <w:rPr>
          <w:rFonts w:ascii="Calibri" w:hAnsi="Calibri" w:cs="Calibri"/>
          <w:i/>
          <w:iCs/>
          <w:noProof/>
          <w:szCs w:val="24"/>
        </w:rPr>
        <w:t>Neuroscience and Biobehavioral Reviews</w:t>
      </w:r>
      <w:r w:rsidRPr="00734178">
        <w:rPr>
          <w:rFonts w:ascii="Calibri" w:hAnsi="Calibri" w:cs="Calibri"/>
          <w:noProof/>
          <w:szCs w:val="24"/>
        </w:rPr>
        <w:t>, 28(3), pp. 353–363. doi: 10.1016/j.neubiorev.2004.03.008.</w:t>
      </w:r>
    </w:p>
    <w:p w14:paraId="5480A1E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Public Health England (2017) </w:t>
      </w:r>
      <w:r w:rsidRPr="00734178">
        <w:rPr>
          <w:rFonts w:ascii="Calibri" w:hAnsi="Calibri" w:cs="Calibri"/>
          <w:i/>
          <w:iCs/>
          <w:noProof/>
          <w:szCs w:val="24"/>
        </w:rPr>
        <w:t>Health app development: the app assessment process</w:t>
      </w:r>
      <w:r w:rsidRPr="00734178">
        <w:rPr>
          <w:rFonts w:ascii="Calibri" w:hAnsi="Calibri" w:cs="Calibri"/>
          <w:noProof/>
          <w:szCs w:val="24"/>
        </w:rPr>
        <w:t xml:space="preserve">, </w:t>
      </w:r>
      <w:r w:rsidRPr="00734178">
        <w:rPr>
          <w:rFonts w:ascii="Calibri" w:hAnsi="Calibri" w:cs="Calibri"/>
          <w:i/>
          <w:iCs/>
          <w:noProof/>
          <w:szCs w:val="24"/>
        </w:rPr>
        <w:t>gov.uk</w:t>
      </w:r>
      <w:r w:rsidRPr="00734178">
        <w:rPr>
          <w:rFonts w:ascii="Calibri" w:hAnsi="Calibri" w:cs="Calibri"/>
          <w:noProof/>
          <w:szCs w:val="24"/>
        </w:rPr>
        <w:t>. Available at: https://www.gov.uk/government/collections/health-app-development-creating-apps-for-health-professionals (Accessed: 10 February 2018).</w:t>
      </w:r>
    </w:p>
    <w:p w14:paraId="65CF064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Radloff, L. S. (1977) ‘The CES-D Scale’, </w:t>
      </w:r>
      <w:r w:rsidRPr="00734178">
        <w:rPr>
          <w:rFonts w:ascii="Calibri" w:hAnsi="Calibri" w:cs="Calibri"/>
          <w:i/>
          <w:iCs/>
          <w:noProof/>
          <w:szCs w:val="24"/>
        </w:rPr>
        <w:t>Applied Psychological Measurement</w:t>
      </w:r>
      <w:r w:rsidRPr="00734178">
        <w:rPr>
          <w:rFonts w:ascii="Calibri" w:hAnsi="Calibri" w:cs="Calibri"/>
          <w:noProof/>
          <w:szCs w:val="24"/>
        </w:rPr>
        <w:t>. Sage PublicationsSage CA: Thousand Oaks, CA, 1(3), pp. 385–401. doi: 10.1177/014662167700100306.</w:t>
      </w:r>
    </w:p>
    <w:p w14:paraId="523003C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Rasche, P. </w:t>
      </w:r>
      <w:r w:rsidRPr="00734178">
        <w:rPr>
          <w:rFonts w:ascii="Calibri" w:hAnsi="Calibri" w:cs="Calibri"/>
          <w:i/>
          <w:iCs/>
          <w:noProof/>
          <w:szCs w:val="24"/>
        </w:rPr>
        <w:t>et al.</w:t>
      </w:r>
      <w:r w:rsidRPr="00734178">
        <w:rPr>
          <w:rFonts w:ascii="Calibri" w:hAnsi="Calibri" w:cs="Calibri"/>
          <w:noProof/>
          <w:szCs w:val="24"/>
        </w:rPr>
        <w:t xml:space="preserve"> (2018) ‘Prevalence of Health App Use Among Older Adults in Germany: National Survey.’, </w:t>
      </w:r>
      <w:r w:rsidRPr="00734178">
        <w:rPr>
          <w:rFonts w:ascii="Calibri" w:hAnsi="Calibri" w:cs="Calibri"/>
          <w:i/>
          <w:iCs/>
          <w:noProof/>
          <w:szCs w:val="24"/>
        </w:rPr>
        <w:t>JMIR mHealth and uHealth</w:t>
      </w:r>
      <w:r w:rsidRPr="00734178">
        <w:rPr>
          <w:rFonts w:ascii="Calibri" w:hAnsi="Calibri" w:cs="Calibri"/>
          <w:noProof/>
          <w:szCs w:val="24"/>
        </w:rPr>
        <w:t>. JMIR Publications Inc., 6(1), p. e26. doi: 10.2196/mhealth.8619.</w:t>
      </w:r>
    </w:p>
    <w:p w14:paraId="170E593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Reger, M. A. and Gahm, G. A. (2009) ‘A meta-analysis of the effects of Internet-and computer-based cognitive-behavioral treatments for anxiety’, </w:t>
      </w:r>
      <w:r w:rsidRPr="00734178">
        <w:rPr>
          <w:rFonts w:ascii="Calibri" w:hAnsi="Calibri" w:cs="Calibri"/>
          <w:i/>
          <w:iCs/>
          <w:noProof/>
          <w:szCs w:val="24"/>
        </w:rPr>
        <w:t>Journal of Clinical Psychology</w:t>
      </w:r>
      <w:r w:rsidRPr="00734178">
        <w:rPr>
          <w:rFonts w:ascii="Calibri" w:hAnsi="Calibri" w:cs="Calibri"/>
          <w:noProof/>
          <w:szCs w:val="24"/>
        </w:rPr>
        <w:t>, 65(1), pp. 53–75. doi: 10.1002/jclp.20536.</w:t>
      </w:r>
    </w:p>
    <w:p w14:paraId="1C815DF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Reichheld, F. (2006) </w:t>
      </w:r>
      <w:r w:rsidRPr="00734178">
        <w:rPr>
          <w:rFonts w:ascii="Calibri" w:hAnsi="Calibri" w:cs="Calibri"/>
          <w:i/>
          <w:iCs/>
          <w:noProof/>
          <w:szCs w:val="24"/>
        </w:rPr>
        <w:t>The Microeconomics of Customer Relationships</w:t>
      </w:r>
      <w:r w:rsidRPr="00734178">
        <w:rPr>
          <w:rFonts w:ascii="Calibri" w:hAnsi="Calibri" w:cs="Calibri"/>
          <w:noProof/>
          <w:szCs w:val="24"/>
        </w:rPr>
        <w:t xml:space="preserve">, </w:t>
      </w:r>
      <w:r w:rsidRPr="00734178">
        <w:rPr>
          <w:rFonts w:ascii="Calibri" w:hAnsi="Calibri" w:cs="Calibri"/>
          <w:i/>
          <w:iCs/>
          <w:noProof/>
          <w:szCs w:val="24"/>
        </w:rPr>
        <w:t>MITSLoan Management Review</w:t>
      </w:r>
      <w:r w:rsidRPr="00734178">
        <w:rPr>
          <w:rFonts w:ascii="Calibri" w:hAnsi="Calibri" w:cs="Calibri"/>
          <w:noProof/>
          <w:szCs w:val="24"/>
        </w:rPr>
        <w:t>. Available at: https://sloanreview.mit.edu/article/the-microeconomics-of-customer-relationships/ (Accessed: 5 March 2018).</w:t>
      </w:r>
    </w:p>
    <w:p w14:paraId="29FF5F9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lastRenderedPageBreak/>
        <w:t xml:space="preserve">Reichheld, F. F. (2003) ‘The One Number You Need to Grow The One Number You Need to Grow The Idea in Brief The Idea in Practice’, </w:t>
      </w:r>
      <w:r w:rsidRPr="00734178">
        <w:rPr>
          <w:rFonts w:ascii="Calibri" w:hAnsi="Calibri" w:cs="Calibri"/>
          <w:i/>
          <w:iCs/>
          <w:noProof/>
          <w:szCs w:val="24"/>
        </w:rPr>
        <w:t>Harvard Business Review</w:t>
      </w:r>
      <w:r w:rsidRPr="00734178">
        <w:rPr>
          <w:rFonts w:ascii="Calibri" w:hAnsi="Calibri" w:cs="Calibri"/>
          <w:noProof/>
          <w:szCs w:val="24"/>
        </w:rPr>
        <w:t>. Available at: www.hbr.org (Accessed: 4 April 2018).</w:t>
      </w:r>
    </w:p>
    <w:p w14:paraId="45022168"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Richards, D. </w:t>
      </w:r>
      <w:r w:rsidRPr="00734178">
        <w:rPr>
          <w:rFonts w:ascii="Calibri" w:hAnsi="Calibri" w:cs="Calibri"/>
          <w:i/>
          <w:iCs/>
          <w:noProof/>
          <w:szCs w:val="24"/>
        </w:rPr>
        <w:t>et al.</w:t>
      </w:r>
      <w:r w:rsidRPr="00734178">
        <w:rPr>
          <w:rFonts w:ascii="Calibri" w:hAnsi="Calibri" w:cs="Calibri"/>
          <w:noProof/>
          <w:szCs w:val="24"/>
        </w:rPr>
        <w:t xml:space="preserve"> (2014) ‘Internet-delivered treatment: its potential as a low-intensity community intervention for adults with symptoms of depression: protocol for a randomized controlled trial.’, </w:t>
      </w:r>
      <w:r w:rsidRPr="00734178">
        <w:rPr>
          <w:rFonts w:ascii="Calibri" w:hAnsi="Calibri" w:cs="Calibri"/>
          <w:i/>
          <w:iCs/>
          <w:noProof/>
          <w:szCs w:val="24"/>
        </w:rPr>
        <w:t>BMC psychiatry</w:t>
      </w:r>
      <w:r w:rsidRPr="00734178">
        <w:rPr>
          <w:rFonts w:ascii="Calibri" w:hAnsi="Calibri" w:cs="Calibri"/>
          <w:noProof/>
          <w:szCs w:val="24"/>
        </w:rPr>
        <w:t>, 14, p. 147. doi: 10.1186/1471-244X-14-147.</w:t>
      </w:r>
    </w:p>
    <w:p w14:paraId="7DC8638D"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Richards, D. </w:t>
      </w:r>
      <w:r w:rsidRPr="00734178">
        <w:rPr>
          <w:rFonts w:ascii="Calibri" w:hAnsi="Calibri" w:cs="Calibri"/>
          <w:i/>
          <w:iCs/>
          <w:noProof/>
          <w:szCs w:val="24"/>
        </w:rPr>
        <w:t>et al.</w:t>
      </w:r>
      <w:r w:rsidRPr="00734178">
        <w:rPr>
          <w:rFonts w:ascii="Calibri" w:hAnsi="Calibri" w:cs="Calibri"/>
          <w:noProof/>
          <w:szCs w:val="24"/>
        </w:rPr>
        <w:t xml:space="preserve"> (2015) ‘A randomized controlled trial of an internet-delivered treatment: Its potential as a low-intensity community intervention for adults with symptoms of depression’, </w:t>
      </w:r>
      <w:r w:rsidRPr="00734178">
        <w:rPr>
          <w:rFonts w:ascii="Calibri" w:hAnsi="Calibri" w:cs="Calibri"/>
          <w:i/>
          <w:iCs/>
          <w:noProof/>
          <w:szCs w:val="24"/>
        </w:rPr>
        <w:t>Behaviour Research and Therapy</w:t>
      </w:r>
      <w:r w:rsidRPr="00734178">
        <w:rPr>
          <w:rFonts w:ascii="Calibri" w:hAnsi="Calibri" w:cs="Calibri"/>
          <w:noProof/>
          <w:szCs w:val="24"/>
        </w:rPr>
        <w:t>. Elsevier Ltd, 75, pp. 20–31. doi: 10.1016/j.brat.2015.10.005.</w:t>
      </w:r>
    </w:p>
    <w:p w14:paraId="0BA01116"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Richards, D. A. </w:t>
      </w:r>
      <w:r w:rsidRPr="00734178">
        <w:rPr>
          <w:rFonts w:ascii="Calibri" w:hAnsi="Calibri" w:cs="Calibri"/>
          <w:i/>
          <w:iCs/>
          <w:noProof/>
          <w:szCs w:val="24"/>
        </w:rPr>
        <w:t>et al.</w:t>
      </w:r>
      <w:r w:rsidRPr="00734178">
        <w:rPr>
          <w:rFonts w:ascii="Calibri" w:hAnsi="Calibri" w:cs="Calibri"/>
          <w:noProof/>
          <w:szCs w:val="24"/>
        </w:rPr>
        <w:t xml:space="preserve"> (2016) ‘Cost and Outcome of Behavioural Activation versus Cognitive Behavioural Therapy for Depression (COBRA): a randomised, controlled, non-inferiority trial.’, </w:t>
      </w:r>
      <w:r w:rsidRPr="00734178">
        <w:rPr>
          <w:rFonts w:ascii="Calibri" w:hAnsi="Calibri" w:cs="Calibri"/>
          <w:i/>
          <w:iCs/>
          <w:noProof/>
          <w:szCs w:val="24"/>
        </w:rPr>
        <w:t>Lancet (London, England)</w:t>
      </w:r>
      <w:r w:rsidRPr="00734178">
        <w:rPr>
          <w:rFonts w:ascii="Calibri" w:hAnsi="Calibri" w:cs="Calibri"/>
          <w:noProof/>
          <w:szCs w:val="24"/>
        </w:rPr>
        <w:t>. Elsevier, 388(10047), pp. 871–80. doi: 10.1016/S0140-6736(16)31140-0.</w:t>
      </w:r>
    </w:p>
    <w:p w14:paraId="16BC2C0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Richards, D. and Richardson, T. (2012) ‘Computer-based psychological treatments for depression: a systematic review and meta-analysis.’, </w:t>
      </w:r>
      <w:r w:rsidRPr="00734178">
        <w:rPr>
          <w:rFonts w:ascii="Calibri" w:hAnsi="Calibri" w:cs="Calibri"/>
          <w:i/>
          <w:iCs/>
          <w:noProof/>
          <w:szCs w:val="24"/>
        </w:rPr>
        <w:t>Clinical psychology review</w:t>
      </w:r>
      <w:r w:rsidRPr="00734178">
        <w:rPr>
          <w:rFonts w:ascii="Calibri" w:hAnsi="Calibri" w:cs="Calibri"/>
          <w:noProof/>
          <w:szCs w:val="24"/>
        </w:rPr>
        <w:t>. Elsevier Ltd, 32(4), pp. 329–42. doi: 10.1016/j.cpr.2012.02.004.</w:t>
      </w:r>
    </w:p>
    <w:p w14:paraId="4BF18A0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Richardson, R. and Richards, D. A. (2006) ‘Self-help: Towards the next generation’, </w:t>
      </w:r>
      <w:r w:rsidRPr="00734178">
        <w:rPr>
          <w:rFonts w:ascii="Calibri" w:hAnsi="Calibri" w:cs="Calibri"/>
          <w:i/>
          <w:iCs/>
          <w:noProof/>
          <w:szCs w:val="24"/>
        </w:rPr>
        <w:t>Behavioural and Cognitive Psychotherapy</w:t>
      </w:r>
      <w:r w:rsidRPr="00734178">
        <w:rPr>
          <w:rFonts w:ascii="Calibri" w:hAnsi="Calibri" w:cs="Calibri"/>
          <w:noProof/>
          <w:szCs w:val="24"/>
        </w:rPr>
        <w:t>. Cambridge University Press, 34(1), pp. 13–23. doi: 10.1017/S1352465805002481.</w:t>
      </w:r>
    </w:p>
    <w:p w14:paraId="0C4993C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Richardson, T., Stallard, P. and Velleman, S. (2010) ‘Computerised Cognitive Behavioural Therapy for the Prevention and Treatment of Depression and Anxiety in Children and Adolescents: A Systematic Review’, </w:t>
      </w:r>
      <w:r w:rsidRPr="00734178">
        <w:rPr>
          <w:rFonts w:ascii="Calibri" w:hAnsi="Calibri" w:cs="Calibri"/>
          <w:i/>
          <w:iCs/>
          <w:noProof/>
          <w:szCs w:val="24"/>
        </w:rPr>
        <w:t>Clinical Child and Family Psychology Review</w:t>
      </w:r>
      <w:r w:rsidRPr="00734178">
        <w:rPr>
          <w:rFonts w:ascii="Calibri" w:hAnsi="Calibri" w:cs="Calibri"/>
          <w:noProof/>
          <w:szCs w:val="24"/>
        </w:rPr>
        <w:t>. Springer US, 13(3), pp. 275–290. doi: 10.1007/s10567-010-0069-9.</w:t>
      </w:r>
    </w:p>
    <w:p w14:paraId="7DB5F8B9"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Riper, H. </w:t>
      </w:r>
      <w:r w:rsidRPr="00734178">
        <w:rPr>
          <w:rFonts w:ascii="Calibri" w:hAnsi="Calibri" w:cs="Calibri"/>
          <w:i/>
          <w:iCs/>
          <w:noProof/>
          <w:szCs w:val="24"/>
        </w:rPr>
        <w:t>et al.</w:t>
      </w:r>
      <w:r w:rsidRPr="00734178">
        <w:rPr>
          <w:rFonts w:ascii="Calibri" w:hAnsi="Calibri" w:cs="Calibri"/>
          <w:noProof/>
          <w:szCs w:val="24"/>
        </w:rPr>
        <w:t xml:space="preserve"> (2010) ‘Theme issue on e-mental health: a growing field in internet research.’, </w:t>
      </w:r>
      <w:r w:rsidRPr="00734178">
        <w:rPr>
          <w:rFonts w:ascii="Calibri" w:hAnsi="Calibri" w:cs="Calibri"/>
          <w:i/>
          <w:iCs/>
          <w:noProof/>
          <w:szCs w:val="24"/>
        </w:rPr>
        <w:t>Journal of medical Internet research</w:t>
      </w:r>
      <w:r w:rsidRPr="00734178">
        <w:rPr>
          <w:rFonts w:ascii="Calibri" w:hAnsi="Calibri" w:cs="Calibri"/>
          <w:noProof/>
          <w:szCs w:val="24"/>
        </w:rPr>
        <w:t>. JMIR Publications Inc., 12, p. e74. doi: 10.2196/jmir.1713.</w:t>
      </w:r>
    </w:p>
    <w:p w14:paraId="3CC4F480" w14:textId="0D733199" w:rsidR="00B67124"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Ritterband, L. </w:t>
      </w:r>
      <w:r w:rsidRPr="00734178">
        <w:rPr>
          <w:rFonts w:ascii="Calibri" w:hAnsi="Calibri" w:cs="Calibri"/>
          <w:i/>
          <w:iCs/>
          <w:noProof/>
          <w:szCs w:val="24"/>
        </w:rPr>
        <w:t>et al.</w:t>
      </w:r>
      <w:r w:rsidRPr="00734178">
        <w:rPr>
          <w:rFonts w:ascii="Calibri" w:hAnsi="Calibri" w:cs="Calibri"/>
          <w:noProof/>
          <w:szCs w:val="24"/>
        </w:rPr>
        <w:t xml:space="preserve"> (2015) </w:t>
      </w:r>
      <w:r w:rsidRPr="00734178">
        <w:rPr>
          <w:rFonts w:ascii="Calibri" w:hAnsi="Calibri" w:cs="Calibri"/>
          <w:i/>
          <w:iCs/>
          <w:noProof/>
          <w:szCs w:val="24"/>
        </w:rPr>
        <w:t>Treatment credibility and satisfaction with internet interventions</w:t>
      </w:r>
      <w:r w:rsidRPr="00734178">
        <w:rPr>
          <w:rFonts w:ascii="Calibri" w:hAnsi="Calibri" w:cs="Calibri"/>
          <w:noProof/>
          <w:szCs w:val="24"/>
        </w:rPr>
        <w:t>. Oxford University Press. doi: 10.1093/med:psych/9780199590117.003.0022.</w:t>
      </w:r>
    </w:p>
    <w:p w14:paraId="1963AEBD"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Robins, D., Holmes, J. and Stansbury, M. (2010) ‘Consumer health information on the Web: The relationship of visual design and perceptions of credibility’, </w:t>
      </w:r>
      <w:r w:rsidRPr="00734178">
        <w:rPr>
          <w:rFonts w:ascii="Calibri" w:hAnsi="Calibri" w:cs="Calibri"/>
          <w:i/>
          <w:iCs/>
          <w:noProof/>
          <w:szCs w:val="24"/>
        </w:rPr>
        <w:t>Journal of the American Society for Information Science and Technology</w:t>
      </w:r>
      <w:r w:rsidRPr="00734178">
        <w:rPr>
          <w:rFonts w:ascii="Calibri" w:hAnsi="Calibri" w:cs="Calibri"/>
          <w:noProof/>
          <w:szCs w:val="24"/>
        </w:rPr>
        <w:t>. Wiley-Blackwell, 61(1), pp. 13–29. doi: 10.1002/asi.21224.</w:t>
      </w:r>
    </w:p>
    <w:p w14:paraId="20333EE9"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Robinson, P. and Serfaty, M. (2003) ‘Computers, e-mail and therapy in eating disorders’, </w:t>
      </w:r>
      <w:r w:rsidRPr="00734178">
        <w:rPr>
          <w:rFonts w:ascii="Calibri" w:hAnsi="Calibri" w:cs="Calibri"/>
          <w:i/>
          <w:iCs/>
          <w:noProof/>
          <w:szCs w:val="24"/>
        </w:rPr>
        <w:t>European Eating Disorders Review</w:t>
      </w:r>
      <w:r w:rsidRPr="00734178">
        <w:rPr>
          <w:rFonts w:ascii="Calibri" w:hAnsi="Calibri" w:cs="Calibri"/>
          <w:noProof/>
          <w:szCs w:val="24"/>
        </w:rPr>
        <w:t>, 11(3), pp. 210–221. doi: 10.1002/erv.516.</w:t>
      </w:r>
    </w:p>
    <w:p w14:paraId="69013799"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Rogers, C. R. (Carl R. (1995) </w:t>
      </w:r>
      <w:r w:rsidRPr="00734178">
        <w:rPr>
          <w:rFonts w:ascii="Calibri" w:hAnsi="Calibri" w:cs="Calibri"/>
          <w:i/>
          <w:iCs/>
          <w:noProof/>
          <w:szCs w:val="24"/>
        </w:rPr>
        <w:t>A way of being</w:t>
      </w:r>
      <w:r w:rsidRPr="00734178">
        <w:rPr>
          <w:rFonts w:ascii="Calibri" w:hAnsi="Calibri" w:cs="Calibri"/>
          <w:noProof/>
          <w:szCs w:val="24"/>
        </w:rPr>
        <w:t>. Houghton Mifflin Co.</w:t>
      </w:r>
    </w:p>
    <w:p w14:paraId="6EBEE94E" w14:textId="77777777" w:rsid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Rogers, W. a </w:t>
      </w:r>
      <w:r w:rsidRPr="00734178">
        <w:rPr>
          <w:rFonts w:ascii="Calibri" w:hAnsi="Calibri" w:cs="Calibri"/>
          <w:i/>
          <w:iCs/>
          <w:noProof/>
          <w:szCs w:val="24"/>
        </w:rPr>
        <w:t>et al.</w:t>
      </w:r>
      <w:r w:rsidRPr="00734178">
        <w:rPr>
          <w:rFonts w:ascii="Calibri" w:hAnsi="Calibri" w:cs="Calibri"/>
          <w:noProof/>
          <w:szCs w:val="24"/>
        </w:rPr>
        <w:t xml:space="preserve"> (1998) ‘Functional limitations to daily living tasks in the aged: a focus group analysis.’, </w:t>
      </w:r>
      <w:r w:rsidRPr="00734178">
        <w:rPr>
          <w:rFonts w:ascii="Calibri" w:hAnsi="Calibri" w:cs="Calibri"/>
          <w:i/>
          <w:iCs/>
          <w:noProof/>
          <w:szCs w:val="24"/>
        </w:rPr>
        <w:t>Human factors</w:t>
      </w:r>
      <w:r w:rsidRPr="00734178">
        <w:rPr>
          <w:rFonts w:ascii="Calibri" w:hAnsi="Calibri" w:cs="Calibri"/>
          <w:noProof/>
          <w:szCs w:val="24"/>
        </w:rPr>
        <w:t>, 40(1), pp. 111–125. doi: 10.1518/001872098779480613.</w:t>
      </w:r>
    </w:p>
    <w:p w14:paraId="17427448" w14:textId="2C901AB9" w:rsidR="00B67124" w:rsidRPr="00734178" w:rsidRDefault="00B67124" w:rsidP="00734178">
      <w:pPr>
        <w:widowControl w:val="0"/>
        <w:autoSpaceDE w:val="0"/>
        <w:autoSpaceDN w:val="0"/>
        <w:adjustRightInd w:val="0"/>
        <w:rPr>
          <w:rFonts w:ascii="Calibri" w:hAnsi="Calibri" w:cs="Calibri"/>
          <w:noProof/>
          <w:szCs w:val="24"/>
        </w:rPr>
      </w:pPr>
      <w:r w:rsidRPr="00B67124">
        <w:rPr>
          <w:rFonts w:ascii="Calibri" w:hAnsi="Calibri" w:cs="Calibri"/>
          <w:noProof/>
          <w:szCs w:val="24"/>
        </w:rPr>
        <w:t>Rosner B. Fundamentals of Biostatistics. 7th ed. Boston, MA: Brooks/Cole; 2011.</w:t>
      </w:r>
    </w:p>
    <w:p w14:paraId="2D0957CA"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lastRenderedPageBreak/>
        <w:t xml:space="preserve">Salkovskis, P. (1995) ‘Demonstrating specific effects in cognitive and behavioural therapy’, in </w:t>
      </w:r>
      <w:r w:rsidRPr="00734178">
        <w:rPr>
          <w:rFonts w:ascii="Calibri" w:hAnsi="Calibri" w:cs="Calibri"/>
          <w:i/>
          <w:iCs/>
          <w:noProof/>
          <w:szCs w:val="24"/>
        </w:rPr>
        <w:t>Research foundations for psychotherapy practice</w:t>
      </w:r>
      <w:r w:rsidRPr="00734178">
        <w:rPr>
          <w:rFonts w:ascii="Calibri" w:hAnsi="Calibri" w:cs="Calibri"/>
          <w:noProof/>
          <w:szCs w:val="24"/>
        </w:rPr>
        <w:t>, pp. 191–228. doi: 10.1002/jclp.21909.</w:t>
      </w:r>
    </w:p>
    <w:p w14:paraId="5A799D00"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Sauro, J. (2012) </w:t>
      </w:r>
      <w:r w:rsidRPr="00734178">
        <w:rPr>
          <w:rFonts w:ascii="Calibri" w:hAnsi="Calibri" w:cs="Calibri"/>
          <w:i/>
          <w:iCs/>
          <w:noProof/>
          <w:szCs w:val="24"/>
        </w:rPr>
        <w:t>Predicting Task Completion with the System Usability Scale</w:t>
      </w:r>
      <w:r w:rsidRPr="00734178">
        <w:rPr>
          <w:rFonts w:ascii="Calibri" w:hAnsi="Calibri" w:cs="Calibri"/>
          <w:noProof/>
          <w:szCs w:val="24"/>
        </w:rPr>
        <w:t xml:space="preserve">, </w:t>
      </w:r>
      <w:r w:rsidRPr="00734178">
        <w:rPr>
          <w:rFonts w:ascii="Calibri" w:hAnsi="Calibri" w:cs="Calibri"/>
          <w:i/>
          <w:iCs/>
          <w:noProof/>
          <w:szCs w:val="24"/>
        </w:rPr>
        <w:t>MeasuringU</w:t>
      </w:r>
      <w:r w:rsidRPr="00734178">
        <w:rPr>
          <w:rFonts w:ascii="Calibri" w:hAnsi="Calibri" w:cs="Calibri"/>
          <w:noProof/>
          <w:szCs w:val="24"/>
        </w:rPr>
        <w:t>. Available at: https://measuringu.com/task-comp-sus/ (Accessed: 12 June 2018).</w:t>
      </w:r>
    </w:p>
    <w:p w14:paraId="0688E0D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Sauro, J. and Dumas, J. S. (2009) ‘Comparison of three one-question, post-task usability questionnaires’, </w:t>
      </w:r>
      <w:r w:rsidRPr="00734178">
        <w:rPr>
          <w:rFonts w:ascii="Calibri" w:hAnsi="Calibri" w:cs="Calibri"/>
          <w:i/>
          <w:iCs/>
          <w:noProof/>
          <w:szCs w:val="24"/>
        </w:rPr>
        <w:t>Proceedings of the 27th international conference on Human factors in computing systems - CHI 09</w:t>
      </w:r>
      <w:r w:rsidRPr="00734178">
        <w:rPr>
          <w:rFonts w:ascii="Calibri" w:hAnsi="Calibri" w:cs="Calibri"/>
          <w:noProof/>
          <w:szCs w:val="24"/>
        </w:rPr>
        <w:t>, p. 1599. doi: 10.1145/1518701.1518946.</w:t>
      </w:r>
    </w:p>
    <w:p w14:paraId="4C25874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Schleyer, T. K. L., Thyvalikakath, T. P. and Hong, J. (2007) ‘What is user-centered design?’, </w:t>
      </w:r>
      <w:r w:rsidRPr="00734178">
        <w:rPr>
          <w:rFonts w:ascii="Calibri" w:hAnsi="Calibri" w:cs="Calibri"/>
          <w:i/>
          <w:iCs/>
          <w:noProof/>
          <w:szCs w:val="24"/>
        </w:rPr>
        <w:t>Journal of the American Dental Association (1939)</w:t>
      </w:r>
      <w:r w:rsidRPr="00734178">
        <w:rPr>
          <w:rFonts w:ascii="Calibri" w:hAnsi="Calibri" w:cs="Calibri"/>
          <w:noProof/>
          <w:szCs w:val="24"/>
        </w:rPr>
        <w:t>. Elsevier, 138(8), pp. 1081–2. doi: 10.14219/JADA.ARCHIVE.2007.0319.</w:t>
      </w:r>
    </w:p>
    <w:p w14:paraId="56C337A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Schmidt, U. and Wykes, T. (2012) ‘E-mental health – a land of unlimited possibilities’, </w:t>
      </w:r>
      <w:r w:rsidRPr="00734178">
        <w:rPr>
          <w:rFonts w:ascii="Calibri" w:hAnsi="Calibri" w:cs="Calibri"/>
          <w:i/>
          <w:iCs/>
          <w:noProof/>
          <w:szCs w:val="24"/>
        </w:rPr>
        <w:t>Journal of Mental Health</w:t>
      </w:r>
      <w:r w:rsidRPr="00734178">
        <w:rPr>
          <w:rFonts w:ascii="Calibri" w:hAnsi="Calibri" w:cs="Calibri"/>
          <w:noProof/>
          <w:szCs w:val="24"/>
        </w:rPr>
        <w:t>, 21(4), pp. 327–331. doi: 10.3109/09638237.2012.705930.</w:t>
      </w:r>
    </w:p>
    <w:p w14:paraId="1A3A2C5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Schneider, A. J. </w:t>
      </w:r>
      <w:r w:rsidRPr="00734178">
        <w:rPr>
          <w:rFonts w:ascii="Calibri" w:hAnsi="Calibri" w:cs="Calibri"/>
          <w:i/>
          <w:iCs/>
          <w:noProof/>
          <w:szCs w:val="24"/>
        </w:rPr>
        <w:t>et al.</w:t>
      </w:r>
      <w:r w:rsidRPr="00734178">
        <w:rPr>
          <w:rFonts w:ascii="Calibri" w:hAnsi="Calibri" w:cs="Calibri"/>
          <w:noProof/>
          <w:szCs w:val="24"/>
        </w:rPr>
        <w:t xml:space="preserve"> (2005) ‘Internet-guided self-help with or without exposure therapy for phobic and panic disorders: A randomised controlled trial’, </w:t>
      </w:r>
      <w:r w:rsidRPr="00734178">
        <w:rPr>
          <w:rFonts w:ascii="Calibri" w:hAnsi="Calibri" w:cs="Calibri"/>
          <w:i/>
          <w:iCs/>
          <w:noProof/>
          <w:szCs w:val="24"/>
        </w:rPr>
        <w:t>Psychotherapy and Psychosomatics</w:t>
      </w:r>
      <w:r w:rsidRPr="00734178">
        <w:rPr>
          <w:rFonts w:ascii="Calibri" w:hAnsi="Calibri" w:cs="Calibri"/>
          <w:noProof/>
          <w:szCs w:val="24"/>
        </w:rPr>
        <w:t>, 74(3), pp. 154–164. doi: 10.1159/000084000.</w:t>
      </w:r>
    </w:p>
    <w:p w14:paraId="44C34A43"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Schueller, S. M. (2010) ‘Preferences for positive psychology exercises’, </w:t>
      </w:r>
      <w:r w:rsidRPr="00734178">
        <w:rPr>
          <w:rFonts w:ascii="Calibri" w:hAnsi="Calibri" w:cs="Calibri"/>
          <w:i/>
          <w:iCs/>
          <w:noProof/>
          <w:szCs w:val="24"/>
        </w:rPr>
        <w:t>The Journal of Positive Psychology</w:t>
      </w:r>
      <w:r w:rsidRPr="00734178">
        <w:rPr>
          <w:rFonts w:ascii="Calibri" w:hAnsi="Calibri" w:cs="Calibri"/>
          <w:noProof/>
          <w:szCs w:val="24"/>
        </w:rPr>
        <w:t>.  Routledge , 5(3), pp. 192–203. doi: 10.1080/17439761003790948.</w:t>
      </w:r>
    </w:p>
    <w:p w14:paraId="1304CB9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Schumm, J. A. </w:t>
      </w:r>
      <w:r w:rsidRPr="00734178">
        <w:rPr>
          <w:rFonts w:ascii="Calibri" w:hAnsi="Calibri" w:cs="Calibri"/>
          <w:i/>
          <w:iCs/>
          <w:noProof/>
          <w:szCs w:val="24"/>
        </w:rPr>
        <w:t>et al.</w:t>
      </w:r>
      <w:r w:rsidRPr="00734178">
        <w:rPr>
          <w:rFonts w:ascii="Calibri" w:hAnsi="Calibri" w:cs="Calibri"/>
          <w:noProof/>
          <w:szCs w:val="24"/>
        </w:rPr>
        <w:t xml:space="preserve"> (2015) ‘Veteran satisfaction and treatment preferences in response to a posttraumatic stress disorder specialty clinic orientation group’, </w:t>
      </w:r>
      <w:r w:rsidRPr="00734178">
        <w:rPr>
          <w:rFonts w:ascii="Calibri" w:hAnsi="Calibri" w:cs="Calibri"/>
          <w:i/>
          <w:iCs/>
          <w:noProof/>
          <w:szCs w:val="24"/>
        </w:rPr>
        <w:t>Behaviour Research and Therapy</w:t>
      </w:r>
      <w:r w:rsidRPr="00734178">
        <w:rPr>
          <w:rFonts w:ascii="Calibri" w:hAnsi="Calibri" w:cs="Calibri"/>
          <w:noProof/>
          <w:szCs w:val="24"/>
        </w:rPr>
        <w:t>, 69, pp. 75–82. doi: 10.1016/j.brat.2015.04.006.</w:t>
      </w:r>
    </w:p>
    <w:p w14:paraId="3A029B1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Sethi, S. (2013) ‘Treating youth depression and anxiety: A randomised controlled trial examining the efficacy of computerised versus face-to-face cognitive behaviour therapy’, </w:t>
      </w:r>
      <w:r w:rsidRPr="00734178">
        <w:rPr>
          <w:rFonts w:ascii="Calibri" w:hAnsi="Calibri" w:cs="Calibri"/>
          <w:i/>
          <w:iCs/>
          <w:noProof/>
          <w:szCs w:val="24"/>
        </w:rPr>
        <w:t>Australian Psychologist</w:t>
      </w:r>
      <w:r w:rsidRPr="00734178">
        <w:rPr>
          <w:rFonts w:ascii="Calibri" w:hAnsi="Calibri" w:cs="Calibri"/>
          <w:noProof/>
          <w:szCs w:val="24"/>
        </w:rPr>
        <w:t>, 48(4), pp. 249–257. doi: 10.1111/ap.12006.</w:t>
      </w:r>
    </w:p>
    <w:p w14:paraId="1103E51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Smart, A. (2006) ‘A multi-dimensional model of clinical utility’, </w:t>
      </w:r>
      <w:r w:rsidRPr="00734178">
        <w:rPr>
          <w:rFonts w:ascii="Calibri" w:hAnsi="Calibri" w:cs="Calibri"/>
          <w:i/>
          <w:iCs/>
          <w:noProof/>
          <w:szCs w:val="24"/>
        </w:rPr>
        <w:t>International Journal for Quality in Health Care</w:t>
      </w:r>
      <w:r w:rsidRPr="00734178">
        <w:rPr>
          <w:rFonts w:ascii="Calibri" w:hAnsi="Calibri" w:cs="Calibri"/>
          <w:noProof/>
          <w:szCs w:val="24"/>
        </w:rPr>
        <w:t>. Oxford University Press, 18(5), pp. 377–382. doi: 10.1093/intqhc/mzl034.</w:t>
      </w:r>
    </w:p>
    <w:p w14:paraId="5D799919"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Smith, A. (2014) ‘Older Adults and Technology Use’, </w:t>
      </w:r>
      <w:r w:rsidRPr="00734178">
        <w:rPr>
          <w:rFonts w:ascii="Calibri" w:hAnsi="Calibri" w:cs="Calibri"/>
          <w:i/>
          <w:iCs/>
          <w:noProof/>
          <w:szCs w:val="24"/>
        </w:rPr>
        <w:t>Pew Research Center</w:t>
      </w:r>
      <w:r w:rsidRPr="00734178">
        <w:rPr>
          <w:rFonts w:ascii="Calibri" w:hAnsi="Calibri" w:cs="Calibri"/>
          <w:noProof/>
          <w:szCs w:val="24"/>
        </w:rPr>
        <w:t>, (April), pp. 1–26. doi: 202.419.4500.</w:t>
      </w:r>
    </w:p>
    <w:p w14:paraId="1CF32ED3"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Sochting, I., Tsai, M. and Ogrodniczuk, J. (2016) ‘Patients’ perceptions of treatment credibility and their relation to the outcome of group CBT for depression’, </w:t>
      </w:r>
      <w:r w:rsidRPr="00734178">
        <w:rPr>
          <w:rFonts w:ascii="Calibri" w:hAnsi="Calibri" w:cs="Calibri"/>
          <w:i/>
          <w:iCs/>
          <w:noProof/>
          <w:szCs w:val="24"/>
        </w:rPr>
        <w:t>Archives of Psychiatry and Psychotherapy</w:t>
      </w:r>
      <w:r w:rsidRPr="00734178">
        <w:rPr>
          <w:rFonts w:ascii="Calibri" w:hAnsi="Calibri" w:cs="Calibri"/>
          <w:noProof/>
          <w:szCs w:val="24"/>
        </w:rPr>
        <w:t>, 18(4), pp. 7–15. doi: 10.12740/APP/66485.</w:t>
      </w:r>
    </w:p>
    <w:p w14:paraId="385806D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Spek, V., Cuijpers, P., </w:t>
      </w:r>
      <w:r w:rsidRPr="00734178">
        <w:rPr>
          <w:rFonts w:ascii="Calibri" w:hAnsi="Calibri" w:cs="Calibri"/>
          <w:i/>
          <w:iCs/>
          <w:noProof/>
          <w:szCs w:val="24"/>
        </w:rPr>
        <w:t>et al.</w:t>
      </w:r>
      <w:r w:rsidRPr="00734178">
        <w:rPr>
          <w:rFonts w:ascii="Calibri" w:hAnsi="Calibri" w:cs="Calibri"/>
          <w:noProof/>
          <w:szCs w:val="24"/>
        </w:rPr>
        <w:t xml:space="preserve"> (2007) ‘Internet-based cognitive behaviour therapy for symptoms of depression and anxiety: A meta-analysis’, </w:t>
      </w:r>
      <w:r w:rsidRPr="00734178">
        <w:rPr>
          <w:rFonts w:ascii="Calibri" w:hAnsi="Calibri" w:cs="Calibri"/>
          <w:i/>
          <w:iCs/>
          <w:noProof/>
          <w:szCs w:val="24"/>
        </w:rPr>
        <w:t>Psychological Medicine</w:t>
      </w:r>
      <w:r w:rsidRPr="00734178">
        <w:rPr>
          <w:rFonts w:ascii="Calibri" w:hAnsi="Calibri" w:cs="Calibri"/>
          <w:noProof/>
          <w:szCs w:val="24"/>
        </w:rPr>
        <w:t>. Cambridge University Press, 37(3), pp. 319–328. doi: 10.1017/S0033291706008944.</w:t>
      </w:r>
    </w:p>
    <w:p w14:paraId="240BCDD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Spek, V., Nyklíček, I., </w:t>
      </w:r>
      <w:r w:rsidRPr="00734178">
        <w:rPr>
          <w:rFonts w:ascii="Calibri" w:hAnsi="Calibri" w:cs="Calibri"/>
          <w:i/>
          <w:iCs/>
          <w:noProof/>
          <w:szCs w:val="24"/>
        </w:rPr>
        <w:t>et al.</w:t>
      </w:r>
      <w:r w:rsidRPr="00734178">
        <w:rPr>
          <w:rFonts w:ascii="Calibri" w:hAnsi="Calibri" w:cs="Calibri"/>
          <w:noProof/>
          <w:szCs w:val="24"/>
        </w:rPr>
        <w:t xml:space="preserve"> (2007a) ‘Internet-based cognitive behavioural therapy for subthreshold depression </w:t>
      </w:r>
      <w:r w:rsidRPr="00734178">
        <w:rPr>
          <w:rFonts w:ascii="Calibri" w:hAnsi="Calibri" w:cs="Calibri"/>
          <w:noProof/>
          <w:szCs w:val="24"/>
        </w:rPr>
        <w:lastRenderedPageBreak/>
        <w:t xml:space="preserve">in people over 50 years old: A randomized controlled clinical trial’, </w:t>
      </w:r>
      <w:r w:rsidRPr="00734178">
        <w:rPr>
          <w:rFonts w:ascii="Calibri" w:hAnsi="Calibri" w:cs="Calibri"/>
          <w:i/>
          <w:iCs/>
          <w:noProof/>
          <w:szCs w:val="24"/>
        </w:rPr>
        <w:t>Psychological Medicine</w:t>
      </w:r>
      <w:r w:rsidRPr="00734178">
        <w:rPr>
          <w:rFonts w:ascii="Calibri" w:hAnsi="Calibri" w:cs="Calibri"/>
          <w:noProof/>
          <w:szCs w:val="24"/>
        </w:rPr>
        <w:t>, 37(12), pp. 1797–1806. doi: 10.1017/S0033291707000542.</w:t>
      </w:r>
    </w:p>
    <w:p w14:paraId="73E543A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Spek, V., Nyklíček, I., </w:t>
      </w:r>
      <w:r w:rsidRPr="00734178">
        <w:rPr>
          <w:rFonts w:ascii="Calibri" w:hAnsi="Calibri" w:cs="Calibri"/>
          <w:i/>
          <w:iCs/>
          <w:noProof/>
          <w:szCs w:val="24"/>
        </w:rPr>
        <w:t>et al.</w:t>
      </w:r>
      <w:r w:rsidRPr="00734178">
        <w:rPr>
          <w:rFonts w:ascii="Calibri" w:hAnsi="Calibri" w:cs="Calibri"/>
          <w:noProof/>
          <w:szCs w:val="24"/>
        </w:rPr>
        <w:t xml:space="preserve"> (2007b) ‘Internet-based cognitive behavioural therapy for subthreshold depression in people over 50 years old: A randomized controlled clinical trial’, </w:t>
      </w:r>
      <w:r w:rsidRPr="00734178">
        <w:rPr>
          <w:rFonts w:ascii="Calibri" w:hAnsi="Calibri" w:cs="Calibri"/>
          <w:i/>
          <w:iCs/>
          <w:noProof/>
          <w:szCs w:val="24"/>
        </w:rPr>
        <w:t>Psychological Medicine</w:t>
      </w:r>
      <w:r w:rsidRPr="00734178">
        <w:rPr>
          <w:rFonts w:ascii="Calibri" w:hAnsi="Calibri" w:cs="Calibri"/>
          <w:noProof/>
          <w:szCs w:val="24"/>
        </w:rPr>
        <w:t>, 37(12), pp. 1797–1806. doi: 10.1017/S0033291707000542.</w:t>
      </w:r>
    </w:p>
    <w:p w14:paraId="3D60D8C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Spek, V. </w:t>
      </w:r>
      <w:r w:rsidRPr="00734178">
        <w:rPr>
          <w:rFonts w:ascii="Calibri" w:hAnsi="Calibri" w:cs="Calibri"/>
          <w:i/>
          <w:iCs/>
          <w:noProof/>
          <w:szCs w:val="24"/>
        </w:rPr>
        <w:t>et al.</w:t>
      </w:r>
      <w:r w:rsidRPr="00734178">
        <w:rPr>
          <w:rFonts w:ascii="Calibri" w:hAnsi="Calibri" w:cs="Calibri"/>
          <w:noProof/>
          <w:szCs w:val="24"/>
        </w:rPr>
        <w:t xml:space="preserve"> (2008) ‘One-year follow-up results of a randomized controlled clinical trial on internet-based cognitive behavioural therapy for subthreshold depression in people over 50 years’, </w:t>
      </w:r>
      <w:r w:rsidRPr="00734178">
        <w:rPr>
          <w:rFonts w:ascii="Calibri" w:hAnsi="Calibri" w:cs="Calibri"/>
          <w:i/>
          <w:iCs/>
          <w:noProof/>
          <w:szCs w:val="24"/>
        </w:rPr>
        <w:t>Psychological Medicine</w:t>
      </w:r>
      <w:r w:rsidRPr="00734178">
        <w:rPr>
          <w:rFonts w:ascii="Calibri" w:hAnsi="Calibri" w:cs="Calibri"/>
          <w:noProof/>
          <w:szCs w:val="24"/>
        </w:rPr>
        <w:t>, 38(05), pp. 635–639. doi: 10.1017/S0033291707002590.</w:t>
      </w:r>
    </w:p>
    <w:p w14:paraId="4769EB7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Spek, V. </w:t>
      </w:r>
      <w:r w:rsidRPr="00734178">
        <w:rPr>
          <w:rFonts w:ascii="Calibri" w:hAnsi="Calibri" w:cs="Calibri"/>
          <w:i/>
          <w:iCs/>
          <w:noProof/>
          <w:szCs w:val="24"/>
        </w:rPr>
        <w:t>et al.</w:t>
      </w:r>
      <w:r w:rsidRPr="00734178">
        <w:rPr>
          <w:rFonts w:ascii="Calibri" w:hAnsi="Calibri" w:cs="Calibri"/>
          <w:noProof/>
          <w:szCs w:val="24"/>
        </w:rPr>
        <w:t xml:space="preserve"> (2008) ‘Predictors of outcome of group and internet-based cognitive behavior therapy’, </w:t>
      </w:r>
      <w:r w:rsidRPr="00734178">
        <w:rPr>
          <w:rFonts w:ascii="Calibri" w:hAnsi="Calibri" w:cs="Calibri"/>
          <w:i/>
          <w:iCs/>
          <w:noProof/>
          <w:szCs w:val="24"/>
        </w:rPr>
        <w:t>Journal of Affective Disorders</w:t>
      </w:r>
      <w:r w:rsidRPr="00734178">
        <w:rPr>
          <w:rFonts w:ascii="Calibri" w:hAnsi="Calibri" w:cs="Calibri"/>
          <w:noProof/>
          <w:szCs w:val="24"/>
        </w:rPr>
        <w:t>, 105(1–3), pp. 137–145. doi: 10.1016/j.jad.2007.05.001.</w:t>
      </w:r>
    </w:p>
    <w:p w14:paraId="457A260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Spitzer, R. L. </w:t>
      </w:r>
      <w:r w:rsidRPr="00734178">
        <w:rPr>
          <w:rFonts w:ascii="Calibri" w:hAnsi="Calibri" w:cs="Calibri"/>
          <w:i/>
          <w:iCs/>
          <w:noProof/>
          <w:szCs w:val="24"/>
        </w:rPr>
        <w:t>et al.</w:t>
      </w:r>
      <w:r w:rsidRPr="00734178">
        <w:rPr>
          <w:rFonts w:ascii="Calibri" w:hAnsi="Calibri" w:cs="Calibri"/>
          <w:noProof/>
          <w:szCs w:val="24"/>
        </w:rPr>
        <w:t xml:space="preserve"> (2006) ‘A brief measure for assessing generalized anxiety disorder: The GAD-7’, </w:t>
      </w:r>
      <w:r w:rsidRPr="00734178">
        <w:rPr>
          <w:rFonts w:ascii="Calibri" w:hAnsi="Calibri" w:cs="Calibri"/>
          <w:i/>
          <w:iCs/>
          <w:noProof/>
          <w:szCs w:val="24"/>
        </w:rPr>
        <w:t>Archives of Internal Medicine</w:t>
      </w:r>
      <w:r w:rsidRPr="00734178">
        <w:rPr>
          <w:rFonts w:ascii="Calibri" w:hAnsi="Calibri" w:cs="Calibri"/>
          <w:noProof/>
          <w:szCs w:val="24"/>
        </w:rPr>
        <w:t>. American Medical Association, 166(10), pp. 1092–1097. doi: 10.1001/archinte.166.10.1092.</w:t>
      </w:r>
    </w:p>
    <w:p w14:paraId="7A114AB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Spurgeon, J. A. and Wright, J. H. (2010) ‘Computer-assisted cognitive-behavioral therapy’, </w:t>
      </w:r>
      <w:r w:rsidRPr="00734178">
        <w:rPr>
          <w:rFonts w:ascii="Calibri" w:hAnsi="Calibri" w:cs="Calibri"/>
          <w:i/>
          <w:iCs/>
          <w:noProof/>
          <w:szCs w:val="24"/>
        </w:rPr>
        <w:t>Current Psychiatry Reports</w:t>
      </w:r>
      <w:r w:rsidRPr="00734178">
        <w:rPr>
          <w:rFonts w:ascii="Calibri" w:hAnsi="Calibri" w:cs="Calibri"/>
          <w:noProof/>
          <w:szCs w:val="24"/>
        </w:rPr>
        <w:t>, 12(6), pp. 547–552. doi: 10.1007/s11920-010-0152-4.</w:t>
      </w:r>
    </w:p>
    <w:p w14:paraId="046CDBA0"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Stallings, W. (1974) ‘William T. Powers. Behavior: The control of perception. Chicago: Aldine publishing co., 1973, 296 pp’, </w:t>
      </w:r>
      <w:r w:rsidRPr="00734178">
        <w:rPr>
          <w:rFonts w:ascii="Calibri" w:hAnsi="Calibri" w:cs="Calibri"/>
          <w:i/>
          <w:iCs/>
          <w:noProof/>
          <w:szCs w:val="24"/>
        </w:rPr>
        <w:t>Behavioral Science</w:t>
      </w:r>
      <w:r w:rsidRPr="00734178">
        <w:rPr>
          <w:rFonts w:ascii="Calibri" w:hAnsi="Calibri" w:cs="Calibri"/>
          <w:noProof/>
          <w:szCs w:val="24"/>
        </w:rPr>
        <w:t>. John Wiley &amp; Sons, Ltd., 19(6), pp. 415–417. doi: 10.1002/bs.3830190609.</w:t>
      </w:r>
    </w:p>
    <w:p w14:paraId="5F324DF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Steffens, D. C. </w:t>
      </w:r>
      <w:r w:rsidRPr="00734178">
        <w:rPr>
          <w:rFonts w:ascii="Calibri" w:hAnsi="Calibri" w:cs="Calibri"/>
          <w:i/>
          <w:iCs/>
          <w:noProof/>
          <w:szCs w:val="24"/>
        </w:rPr>
        <w:t>et al.</w:t>
      </w:r>
      <w:r w:rsidRPr="00734178">
        <w:rPr>
          <w:rFonts w:ascii="Calibri" w:hAnsi="Calibri" w:cs="Calibri"/>
          <w:noProof/>
          <w:szCs w:val="24"/>
        </w:rPr>
        <w:t xml:space="preserve"> (2009) ‘Prevalence of depression among older Americans: the Aging, Demographics and Memory Study.’, </w:t>
      </w:r>
      <w:r w:rsidRPr="00734178">
        <w:rPr>
          <w:rFonts w:ascii="Calibri" w:hAnsi="Calibri" w:cs="Calibri"/>
          <w:i/>
          <w:iCs/>
          <w:noProof/>
          <w:szCs w:val="24"/>
        </w:rPr>
        <w:t>International psychogeriatrics / IPA</w:t>
      </w:r>
      <w:r w:rsidRPr="00734178">
        <w:rPr>
          <w:rFonts w:ascii="Calibri" w:hAnsi="Calibri" w:cs="Calibri"/>
          <w:noProof/>
          <w:szCs w:val="24"/>
        </w:rPr>
        <w:t>, 21(5), pp. 879–888. doi: 10.1017/S1041610209990044.</w:t>
      </w:r>
    </w:p>
    <w:p w14:paraId="27E6939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Stoyanov, S. R. </w:t>
      </w:r>
      <w:r w:rsidRPr="00734178">
        <w:rPr>
          <w:rFonts w:ascii="Calibri" w:hAnsi="Calibri" w:cs="Calibri"/>
          <w:i/>
          <w:iCs/>
          <w:noProof/>
          <w:szCs w:val="24"/>
        </w:rPr>
        <w:t>et al.</w:t>
      </w:r>
      <w:r w:rsidRPr="00734178">
        <w:rPr>
          <w:rFonts w:ascii="Calibri" w:hAnsi="Calibri" w:cs="Calibri"/>
          <w:noProof/>
          <w:szCs w:val="24"/>
        </w:rPr>
        <w:t xml:space="preserve"> (2015) ‘Mobile App Rating Scale: A New Tool for Assessing the Quality of Health Mobile Apps’, </w:t>
      </w:r>
      <w:r w:rsidRPr="00734178">
        <w:rPr>
          <w:rFonts w:ascii="Calibri" w:hAnsi="Calibri" w:cs="Calibri"/>
          <w:i/>
          <w:iCs/>
          <w:noProof/>
          <w:szCs w:val="24"/>
        </w:rPr>
        <w:t>JMIR mHealth and uHealth</w:t>
      </w:r>
      <w:r w:rsidRPr="00734178">
        <w:rPr>
          <w:rFonts w:ascii="Calibri" w:hAnsi="Calibri" w:cs="Calibri"/>
          <w:noProof/>
          <w:szCs w:val="24"/>
        </w:rPr>
        <w:t>, 3(1), p. e27. doi: 10.2196/mhealth.3422.</w:t>
      </w:r>
    </w:p>
    <w:p w14:paraId="53B9CA6C"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Suurmond, R., van Rhee, H. and Hak, T. (2017) ‘Introduction, comparison, and validation of Meta-Essentials: A free and simple tool for meta-analysis’, </w:t>
      </w:r>
      <w:r w:rsidRPr="00734178">
        <w:rPr>
          <w:rFonts w:ascii="Calibri" w:hAnsi="Calibri" w:cs="Calibri"/>
          <w:i/>
          <w:iCs/>
          <w:noProof/>
          <w:szCs w:val="24"/>
        </w:rPr>
        <w:t>Research Synthesis Methods</w:t>
      </w:r>
      <w:r w:rsidRPr="00734178">
        <w:rPr>
          <w:rFonts w:ascii="Calibri" w:hAnsi="Calibri" w:cs="Calibri"/>
          <w:noProof/>
          <w:szCs w:val="24"/>
        </w:rPr>
        <w:t>, 8(4), pp. 537–553. doi: 10.1002/jrsm.1260.</w:t>
      </w:r>
    </w:p>
    <w:p w14:paraId="199769A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The National Collaborating Centre for Mental Health (2018) ‘The Improving Access to Psychological Therapies Manual’. Available at: https://www.england.nhs.uk/wp-content/uploads/2018/06/the-iapt-manual.pdf (Accessed: 13 July 2018).</w:t>
      </w:r>
    </w:p>
    <w:p w14:paraId="60BCEC08"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Titov, N. (2007) ‘Status of computerized cognitive behavioural therapy for adults’, </w:t>
      </w:r>
      <w:r w:rsidRPr="00734178">
        <w:rPr>
          <w:rFonts w:ascii="Calibri" w:hAnsi="Calibri" w:cs="Calibri"/>
          <w:i/>
          <w:iCs/>
          <w:noProof/>
          <w:szCs w:val="24"/>
        </w:rPr>
        <w:t>Australian and New Zealand Journal of Psychiatry</w:t>
      </w:r>
      <w:r w:rsidRPr="00734178">
        <w:rPr>
          <w:rFonts w:ascii="Calibri" w:hAnsi="Calibri" w:cs="Calibri"/>
          <w:noProof/>
          <w:szCs w:val="24"/>
        </w:rPr>
        <w:t>, 41(2), pp. 95–114. doi: 10.1080/00048670601109873.</w:t>
      </w:r>
    </w:p>
    <w:p w14:paraId="4AB7C9D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Titov, N. </w:t>
      </w:r>
      <w:r w:rsidRPr="00734178">
        <w:rPr>
          <w:rFonts w:ascii="Calibri" w:hAnsi="Calibri" w:cs="Calibri"/>
          <w:i/>
          <w:iCs/>
          <w:noProof/>
          <w:szCs w:val="24"/>
        </w:rPr>
        <w:t>et al.</w:t>
      </w:r>
      <w:r w:rsidRPr="00734178">
        <w:rPr>
          <w:rFonts w:ascii="Calibri" w:hAnsi="Calibri" w:cs="Calibri"/>
          <w:noProof/>
          <w:szCs w:val="24"/>
        </w:rPr>
        <w:t xml:space="preserve"> (2009) ‘An RCT Comparing Effect of Two Types of Support on Severity of Symptoms for People Completing Internet-Based Cognitive Behaviour Therapy for Social Phobia’, </w:t>
      </w:r>
      <w:r w:rsidRPr="00734178">
        <w:rPr>
          <w:rFonts w:ascii="Calibri" w:hAnsi="Calibri" w:cs="Calibri"/>
          <w:i/>
          <w:iCs/>
          <w:noProof/>
          <w:szCs w:val="24"/>
        </w:rPr>
        <w:t>Australian &amp; New Zealand Journal of Psychiatry</w:t>
      </w:r>
      <w:r w:rsidRPr="00734178">
        <w:rPr>
          <w:rFonts w:ascii="Calibri" w:hAnsi="Calibri" w:cs="Calibri"/>
          <w:noProof/>
          <w:szCs w:val="24"/>
        </w:rPr>
        <w:t>. SAGE PublicationsSage UK: London, England, 43(10), pp. 920–926. doi: 10.1080/00048670903179228.</w:t>
      </w:r>
    </w:p>
    <w:p w14:paraId="07C8371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lastRenderedPageBreak/>
        <w:t xml:space="preserve">Titov, N. </w:t>
      </w:r>
      <w:r w:rsidRPr="00734178">
        <w:rPr>
          <w:rFonts w:ascii="Calibri" w:hAnsi="Calibri" w:cs="Calibri"/>
          <w:i/>
          <w:iCs/>
          <w:noProof/>
          <w:szCs w:val="24"/>
        </w:rPr>
        <w:t>et al.</w:t>
      </w:r>
      <w:r w:rsidRPr="00734178">
        <w:rPr>
          <w:rFonts w:ascii="Calibri" w:hAnsi="Calibri" w:cs="Calibri"/>
          <w:noProof/>
          <w:szCs w:val="24"/>
        </w:rPr>
        <w:t xml:space="preserve"> (2010) ‘Internet Treatment for Depression: A Randomized Controlled Trial Comparing Clinician vs. Technician Assistance’, </w:t>
      </w:r>
      <w:r w:rsidRPr="00734178">
        <w:rPr>
          <w:rFonts w:ascii="Calibri" w:hAnsi="Calibri" w:cs="Calibri"/>
          <w:i/>
          <w:iCs/>
          <w:noProof/>
          <w:szCs w:val="24"/>
        </w:rPr>
        <w:t>PLoS ONE</w:t>
      </w:r>
      <w:r w:rsidRPr="00734178">
        <w:rPr>
          <w:rFonts w:ascii="Calibri" w:hAnsi="Calibri" w:cs="Calibri"/>
          <w:noProof/>
          <w:szCs w:val="24"/>
        </w:rPr>
        <w:t>. Edited by A. V. García. Public Library of Science, 5(6), p. e10939. doi: 10.1371/journal.pone.0010939.</w:t>
      </w:r>
    </w:p>
    <w:p w14:paraId="26F76233"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Titov, N. </w:t>
      </w:r>
      <w:r w:rsidRPr="00734178">
        <w:rPr>
          <w:rFonts w:ascii="Calibri" w:hAnsi="Calibri" w:cs="Calibri"/>
          <w:i/>
          <w:iCs/>
          <w:noProof/>
          <w:szCs w:val="24"/>
        </w:rPr>
        <w:t>et al.</w:t>
      </w:r>
      <w:r w:rsidRPr="00734178">
        <w:rPr>
          <w:rFonts w:ascii="Calibri" w:hAnsi="Calibri" w:cs="Calibri"/>
          <w:noProof/>
          <w:szCs w:val="24"/>
        </w:rPr>
        <w:t xml:space="preserve"> (2015) ‘Clinical and Cost-Effectiveness of Therapist-Guided Internet-Delivered Cognitive Behavior Therapy for Older Adults With Symptoms of Depression: A Randomized Controlled Trial’, </w:t>
      </w:r>
      <w:r w:rsidRPr="00734178">
        <w:rPr>
          <w:rFonts w:ascii="Calibri" w:hAnsi="Calibri" w:cs="Calibri"/>
          <w:i/>
          <w:iCs/>
          <w:noProof/>
          <w:szCs w:val="24"/>
        </w:rPr>
        <w:t>Behavior Therapy</w:t>
      </w:r>
      <w:r w:rsidRPr="00734178">
        <w:rPr>
          <w:rFonts w:ascii="Calibri" w:hAnsi="Calibri" w:cs="Calibri"/>
          <w:noProof/>
          <w:szCs w:val="24"/>
        </w:rPr>
        <w:t>. Elsevier B.V., 46(2), pp. 193–205. doi: 10.1016/j.beth.2014.09.008.</w:t>
      </w:r>
    </w:p>
    <w:p w14:paraId="7B7F125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Trollor, J. N. </w:t>
      </w:r>
      <w:r w:rsidRPr="00734178">
        <w:rPr>
          <w:rFonts w:ascii="Calibri" w:hAnsi="Calibri" w:cs="Calibri"/>
          <w:i/>
          <w:iCs/>
          <w:noProof/>
          <w:szCs w:val="24"/>
        </w:rPr>
        <w:t>et al.</w:t>
      </w:r>
      <w:r w:rsidRPr="00734178">
        <w:rPr>
          <w:rFonts w:ascii="Calibri" w:hAnsi="Calibri" w:cs="Calibri"/>
          <w:noProof/>
          <w:szCs w:val="24"/>
        </w:rPr>
        <w:t xml:space="preserve"> (2007) ‘Prevalence of Mental Disorders in the Elderly: The Australian National Mental Health and Well-Being Survey’, </w:t>
      </w:r>
      <w:r w:rsidRPr="00734178">
        <w:rPr>
          <w:rFonts w:ascii="Calibri" w:hAnsi="Calibri" w:cs="Calibri"/>
          <w:i/>
          <w:iCs/>
          <w:noProof/>
          <w:szCs w:val="24"/>
        </w:rPr>
        <w:t>The American Journal of Geriatric Psychiatry</w:t>
      </w:r>
      <w:r w:rsidRPr="00734178">
        <w:rPr>
          <w:rFonts w:ascii="Calibri" w:hAnsi="Calibri" w:cs="Calibri"/>
          <w:noProof/>
          <w:szCs w:val="24"/>
        </w:rPr>
        <w:t>, 15(6), pp. 455–466. doi: 10.1097/JGP.0b013e3180590ba9.</w:t>
      </w:r>
    </w:p>
    <w:p w14:paraId="54F0AA2A"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Turpin, G. (2010) ‘Good practice guidance on the use of self-help materials within IAPT services’, March(March), pp. 1–39. doi: 10.1111/etap.12067.</w:t>
      </w:r>
    </w:p>
    <w:p w14:paraId="2FBCFD9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Twomey, C. </w:t>
      </w:r>
      <w:r w:rsidRPr="00734178">
        <w:rPr>
          <w:rFonts w:ascii="Calibri" w:hAnsi="Calibri" w:cs="Calibri"/>
          <w:i/>
          <w:iCs/>
          <w:noProof/>
          <w:szCs w:val="24"/>
        </w:rPr>
        <w:t>et al.</w:t>
      </w:r>
      <w:r w:rsidRPr="00734178">
        <w:rPr>
          <w:rFonts w:ascii="Calibri" w:hAnsi="Calibri" w:cs="Calibri"/>
          <w:noProof/>
          <w:szCs w:val="24"/>
        </w:rPr>
        <w:t xml:space="preserve"> (2014) ‘A randomized controlled trial of the computerized CBT programme, MoodGYM, for public mental health service users waiting for interventions’, </w:t>
      </w:r>
      <w:r w:rsidRPr="00734178">
        <w:rPr>
          <w:rFonts w:ascii="Calibri" w:hAnsi="Calibri" w:cs="Calibri"/>
          <w:i/>
          <w:iCs/>
          <w:noProof/>
          <w:szCs w:val="24"/>
        </w:rPr>
        <w:t>British Journal of Clinical Psychology</w:t>
      </w:r>
      <w:r w:rsidRPr="00734178">
        <w:rPr>
          <w:rFonts w:ascii="Calibri" w:hAnsi="Calibri" w:cs="Calibri"/>
          <w:noProof/>
          <w:szCs w:val="24"/>
        </w:rPr>
        <w:t>, 53(4), pp. 433–450. doi: 10.1111/bjc.12055.</w:t>
      </w:r>
    </w:p>
    <w:p w14:paraId="0058D4F6"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U3A (2018) </w:t>
      </w:r>
      <w:r w:rsidRPr="00734178">
        <w:rPr>
          <w:rFonts w:ascii="Calibri" w:hAnsi="Calibri" w:cs="Calibri"/>
          <w:i/>
          <w:iCs/>
          <w:noProof/>
          <w:szCs w:val="24"/>
        </w:rPr>
        <w:t>U3A - About</w:t>
      </w:r>
      <w:r w:rsidRPr="00734178">
        <w:rPr>
          <w:rFonts w:ascii="Calibri" w:hAnsi="Calibri" w:cs="Calibri"/>
          <w:noProof/>
          <w:szCs w:val="24"/>
        </w:rPr>
        <w:t xml:space="preserve">, </w:t>
      </w:r>
      <w:r w:rsidRPr="00734178">
        <w:rPr>
          <w:rFonts w:ascii="Calibri" w:hAnsi="Calibri" w:cs="Calibri"/>
          <w:i/>
          <w:iCs/>
          <w:noProof/>
          <w:szCs w:val="24"/>
        </w:rPr>
        <w:t>U3A</w:t>
      </w:r>
      <w:r w:rsidRPr="00734178">
        <w:rPr>
          <w:rFonts w:ascii="Calibri" w:hAnsi="Calibri" w:cs="Calibri"/>
          <w:noProof/>
          <w:szCs w:val="24"/>
        </w:rPr>
        <w:t>. Available at: https://u3a.org.uk/about (Accessed: 26 October 2018).</w:t>
      </w:r>
    </w:p>
    <w:p w14:paraId="6AEE8BB3"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Vaportzis, E., Clausen, M. G. and Gow, A. J. (2017) ‘Older Adults Perceptions of Technology and Barriers to Interacting with Tablet Computers: A Focus Group Study.’, </w:t>
      </w:r>
      <w:r w:rsidRPr="00734178">
        <w:rPr>
          <w:rFonts w:ascii="Calibri" w:hAnsi="Calibri" w:cs="Calibri"/>
          <w:i/>
          <w:iCs/>
          <w:noProof/>
          <w:szCs w:val="24"/>
        </w:rPr>
        <w:t>Frontiers in psychology</w:t>
      </w:r>
      <w:r w:rsidRPr="00734178">
        <w:rPr>
          <w:rFonts w:ascii="Calibri" w:hAnsi="Calibri" w:cs="Calibri"/>
          <w:noProof/>
          <w:szCs w:val="24"/>
        </w:rPr>
        <w:t>. Frontiers Media SA, 8, p. 1687. doi: 10.3389/fpsyg.2017.01687.</w:t>
      </w:r>
    </w:p>
    <w:p w14:paraId="5C7243E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Virzi, R. A. (1990) ‘Streamlining the Design Process: Running Fewer Subjects’, </w:t>
      </w:r>
      <w:r w:rsidRPr="00734178">
        <w:rPr>
          <w:rFonts w:ascii="Calibri" w:hAnsi="Calibri" w:cs="Calibri"/>
          <w:i/>
          <w:iCs/>
          <w:noProof/>
          <w:szCs w:val="24"/>
        </w:rPr>
        <w:t>Proceedings of the Human Factors and Ergonomics Society Annual Meeting</w:t>
      </w:r>
      <w:r w:rsidRPr="00734178">
        <w:rPr>
          <w:rFonts w:ascii="Calibri" w:hAnsi="Calibri" w:cs="Calibri"/>
          <w:noProof/>
          <w:szCs w:val="24"/>
        </w:rPr>
        <w:t>. SAGE Publications, 34(4), pp. 291–294. doi: 10.1177/154193129003400411.</w:t>
      </w:r>
    </w:p>
    <w:p w14:paraId="26A47A3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Virzi, R. A. (1992) ‘Refining the test phase of usability evaluation: how many subjects is enough?’, </w:t>
      </w:r>
      <w:r w:rsidRPr="00734178">
        <w:rPr>
          <w:rFonts w:ascii="Calibri" w:hAnsi="Calibri" w:cs="Calibri"/>
          <w:i/>
          <w:iCs/>
          <w:noProof/>
          <w:szCs w:val="24"/>
        </w:rPr>
        <w:t>Human Factors</w:t>
      </w:r>
      <w:r w:rsidRPr="00734178">
        <w:rPr>
          <w:rFonts w:ascii="Calibri" w:hAnsi="Calibri" w:cs="Calibri"/>
          <w:noProof/>
          <w:szCs w:val="24"/>
        </w:rPr>
        <w:t>. Human Factors &amp; Ergonomics Society, Inc., 34(4), pp. 457–468. Available at: http://dl.acm.org/citation.cfm?id=141691.141700 (Accessed: 5 February 2016).</w:t>
      </w:r>
    </w:p>
    <w:p w14:paraId="0EF0924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Vis, C. </w:t>
      </w:r>
      <w:r w:rsidRPr="00734178">
        <w:rPr>
          <w:rFonts w:ascii="Calibri" w:hAnsi="Calibri" w:cs="Calibri"/>
          <w:i/>
          <w:iCs/>
          <w:noProof/>
          <w:szCs w:val="24"/>
        </w:rPr>
        <w:t>et al.</w:t>
      </w:r>
      <w:r w:rsidRPr="00734178">
        <w:rPr>
          <w:rFonts w:ascii="Calibri" w:hAnsi="Calibri" w:cs="Calibri"/>
          <w:noProof/>
          <w:szCs w:val="24"/>
        </w:rPr>
        <w:t xml:space="preserve"> (2015) ‘Implementing and up-scaling evidence-based eMental health in Europe: The study protocol for the MasterMind project’, </w:t>
      </w:r>
      <w:r w:rsidRPr="00734178">
        <w:rPr>
          <w:rFonts w:ascii="Calibri" w:hAnsi="Calibri" w:cs="Calibri"/>
          <w:i/>
          <w:iCs/>
          <w:noProof/>
          <w:szCs w:val="24"/>
        </w:rPr>
        <w:t>Internet Interventions</w:t>
      </w:r>
      <w:r w:rsidRPr="00734178">
        <w:rPr>
          <w:rFonts w:ascii="Calibri" w:hAnsi="Calibri" w:cs="Calibri"/>
          <w:noProof/>
          <w:szCs w:val="24"/>
        </w:rPr>
        <w:t>. Elsevier, 2(4), pp. 399–409. doi: 10.1016/J.INVENT.2015.10.002.</w:t>
      </w:r>
    </w:p>
    <w:p w14:paraId="3E278308"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Vos, T.,  et al. (2013) ‘Global, regional, and national incidence, prevalence, and years lived with disability for 301 acute and chronic diseases and injuries in 188 countries, 1990-2013: a systematic analysis for the Global Burden of Disease Study 2013.’, </w:t>
      </w:r>
      <w:r w:rsidRPr="00734178">
        <w:rPr>
          <w:rFonts w:ascii="Calibri" w:hAnsi="Calibri" w:cs="Calibri"/>
          <w:i/>
          <w:iCs/>
          <w:noProof/>
          <w:szCs w:val="24"/>
        </w:rPr>
        <w:t>Lancet (London, England)</w:t>
      </w:r>
      <w:r w:rsidRPr="00734178">
        <w:rPr>
          <w:rFonts w:ascii="Calibri" w:hAnsi="Calibri" w:cs="Calibri"/>
          <w:noProof/>
          <w:szCs w:val="24"/>
        </w:rPr>
        <w:t>. Elsevier, 386(9995), pp. 743–800. doi: 10.1016/S0140-6736(15)60692-4.</w:t>
      </w:r>
    </w:p>
    <w:p w14:paraId="0CDAA55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Wagner, N., Hassanein, K. and Head, M. (2010) ‘Computer use by older adults: A multi-disciplinary review’, </w:t>
      </w:r>
      <w:r w:rsidRPr="00734178">
        <w:rPr>
          <w:rFonts w:ascii="Calibri" w:hAnsi="Calibri" w:cs="Calibri"/>
          <w:i/>
          <w:iCs/>
          <w:noProof/>
          <w:szCs w:val="24"/>
        </w:rPr>
        <w:t>Computers in Human Behavior</w:t>
      </w:r>
      <w:r w:rsidRPr="00734178">
        <w:rPr>
          <w:rFonts w:ascii="Calibri" w:hAnsi="Calibri" w:cs="Calibri"/>
          <w:noProof/>
          <w:szCs w:val="24"/>
        </w:rPr>
        <w:t>. Pergamon, 26(5), pp. 870–882. doi: 10.1016/J.CHB.2010.03.029.</w:t>
      </w:r>
    </w:p>
    <w:p w14:paraId="3B050558"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lastRenderedPageBreak/>
        <w:t xml:space="preserve">Waller, R. and Gilbody, S. (2009) ‘Barriers to the uptake of computerized cognitive behavioural therapy: a systematic review of the quantitative and qualitative evidence’, </w:t>
      </w:r>
      <w:r w:rsidRPr="00734178">
        <w:rPr>
          <w:rFonts w:ascii="Calibri" w:hAnsi="Calibri" w:cs="Calibri"/>
          <w:i/>
          <w:iCs/>
          <w:noProof/>
          <w:szCs w:val="24"/>
        </w:rPr>
        <w:t>Psychological Medicine</w:t>
      </w:r>
      <w:r w:rsidRPr="00734178">
        <w:rPr>
          <w:rFonts w:ascii="Calibri" w:hAnsi="Calibri" w:cs="Calibri"/>
          <w:noProof/>
          <w:szCs w:val="24"/>
        </w:rPr>
        <w:t>. Cambridge University Press, 39(05), p. 705. doi: 10.1017/S0033291708004224.</w:t>
      </w:r>
    </w:p>
    <w:p w14:paraId="4AAAD08B"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We Need to Talk coalition (2013) </w:t>
      </w:r>
      <w:r w:rsidRPr="00734178">
        <w:rPr>
          <w:rFonts w:ascii="Calibri" w:hAnsi="Calibri" w:cs="Calibri"/>
          <w:i/>
          <w:iCs/>
          <w:noProof/>
          <w:szCs w:val="24"/>
        </w:rPr>
        <w:t>We still need to talk: a report on access to talking therapies</w:t>
      </w:r>
      <w:r w:rsidRPr="00734178">
        <w:rPr>
          <w:rFonts w:ascii="Calibri" w:hAnsi="Calibri" w:cs="Calibri"/>
          <w:noProof/>
          <w:szCs w:val="24"/>
        </w:rPr>
        <w:t>.</w:t>
      </w:r>
    </w:p>
    <w:p w14:paraId="160F3A97"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Weizenbaum, J. (1976) ‘Computer Power and Human Reason: From Judgment to Calculation’. W. H. Freeman &amp; Co. Available at: http://dl.acm.org/citation.cfm?id=540249 (Accessed: 11 August 2015).</w:t>
      </w:r>
    </w:p>
    <w:p w14:paraId="6147816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Williams, A. D. </w:t>
      </w:r>
      <w:r w:rsidRPr="00734178">
        <w:rPr>
          <w:rFonts w:ascii="Calibri" w:hAnsi="Calibri" w:cs="Calibri"/>
          <w:i/>
          <w:iCs/>
          <w:noProof/>
          <w:szCs w:val="24"/>
        </w:rPr>
        <w:t>et al.</w:t>
      </w:r>
      <w:r w:rsidRPr="00734178">
        <w:rPr>
          <w:rFonts w:ascii="Calibri" w:hAnsi="Calibri" w:cs="Calibri"/>
          <w:noProof/>
          <w:szCs w:val="24"/>
        </w:rPr>
        <w:t xml:space="preserve"> (2014) ‘The effectiveness of internet cognitive behaviour therapy (iCBT) for social anxiety disorder across two routine practice pathways’, </w:t>
      </w:r>
      <w:r w:rsidRPr="00734178">
        <w:rPr>
          <w:rFonts w:ascii="Calibri" w:hAnsi="Calibri" w:cs="Calibri"/>
          <w:i/>
          <w:iCs/>
          <w:noProof/>
          <w:szCs w:val="24"/>
        </w:rPr>
        <w:t>Internet Interventions</w:t>
      </w:r>
      <w:r w:rsidRPr="00734178">
        <w:rPr>
          <w:rFonts w:ascii="Calibri" w:hAnsi="Calibri" w:cs="Calibri"/>
          <w:noProof/>
          <w:szCs w:val="24"/>
        </w:rPr>
        <w:t>. Elsevier B.V., 1(4), pp. 225–229. doi: 10.1016/j.invent.2014.11.001.</w:t>
      </w:r>
    </w:p>
    <w:p w14:paraId="0F3B4DDE"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Williams, A. D. and Andrews, G. (2013) ‘The Effectiveness of Internet Cognitive Behavioural Therapy (iCBT) for Depression in Primary Care: A Quality Assurance Study’, </w:t>
      </w:r>
      <w:r w:rsidRPr="00734178">
        <w:rPr>
          <w:rFonts w:ascii="Calibri" w:hAnsi="Calibri" w:cs="Calibri"/>
          <w:i/>
          <w:iCs/>
          <w:noProof/>
          <w:szCs w:val="24"/>
        </w:rPr>
        <w:t>PLoS ONE</w:t>
      </w:r>
      <w:r w:rsidRPr="00734178">
        <w:rPr>
          <w:rFonts w:ascii="Calibri" w:hAnsi="Calibri" w:cs="Calibri"/>
          <w:noProof/>
          <w:szCs w:val="24"/>
        </w:rPr>
        <w:t>, 8(2). doi: 10.1371/journal.pone.0057447.</w:t>
      </w:r>
    </w:p>
    <w:p w14:paraId="7126F924"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de Wit, J. </w:t>
      </w:r>
      <w:r w:rsidRPr="00734178">
        <w:rPr>
          <w:rFonts w:ascii="Calibri" w:hAnsi="Calibri" w:cs="Calibri"/>
          <w:i/>
          <w:iCs/>
          <w:noProof/>
          <w:szCs w:val="24"/>
        </w:rPr>
        <w:t>et al.</w:t>
      </w:r>
      <w:r w:rsidRPr="00734178">
        <w:rPr>
          <w:rFonts w:ascii="Calibri" w:hAnsi="Calibri" w:cs="Calibri"/>
          <w:noProof/>
          <w:szCs w:val="24"/>
        </w:rPr>
        <w:t xml:space="preserve"> (2015) ‘Web-based support for daily functioning of people with mild intellectual disabilities or chronic psychiatric disorders: A feasibility study in routine practice’, </w:t>
      </w:r>
      <w:r w:rsidRPr="00734178">
        <w:rPr>
          <w:rFonts w:ascii="Calibri" w:hAnsi="Calibri" w:cs="Calibri"/>
          <w:i/>
          <w:iCs/>
          <w:noProof/>
          <w:szCs w:val="24"/>
        </w:rPr>
        <w:t>Internet Interventions</w:t>
      </w:r>
      <w:r w:rsidRPr="00734178">
        <w:rPr>
          <w:rFonts w:ascii="Calibri" w:hAnsi="Calibri" w:cs="Calibri"/>
          <w:noProof/>
          <w:szCs w:val="24"/>
        </w:rPr>
        <w:t>. Elsevier, 2(2), pp. 161–168. doi: 10.1016/J.INVENT.2015.02.007.</w:t>
      </w:r>
    </w:p>
    <w:p w14:paraId="7F30BC75"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Working Group on mHealth Assessment Guidelines (2017) ‘Report of the Working Group on mHealth Assessment Guidelines’, pp. 1–10. Available at: https://ec.europa.eu/digital-single-market/en/news/report-working-group-mhealth-assessment-guidelines.</w:t>
      </w:r>
    </w:p>
    <w:p w14:paraId="0BBAC161"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Wuthrich, V. M. and Frei, J. (2015) ‘Barriers to treatment for older adults seeking psychological therapy’, </w:t>
      </w:r>
      <w:r w:rsidRPr="00734178">
        <w:rPr>
          <w:rFonts w:ascii="Calibri" w:hAnsi="Calibri" w:cs="Calibri"/>
          <w:i/>
          <w:iCs/>
          <w:noProof/>
          <w:szCs w:val="24"/>
        </w:rPr>
        <w:t>International Psychogeriatrics</w:t>
      </w:r>
      <w:r w:rsidRPr="00734178">
        <w:rPr>
          <w:rFonts w:ascii="Calibri" w:hAnsi="Calibri" w:cs="Calibri"/>
          <w:noProof/>
          <w:szCs w:val="24"/>
        </w:rPr>
        <w:t>, 27(07), pp. 1227–1236. doi: 10.1017/S1041610215000241.</w:t>
      </w:r>
    </w:p>
    <w:p w14:paraId="169956DF"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X2 AI (2018) </w:t>
      </w:r>
      <w:r w:rsidRPr="00734178">
        <w:rPr>
          <w:rFonts w:ascii="Calibri" w:hAnsi="Calibri" w:cs="Calibri"/>
          <w:i/>
          <w:iCs/>
          <w:noProof/>
          <w:szCs w:val="24"/>
        </w:rPr>
        <w:t>X2 AI – Mental Health Chatbot</w:t>
      </w:r>
      <w:r w:rsidRPr="00734178">
        <w:rPr>
          <w:rFonts w:ascii="Calibri" w:hAnsi="Calibri" w:cs="Calibri"/>
          <w:noProof/>
          <w:szCs w:val="24"/>
        </w:rPr>
        <w:t>. Available at: http://x2ai.com/# (Accessed: 6 April 2018).</w:t>
      </w:r>
    </w:p>
    <w:p w14:paraId="13A65812"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Yardley, P. L. and Bradbury, K. (2018) ‘The Person-Based Approach to planning , optimising , evaluating and implementing behavioural health interventions’, pp. 464–469.</w:t>
      </w:r>
    </w:p>
    <w:p w14:paraId="6F8D60B6" w14:textId="77777777" w:rsidR="00734178" w:rsidRPr="00734178" w:rsidRDefault="00734178" w:rsidP="00734178">
      <w:pPr>
        <w:widowControl w:val="0"/>
        <w:autoSpaceDE w:val="0"/>
        <w:autoSpaceDN w:val="0"/>
        <w:adjustRightInd w:val="0"/>
        <w:rPr>
          <w:rFonts w:ascii="Calibri" w:hAnsi="Calibri" w:cs="Calibri"/>
          <w:noProof/>
          <w:szCs w:val="24"/>
        </w:rPr>
      </w:pPr>
      <w:r w:rsidRPr="00734178">
        <w:rPr>
          <w:rFonts w:ascii="Calibri" w:hAnsi="Calibri" w:cs="Calibri"/>
          <w:noProof/>
          <w:szCs w:val="24"/>
        </w:rPr>
        <w:t xml:space="preserve">Young, R. </w:t>
      </w:r>
      <w:r w:rsidRPr="00734178">
        <w:rPr>
          <w:rFonts w:ascii="Calibri" w:hAnsi="Calibri" w:cs="Calibri"/>
          <w:i/>
          <w:iCs/>
          <w:noProof/>
          <w:szCs w:val="24"/>
        </w:rPr>
        <w:t>et al.</w:t>
      </w:r>
      <w:r w:rsidRPr="00734178">
        <w:rPr>
          <w:rFonts w:ascii="Calibri" w:hAnsi="Calibri" w:cs="Calibri"/>
          <w:noProof/>
          <w:szCs w:val="24"/>
        </w:rPr>
        <w:t xml:space="preserve"> (2014) ‘“Willing but Unwilling”: Attitudinal barriers to adoption of home-based health information technology among older adults’, </w:t>
      </w:r>
      <w:r w:rsidRPr="00734178">
        <w:rPr>
          <w:rFonts w:ascii="Calibri" w:hAnsi="Calibri" w:cs="Calibri"/>
          <w:i/>
          <w:iCs/>
          <w:noProof/>
          <w:szCs w:val="24"/>
        </w:rPr>
        <w:t>Health Informatics Journal</w:t>
      </w:r>
      <w:r w:rsidRPr="00734178">
        <w:rPr>
          <w:rFonts w:ascii="Calibri" w:hAnsi="Calibri" w:cs="Calibri"/>
          <w:noProof/>
          <w:szCs w:val="24"/>
        </w:rPr>
        <w:t>, 20(2), pp. 127–135. doi: 10.1177/1460458213486906.</w:t>
      </w:r>
    </w:p>
    <w:p w14:paraId="1DC40C79" w14:textId="77777777" w:rsidR="00734178" w:rsidRPr="00734178" w:rsidRDefault="00734178" w:rsidP="00734178">
      <w:pPr>
        <w:widowControl w:val="0"/>
        <w:autoSpaceDE w:val="0"/>
        <w:autoSpaceDN w:val="0"/>
        <w:adjustRightInd w:val="0"/>
        <w:rPr>
          <w:rFonts w:ascii="Calibri" w:hAnsi="Calibri" w:cs="Calibri"/>
          <w:noProof/>
        </w:rPr>
      </w:pPr>
      <w:r w:rsidRPr="00734178">
        <w:rPr>
          <w:rFonts w:ascii="Calibri" w:hAnsi="Calibri" w:cs="Calibri"/>
          <w:noProof/>
          <w:szCs w:val="24"/>
        </w:rPr>
        <w:t xml:space="preserve">Zou, J. B. </w:t>
      </w:r>
      <w:r w:rsidRPr="00734178">
        <w:rPr>
          <w:rFonts w:ascii="Calibri" w:hAnsi="Calibri" w:cs="Calibri"/>
          <w:i/>
          <w:iCs/>
          <w:noProof/>
          <w:szCs w:val="24"/>
        </w:rPr>
        <w:t>et al.</w:t>
      </w:r>
      <w:r w:rsidRPr="00734178">
        <w:rPr>
          <w:rFonts w:ascii="Calibri" w:hAnsi="Calibri" w:cs="Calibri"/>
          <w:noProof/>
          <w:szCs w:val="24"/>
        </w:rPr>
        <w:t xml:space="preserve"> (2012) ‘Brief internet-delivered cognitive behavioral therapy for anxiety in older adults: A feasibility trial’, </w:t>
      </w:r>
      <w:r w:rsidRPr="00734178">
        <w:rPr>
          <w:rFonts w:ascii="Calibri" w:hAnsi="Calibri" w:cs="Calibri"/>
          <w:i/>
          <w:iCs/>
          <w:noProof/>
          <w:szCs w:val="24"/>
        </w:rPr>
        <w:t>Journal of Anxiety Disorders</w:t>
      </w:r>
      <w:r w:rsidRPr="00734178">
        <w:rPr>
          <w:rFonts w:ascii="Calibri" w:hAnsi="Calibri" w:cs="Calibri"/>
          <w:noProof/>
          <w:szCs w:val="24"/>
        </w:rPr>
        <w:t>. Elsevier Ltd, 26(6), pp. 650–655. doi: 10.1016/j.janxdis.2012.04.002.</w:t>
      </w:r>
    </w:p>
    <w:p w14:paraId="33C043A3" w14:textId="0DD229DC" w:rsidR="00210807" w:rsidRDefault="00210807" w:rsidP="00210807">
      <w:pPr>
        <w:widowControl w:val="0"/>
        <w:autoSpaceDE w:val="0"/>
        <w:autoSpaceDN w:val="0"/>
        <w:adjustRightInd w:val="0"/>
        <w:rPr>
          <w:rFonts w:asciiTheme="majorHAnsi" w:eastAsiaTheme="majorEastAsia" w:hAnsiTheme="majorHAnsi" w:cstheme="majorBidi"/>
          <w:b/>
          <w:bCs/>
          <w:smallCaps/>
          <w:color w:val="000000" w:themeColor="text1"/>
          <w:sz w:val="36"/>
          <w:szCs w:val="36"/>
        </w:rPr>
      </w:pPr>
      <w:r>
        <w:fldChar w:fldCharType="end"/>
      </w:r>
      <w:r>
        <w:br w:type="page"/>
      </w:r>
    </w:p>
    <w:p w14:paraId="58D258EB" w14:textId="3B652EC6" w:rsidR="00140546" w:rsidRDefault="001A39F3" w:rsidP="00366B7A">
      <w:pPr>
        <w:pStyle w:val="Heading1"/>
        <w:numPr>
          <w:ilvl w:val="0"/>
          <w:numId w:val="0"/>
        </w:numPr>
        <w:ind w:left="432" w:hanging="432"/>
      </w:pPr>
      <w:bookmarkStart w:id="593" w:name="_Toc3538194"/>
      <w:r>
        <w:lastRenderedPageBreak/>
        <w:t>Appendices</w:t>
      </w:r>
      <w:bookmarkEnd w:id="591"/>
      <w:bookmarkEnd w:id="592"/>
      <w:bookmarkEnd w:id="593"/>
    </w:p>
    <w:p w14:paraId="6BD744BE" w14:textId="40231A4E" w:rsidR="00CB2377" w:rsidRDefault="00CB2377" w:rsidP="003405AE">
      <w:pPr>
        <w:pStyle w:val="AppendixA"/>
      </w:pPr>
      <w:bookmarkStart w:id="594" w:name="_Toc530598231"/>
      <w:bookmarkStart w:id="595" w:name="_Toc530660592"/>
      <w:bookmarkStart w:id="596" w:name="_Toc3538195"/>
      <w:r>
        <w:t xml:space="preserve">Study II Ethics </w:t>
      </w:r>
      <w:r w:rsidR="00E655F3">
        <w:t>Approval</w:t>
      </w:r>
      <w:r>
        <w:t xml:space="preserve"> Letter</w:t>
      </w:r>
      <w:bookmarkEnd w:id="594"/>
      <w:bookmarkEnd w:id="595"/>
      <w:bookmarkEnd w:id="596"/>
    </w:p>
    <w:p w14:paraId="58FCEABA" w14:textId="3D30B94A" w:rsidR="006A7A27" w:rsidRDefault="00CB2377" w:rsidP="006A7A27">
      <w:pPr>
        <w:sectPr w:rsidR="006A7A27" w:rsidSect="00452C07">
          <w:pgSz w:w="11906" w:h="16838"/>
          <w:pgMar w:top="851" w:right="851" w:bottom="851" w:left="1134" w:header="708" w:footer="708" w:gutter="0"/>
          <w:cols w:space="708"/>
          <w:docGrid w:linePitch="360"/>
        </w:sectPr>
      </w:pPr>
      <w:r>
        <w:rPr>
          <w:noProof/>
          <w:lang w:eastAsia="en-GB"/>
        </w:rPr>
        <w:drawing>
          <wp:inline distT="0" distB="0" distL="0" distR="0" wp14:anchorId="365BFEF0" wp14:editId="02500F17">
            <wp:extent cx="5730240" cy="8107680"/>
            <wp:effectExtent l="0" t="0" r="381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0240" cy="8107680"/>
                    </a:xfrm>
                    <a:prstGeom prst="rect">
                      <a:avLst/>
                    </a:prstGeom>
                    <a:noFill/>
                    <a:ln>
                      <a:noFill/>
                    </a:ln>
                  </pic:spPr>
                </pic:pic>
              </a:graphicData>
            </a:graphic>
          </wp:inline>
        </w:drawing>
      </w:r>
    </w:p>
    <w:p w14:paraId="3081C149" w14:textId="3A4D9C26" w:rsidR="00CB2377" w:rsidRDefault="00CB2377" w:rsidP="003405AE">
      <w:pPr>
        <w:pStyle w:val="AppendixA"/>
      </w:pPr>
      <w:bookmarkStart w:id="597" w:name="_Toc530598232"/>
      <w:bookmarkStart w:id="598" w:name="_Toc530660593"/>
      <w:bookmarkStart w:id="599" w:name="_Toc3538196"/>
      <w:r>
        <w:lastRenderedPageBreak/>
        <w:t>Developer Contact Email</w:t>
      </w:r>
      <w:bookmarkEnd w:id="597"/>
      <w:bookmarkEnd w:id="598"/>
      <w:bookmarkEnd w:id="599"/>
    </w:p>
    <w:p w14:paraId="7CE0D7C5" w14:textId="77777777" w:rsidR="00CB2377" w:rsidRPr="001C2159" w:rsidRDefault="00CB2377" w:rsidP="00E655F3">
      <w:r w:rsidRPr="001C2159">
        <w:t xml:space="preserve">Dear Sir/Madam, </w:t>
      </w:r>
    </w:p>
    <w:p w14:paraId="58C2A0FE" w14:textId="46DB5B93" w:rsidR="00CB2377" w:rsidRPr="001C2159" w:rsidRDefault="00CB2377" w:rsidP="00E655F3">
      <w:r w:rsidRPr="001C2159">
        <w:t>My name is Matthew Bennion a PhD student from The University of Sheffield</w:t>
      </w:r>
      <w:r w:rsidR="00554CB4">
        <w:t xml:space="preserve">.  </w:t>
      </w:r>
      <w:r w:rsidRPr="001C2159">
        <w:t>I’m conducting a study that aims to ascertain how many e-therapies and smartphone apps used by NHS mental health services or recommended by the NHS have clinical / academic involvement and research evidence.  Your app has either been referenced by a NHS IAPT service or recommended on the Apps library and I was wondering if your company would be willing to fill in a questionnaire?</w:t>
      </w:r>
    </w:p>
    <w:p w14:paraId="3DA71700" w14:textId="77777777" w:rsidR="00CB2377" w:rsidRPr="001C2159" w:rsidRDefault="00CB2377" w:rsidP="00E655F3">
      <w:r w:rsidRPr="001C2159">
        <w:t>Yours Faithfully,</w:t>
      </w:r>
    </w:p>
    <w:p w14:paraId="26AA1373" w14:textId="45C07AEC" w:rsidR="006A7A27" w:rsidRDefault="00CB2377" w:rsidP="00E655F3">
      <w:r w:rsidRPr="001C2159">
        <w:t>Matthew Bennion</w:t>
      </w:r>
    </w:p>
    <w:p w14:paraId="04389843" w14:textId="77777777" w:rsidR="00E655F3" w:rsidRDefault="00E655F3" w:rsidP="00E655F3"/>
    <w:p w14:paraId="71FF0008" w14:textId="77777777" w:rsidR="00282D1B" w:rsidRDefault="00282D1B" w:rsidP="006A7A27">
      <w:pPr>
        <w:sectPr w:rsidR="00282D1B" w:rsidSect="00452C07">
          <w:pgSz w:w="11906" w:h="16838"/>
          <w:pgMar w:top="851" w:right="851" w:bottom="851" w:left="1134" w:header="708" w:footer="708" w:gutter="0"/>
          <w:cols w:space="708"/>
          <w:docGrid w:linePitch="360"/>
        </w:sectPr>
      </w:pPr>
    </w:p>
    <w:p w14:paraId="2E1F915C" w14:textId="77777777" w:rsidR="00895C41" w:rsidRDefault="00895C41" w:rsidP="00895C41">
      <w:pPr>
        <w:pStyle w:val="AppendixA"/>
      </w:pPr>
      <w:bookmarkStart w:id="600" w:name="_Toc530598233"/>
      <w:bookmarkStart w:id="601" w:name="_Toc530660594"/>
      <w:bookmarkStart w:id="602" w:name="_Toc3538197"/>
      <w:r>
        <w:lastRenderedPageBreak/>
        <w:t>Study II Participant Information Sheet and Consent Form</w:t>
      </w:r>
      <w:bookmarkEnd w:id="600"/>
      <w:bookmarkEnd w:id="601"/>
      <w:bookmarkEnd w:id="602"/>
    </w:p>
    <w:p w14:paraId="0C18477F" w14:textId="77777777" w:rsidR="00895C41" w:rsidRDefault="00895C41" w:rsidP="00895C41">
      <w:pPr>
        <w:sectPr w:rsidR="00895C41" w:rsidSect="00452C07">
          <w:pgSz w:w="11906" w:h="16838"/>
          <w:pgMar w:top="851" w:right="851" w:bottom="851" w:left="1134" w:header="708" w:footer="708" w:gutter="0"/>
          <w:cols w:space="708"/>
          <w:docGrid w:linePitch="360"/>
        </w:sectPr>
      </w:pPr>
      <w:r>
        <w:rPr>
          <w:noProof/>
          <w:lang w:eastAsia="en-GB"/>
        </w:rPr>
        <w:drawing>
          <wp:inline distT="0" distB="0" distL="0" distR="0" wp14:anchorId="1A7B9B25" wp14:editId="12FBA346">
            <wp:extent cx="5731510" cy="8110220"/>
            <wp:effectExtent l="0" t="0" r="2540" b="508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Questionnaire-1.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8110220"/>
                    </a:xfrm>
                    <a:prstGeom prst="rect">
                      <a:avLst/>
                    </a:prstGeom>
                  </pic:spPr>
                </pic:pic>
              </a:graphicData>
            </a:graphic>
          </wp:inline>
        </w:drawing>
      </w:r>
    </w:p>
    <w:p w14:paraId="28F5EED8" w14:textId="1A48074F" w:rsidR="00CB2377" w:rsidRDefault="00E655F3" w:rsidP="00E655F3">
      <w:pPr>
        <w:pStyle w:val="AppendixA"/>
      </w:pPr>
      <w:bookmarkStart w:id="603" w:name="_Toc3538198"/>
      <w:r>
        <w:lastRenderedPageBreak/>
        <w:t>Study II Participant Debrief</w:t>
      </w:r>
      <w:bookmarkEnd w:id="603"/>
    </w:p>
    <w:p w14:paraId="66E89D16" w14:textId="4E51BFF8" w:rsidR="00337E23" w:rsidRPr="00337E23" w:rsidRDefault="00337E23" w:rsidP="00337E23">
      <w:r w:rsidRPr="00337E23">
        <w:t>Thank you for taking the time to complete our survey.</w:t>
      </w:r>
      <w:r w:rsidRPr="00337E23">
        <w:br/>
      </w:r>
      <w:r w:rsidRPr="00337E23">
        <w:br/>
        <w:t>Acknowledgements</w:t>
      </w:r>
      <w:r w:rsidRPr="00337E23">
        <w:br/>
      </w:r>
      <w:proofErr w:type="gramStart"/>
      <w:r w:rsidRPr="00337E23">
        <w:t>This</w:t>
      </w:r>
      <w:proofErr w:type="gramEnd"/>
      <w:r w:rsidRPr="00337E23">
        <w:t xml:space="preserve"> survey has received collective support by project supervisors Dr Abigail Millings and Dr Daniela Romano at the University of Sheffield.</w:t>
      </w:r>
      <w:r w:rsidRPr="00337E23">
        <w:br/>
      </w:r>
      <w:r w:rsidRPr="00337E23">
        <w:br/>
        <w:t>Contact information</w:t>
      </w:r>
      <w:r w:rsidRPr="00337E23">
        <w:br/>
      </w:r>
      <w:proofErr w:type="gramStart"/>
      <w:r w:rsidRPr="00337E23">
        <w:t>If</w:t>
      </w:r>
      <w:proofErr w:type="gramEnd"/>
      <w:r w:rsidRPr="00337E23">
        <w:t xml:space="preserve"> you have any questions or would like to know more about the research teams project, please contact</w:t>
      </w:r>
      <w:r w:rsidRPr="00337E23">
        <w:br/>
      </w:r>
      <w:r w:rsidRPr="00337E23">
        <w:br/>
        <w:t>Matthew Bennion</w:t>
      </w:r>
      <w:r w:rsidRPr="00337E23">
        <w:br/>
      </w:r>
      <w:proofErr w:type="spellStart"/>
      <w:r w:rsidRPr="00337E23">
        <w:t>Phd</w:t>
      </w:r>
      <w:proofErr w:type="spellEnd"/>
      <w:r w:rsidRPr="00337E23">
        <w:t xml:space="preserve"> Researcher</w:t>
      </w:r>
      <w:r w:rsidRPr="00337E23">
        <w:br/>
        <w:t>Department of Psychology</w:t>
      </w:r>
      <w:r w:rsidRPr="00337E23">
        <w:br/>
        <w:t>University of Sheffield</w:t>
      </w:r>
      <w:r w:rsidRPr="00337E23">
        <w:br/>
      </w:r>
      <w:hyperlink r:id="rId70" w:history="1">
        <w:r w:rsidRPr="00337E23">
          <w:rPr>
            <w:rStyle w:val="Hyperlink"/>
          </w:rPr>
          <w:t>m.bennion@sheffield.ac.uk</w:t>
        </w:r>
      </w:hyperlink>
    </w:p>
    <w:p w14:paraId="51F4F0D6" w14:textId="77777777" w:rsidR="00E655F3" w:rsidRDefault="00E655F3" w:rsidP="00E655F3">
      <w:pPr>
        <w:sectPr w:rsidR="00E655F3" w:rsidSect="00452C07">
          <w:pgSz w:w="11906" w:h="16838"/>
          <w:pgMar w:top="851" w:right="851" w:bottom="851" w:left="1134" w:header="708" w:footer="708" w:gutter="0"/>
          <w:cols w:space="708"/>
          <w:docGrid w:linePitch="360"/>
        </w:sectPr>
      </w:pPr>
    </w:p>
    <w:p w14:paraId="0D7A2569" w14:textId="592632A5" w:rsidR="0003164D" w:rsidRDefault="002475CB" w:rsidP="003405AE">
      <w:pPr>
        <w:pStyle w:val="AppendixB"/>
      </w:pPr>
      <w:bookmarkStart w:id="604" w:name="_Toc530598235"/>
      <w:bookmarkStart w:id="605" w:name="_Toc530660596"/>
      <w:bookmarkStart w:id="606" w:name="_Toc3538199"/>
      <w:r>
        <w:lastRenderedPageBreak/>
        <w:t>Letter From NICE Regarding Publication</w:t>
      </w:r>
      <w:bookmarkEnd w:id="604"/>
      <w:bookmarkEnd w:id="605"/>
      <w:bookmarkEnd w:id="606"/>
    </w:p>
    <w:p w14:paraId="25F42EFF" w14:textId="47952983" w:rsidR="002475CB" w:rsidRPr="002475CB" w:rsidRDefault="002475CB" w:rsidP="002475CB">
      <w:r>
        <w:rPr>
          <w:noProof/>
          <w:lang w:eastAsia="en-GB"/>
        </w:rPr>
        <w:drawing>
          <wp:inline distT="0" distB="0" distL="0" distR="0" wp14:anchorId="406670D7" wp14:editId="3503B150">
            <wp:extent cx="5731510" cy="810514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 Bennion letter June 18-1.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p>
    <w:p w14:paraId="67F49DE0" w14:textId="77777777" w:rsidR="00983D9A" w:rsidRDefault="00983D9A" w:rsidP="002475CB">
      <w:pPr>
        <w:sectPr w:rsidR="00983D9A" w:rsidSect="00452C07">
          <w:pgSz w:w="11906" w:h="16838"/>
          <w:pgMar w:top="851" w:right="851" w:bottom="851" w:left="1134" w:header="708" w:footer="708" w:gutter="0"/>
          <w:cols w:space="708"/>
          <w:docGrid w:linePitch="360"/>
        </w:sectPr>
      </w:pPr>
    </w:p>
    <w:p w14:paraId="56AB1BE5" w14:textId="23D672D8" w:rsidR="002475CB" w:rsidRDefault="00983D9A" w:rsidP="003405AE">
      <w:pPr>
        <w:pStyle w:val="AppendixB"/>
      </w:pPr>
      <w:bookmarkStart w:id="607" w:name="_Toc530598236"/>
      <w:bookmarkStart w:id="608" w:name="_Toc530660597"/>
      <w:bookmarkStart w:id="609" w:name="_Toc3538200"/>
      <w:r>
        <w:lastRenderedPageBreak/>
        <w:t>F</w:t>
      </w:r>
      <w:r w:rsidRPr="00983D9A">
        <w:t xml:space="preserve">ull </w:t>
      </w:r>
      <w:r>
        <w:t>S</w:t>
      </w:r>
      <w:r w:rsidRPr="00983D9A">
        <w:t xml:space="preserve">earch </w:t>
      </w:r>
      <w:r>
        <w:t>S</w:t>
      </w:r>
      <w:r w:rsidRPr="00983D9A">
        <w:t>trategy</w:t>
      </w:r>
      <w:r>
        <w:t xml:space="preserve"> for </w:t>
      </w:r>
      <w:bookmarkEnd w:id="607"/>
      <w:bookmarkEnd w:id="608"/>
      <w:proofErr w:type="spellStart"/>
      <w:r w:rsidR="00D26D7F">
        <w:t>PubInfo</w:t>
      </w:r>
      <w:bookmarkEnd w:id="609"/>
      <w:proofErr w:type="spellEnd"/>
    </w:p>
    <w:p w14:paraId="28C5C27D" w14:textId="06D152F9" w:rsidR="00983D9A" w:rsidRDefault="00D26D7F" w:rsidP="003A614D">
      <w:pPr>
        <w:pStyle w:val="NoSpacing"/>
      </w:pPr>
      <w:r w:rsidRPr="00D26D7F">
        <w:t>(</w:t>
      </w:r>
      <w:r w:rsidR="00D72AB2" w:rsidRPr="00D72AB2">
        <w:t>Living Life to the Full</w:t>
      </w:r>
      <w:r w:rsidRPr="00D26D7F">
        <w:t>) AND Website</w:t>
      </w:r>
    </w:p>
    <w:p w14:paraId="7B270D2F" w14:textId="7CE90FB1" w:rsidR="00D72AB2" w:rsidRDefault="00D72AB2" w:rsidP="003A614D">
      <w:pPr>
        <w:pStyle w:val="NoSpacing"/>
      </w:pPr>
      <w:r w:rsidRPr="00D26D7F">
        <w:t>(</w:t>
      </w:r>
      <w:proofErr w:type="spellStart"/>
      <w:r w:rsidRPr="00D72AB2">
        <w:t>MoodGym</w:t>
      </w:r>
      <w:proofErr w:type="spellEnd"/>
      <w:r w:rsidRPr="00D26D7F">
        <w:t>) AND Website</w:t>
      </w:r>
    </w:p>
    <w:p w14:paraId="27D4B99E" w14:textId="0F4A7E23" w:rsidR="00D72AB2" w:rsidRDefault="00D72AB2" w:rsidP="003A614D">
      <w:pPr>
        <w:pStyle w:val="NoSpacing"/>
      </w:pPr>
      <w:r w:rsidRPr="00D26D7F">
        <w:t>(</w:t>
      </w:r>
      <w:r w:rsidRPr="00D72AB2">
        <w:t>Big White Wall</w:t>
      </w:r>
      <w:r w:rsidRPr="00D26D7F">
        <w:t>) AND Website</w:t>
      </w:r>
    </w:p>
    <w:p w14:paraId="1C1F2BF3" w14:textId="11EEC804" w:rsidR="00D72AB2" w:rsidRDefault="00D72AB2" w:rsidP="003A614D">
      <w:pPr>
        <w:pStyle w:val="NoSpacing"/>
      </w:pPr>
      <w:r w:rsidRPr="00D26D7F">
        <w:t>(</w:t>
      </w:r>
      <w:r w:rsidRPr="00D72AB2">
        <w:t>Beating the Blues</w:t>
      </w:r>
      <w:r w:rsidRPr="00D26D7F">
        <w:t>) AND Website</w:t>
      </w:r>
    </w:p>
    <w:p w14:paraId="023BB46D" w14:textId="18E73531" w:rsidR="00D72AB2" w:rsidRDefault="00D72AB2" w:rsidP="003A614D">
      <w:pPr>
        <w:pStyle w:val="NoSpacing"/>
      </w:pPr>
      <w:r w:rsidRPr="00D26D7F">
        <w:t>(</w:t>
      </w:r>
      <w:proofErr w:type="spellStart"/>
      <w:r w:rsidRPr="00D72AB2">
        <w:t>SilverCloud</w:t>
      </w:r>
      <w:proofErr w:type="spellEnd"/>
      <w:r w:rsidRPr="00D72AB2">
        <w:t xml:space="preserve"> Health</w:t>
      </w:r>
      <w:r w:rsidRPr="00D26D7F">
        <w:t>) AND Website</w:t>
      </w:r>
    </w:p>
    <w:p w14:paraId="35A271DB" w14:textId="56E7945E" w:rsidR="00D72AB2" w:rsidRDefault="00D72AB2" w:rsidP="003A614D">
      <w:pPr>
        <w:pStyle w:val="NoSpacing"/>
      </w:pPr>
      <w:r w:rsidRPr="00D26D7F">
        <w:t>(</w:t>
      </w:r>
      <w:proofErr w:type="spellStart"/>
      <w:r w:rsidRPr="00D72AB2">
        <w:t>Ieso</w:t>
      </w:r>
      <w:proofErr w:type="spellEnd"/>
      <w:r w:rsidRPr="00D72AB2">
        <w:t xml:space="preserve"> Digital Health Ltd</w:t>
      </w:r>
      <w:r w:rsidRPr="00D26D7F">
        <w:t>) AND Website</w:t>
      </w:r>
    </w:p>
    <w:p w14:paraId="394C3B81" w14:textId="0B159BB9" w:rsidR="00D72AB2" w:rsidRDefault="00D72AB2" w:rsidP="003A614D">
      <w:pPr>
        <w:pStyle w:val="NoSpacing"/>
      </w:pPr>
      <w:r w:rsidRPr="00D26D7F">
        <w:t>(</w:t>
      </w:r>
      <w:r w:rsidRPr="00D72AB2">
        <w:t>Fear Fighter</w:t>
      </w:r>
      <w:r w:rsidRPr="00D26D7F">
        <w:t>) AND Website</w:t>
      </w:r>
    </w:p>
    <w:p w14:paraId="3C93850D" w14:textId="1DBF0F95" w:rsidR="00D72AB2" w:rsidRDefault="00D72AB2" w:rsidP="003A614D">
      <w:pPr>
        <w:pStyle w:val="NoSpacing"/>
      </w:pPr>
      <w:r>
        <w:t>(</w:t>
      </w:r>
      <w:proofErr w:type="spellStart"/>
      <w:r>
        <w:t>HeadSpace</w:t>
      </w:r>
      <w:proofErr w:type="spellEnd"/>
      <w:r>
        <w:t>)</w:t>
      </w:r>
      <w:r w:rsidRPr="00D72AB2">
        <w:t xml:space="preserve"> </w:t>
      </w:r>
      <w:r w:rsidRPr="00D26D7F">
        <w:t xml:space="preserve">AND </w:t>
      </w:r>
      <w:r>
        <w:t>App</w:t>
      </w:r>
    </w:p>
    <w:p w14:paraId="02641E9D" w14:textId="48220E42" w:rsidR="00D72AB2" w:rsidRDefault="00D72AB2" w:rsidP="003A614D">
      <w:pPr>
        <w:pStyle w:val="NoSpacing"/>
      </w:pPr>
      <w:r>
        <w:t>(Buddy App)</w:t>
      </w:r>
      <w:r w:rsidRPr="00D72AB2">
        <w:t xml:space="preserve"> </w:t>
      </w:r>
      <w:r w:rsidRPr="00D26D7F">
        <w:t>AND Website</w:t>
      </w:r>
    </w:p>
    <w:p w14:paraId="55F72D2C" w14:textId="080F00C1" w:rsidR="00D72AB2" w:rsidRDefault="00D72AB2" w:rsidP="003A614D">
      <w:pPr>
        <w:pStyle w:val="NoSpacing"/>
      </w:pPr>
      <w:r>
        <w:t>(Don’t Panic!)</w:t>
      </w:r>
      <w:r w:rsidRPr="00D72AB2">
        <w:t xml:space="preserve"> </w:t>
      </w:r>
      <w:r w:rsidRPr="00D26D7F">
        <w:t xml:space="preserve">AND </w:t>
      </w:r>
      <w:r>
        <w:t>App</w:t>
      </w:r>
    </w:p>
    <w:p w14:paraId="068CDD69" w14:textId="1083146C" w:rsidR="00D72AB2" w:rsidRDefault="00D72AB2" w:rsidP="003A614D">
      <w:pPr>
        <w:pStyle w:val="NoSpacing"/>
      </w:pPr>
      <w:r>
        <w:t>(</w:t>
      </w:r>
      <w:proofErr w:type="spellStart"/>
      <w:r>
        <w:t>MyMoodTracker</w:t>
      </w:r>
      <w:proofErr w:type="spellEnd"/>
      <w:r>
        <w:t>)</w:t>
      </w:r>
      <w:r w:rsidRPr="00D72AB2">
        <w:t xml:space="preserve"> </w:t>
      </w:r>
      <w:r w:rsidRPr="00D26D7F">
        <w:t xml:space="preserve">AND </w:t>
      </w:r>
      <w:r>
        <w:t>App</w:t>
      </w:r>
    </w:p>
    <w:p w14:paraId="6516C941" w14:textId="0FB33972" w:rsidR="00D72AB2" w:rsidRDefault="00D72AB2" w:rsidP="003A614D">
      <w:pPr>
        <w:pStyle w:val="NoSpacing"/>
      </w:pPr>
      <w:r>
        <w:t xml:space="preserve">(Mindfulness Bell) </w:t>
      </w:r>
      <w:r w:rsidRPr="00D26D7F">
        <w:t xml:space="preserve">AND </w:t>
      </w:r>
      <w:r>
        <w:t>App</w:t>
      </w:r>
    </w:p>
    <w:p w14:paraId="3633A0B9" w14:textId="69AF8575" w:rsidR="00D72AB2" w:rsidRDefault="00D72AB2" w:rsidP="003A614D">
      <w:pPr>
        <w:pStyle w:val="NoSpacing"/>
      </w:pPr>
      <w:r>
        <w:t>(</w:t>
      </w:r>
      <w:proofErr w:type="spellStart"/>
      <w:r>
        <w:t>Moodkit</w:t>
      </w:r>
      <w:proofErr w:type="spellEnd"/>
      <w:r>
        <w:t xml:space="preserve"> – Mood Improvement Tools)</w:t>
      </w:r>
      <w:r w:rsidRPr="00D72AB2">
        <w:t xml:space="preserve"> </w:t>
      </w:r>
      <w:r w:rsidRPr="00D26D7F">
        <w:t xml:space="preserve">AND </w:t>
      </w:r>
      <w:r>
        <w:t>App</w:t>
      </w:r>
    </w:p>
    <w:p w14:paraId="0D33B3D7" w14:textId="0D9FB871" w:rsidR="00D72AB2" w:rsidRDefault="00D72AB2" w:rsidP="003A614D">
      <w:pPr>
        <w:pStyle w:val="NoSpacing"/>
      </w:pPr>
      <w:r>
        <w:t>(Thought Diary Pro)</w:t>
      </w:r>
      <w:r w:rsidRPr="00D72AB2">
        <w:t xml:space="preserve"> </w:t>
      </w:r>
      <w:r w:rsidRPr="00D26D7F">
        <w:t xml:space="preserve">AND </w:t>
      </w:r>
      <w:r>
        <w:t>App</w:t>
      </w:r>
    </w:p>
    <w:p w14:paraId="0F985DD3" w14:textId="43737FD9" w:rsidR="00D72AB2" w:rsidRDefault="00D72AB2" w:rsidP="003A614D">
      <w:pPr>
        <w:pStyle w:val="NoSpacing"/>
      </w:pPr>
      <w:r>
        <w:t>(</w:t>
      </w:r>
      <w:proofErr w:type="spellStart"/>
      <w:r>
        <w:t>WellMind</w:t>
      </w:r>
      <w:proofErr w:type="spellEnd"/>
      <w:r>
        <w:t>)</w:t>
      </w:r>
      <w:r w:rsidRPr="00D72AB2">
        <w:t xml:space="preserve"> </w:t>
      </w:r>
      <w:r w:rsidRPr="00D26D7F">
        <w:t xml:space="preserve">AND </w:t>
      </w:r>
      <w:r>
        <w:t>App</w:t>
      </w:r>
    </w:p>
    <w:p w14:paraId="63540F23" w14:textId="40FC7588" w:rsidR="00D72AB2" w:rsidRDefault="00D72AB2" w:rsidP="003A614D">
      <w:pPr>
        <w:pStyle w:val="NoSpacing"/>
      </w:pPr>
      <w:r>
        <w:t>(</w:t>
      </w:r>
      <w:proofErr w:type="spellStart"/>
      <w:r>
        <w:t>Moodometer</w:t>
      </w:r>
      <w:proofErr w:type="spellEnd"/>
      <w:r>
        <w:t>)</w:t>
      </w:r>
      <w:r w:rsidRPr="00D72AB2">
        <w:t xml:space="preserve"> </w:t>
      </w:r>
      <w:r w:rsidRPr="00D26D7F">
        <w:t xml:space="preserve">AND </w:t>
      </w:r>
      <w:r>
        <w:t>App</w:t>
      </w:r>
    </w:p>
    <w:p w14:paraId="2AD5A75B" w14:textId="2C24D25E" w:rsidR="00D72AB2" w:rsidRDefault="00D72AB2" w:rsidP="003A614D">
      <w:pPr>
        <w:pStyle w:val="NoSpacing"/>
      </w:pPr>
      <w:r>
        <w:t>(</w:t>
      </w:r>
      <w:proofErr w:type="spellStart"/>
      <w:r>
        <w:t>Kooth</w:t>
      </w:r>
      <w:proofErr w:type="spellEnd"/>
      <w:r>
        <w:t>) AND Website</w:t>
      </w:r>
    </w:p>
    <w:p w14:paraId="61820847" w14:textId="1BA71D11" w:rsidR="00D72AB2" w:rsidRDefault="00D72AB2" w:rsidP="003A614D">
      <w:pPr>
        <w:pStyle w:val="NoSpacing"/>
      </w:pPr>
      <w:r>
        <w:t>(</w:t>
      </w:r>
      <w:proofErr w:type="spellStart"/>
      <w:r>
        <w:t>CBTReferee</w:t>
      </w:r>
      <w:proofErr w:type="spellEnd"/>
      <w:r>
        <w:t>)</w:t>
      </w:r>
      <w:r w:rsidRPr="00D72AB2">
        <w:t xml:space="preserve"> </w:t>
      </w:r>
      <w:r w:rsidRPr="00D26D7F">
        <w:t xml:space="preserve">AND </w:t>
      </w:r>
      <w:r>
        <w:t>App</w:t>
      </w:r>
    </w:p>
    <w:p w14:paraId="54846ACD" w14:textId="7512E280" w:rsidR="00D72AB2" w:rsidRDefault="00D72AB2" w:rsidP="003A614D">
      <w:pPr>
        <w:pStyle w:val="NoSpacing"/>
      </w:pPr>
      <w:r>
        <w:t>(</w:t>
      </w:r>
      <w:proofErr w:type="spellStart"/>
      <w:proofErr w:type="gramStart"/>
      <w:r>
        <w:t>iCBT</w:t>
      </w:r>
      <w:proofErr w:type="spellEnd"/>
      <w:proofErr w:type="gramEnd"/>
      <w:r>
        <w:t>)</w:t>
      </w:r>
      <w:r w:rsidRPr="00D72AB2">
        <w:t xml:space="preserve"> </w:t>
      </w:r>
      <w:r w:rsidRPr="00D26D7F">
        <w:t xml:space="preserve">AND </w:t>
      </w:r>
      <w:r>
        <w:t>App</w:t>
      </w:r>
    </w:p>
    <w:p w14:paraId="77022099" w14:textId="708833B8" w:rsidR="00D72AB2" w:rsidRDefault="00D72AB2" w:rsidP="003A614D">
      <w:pPr>
        <w:pStyle w:val="NoSpacing"/>
      </w:pPr>
      <w:r>
        <w:t>(Thought Diary)</w:t>
      </w:r>
      <w:r w:rsidRPr="00D72AB2">
        <w:t xml:space="preserve"> </w:t>
      </w:r>
      <w:r w:rsidRPr="00D26D7F">
        <w:t xml:space="preserve">AND </w:t>
      </w:r>
      <w:r>
        <w:t>App</w:t>
      </w:r>
    </w:p>
    <w:p w14:paraId="27A97D87" w14:textId="3435175A" w:rsidR="00D72AB2" w:rsidRDefault="00D72AB2" w:rsidP="003A614D">
      <w:pPr>
        <w:pStyle w:val="NoSpacing"/>
      </w:pPr>
      <w:r>
        <w:t>(Stay Alive)</w:t>
      </w:r>
      <w:r w:rsidRPr="00D72AB2">
        <w:t xml:space="preserve"> </w:t>
      </w:r>
      <w:r w:rsidRPr="00D26D7F">
        <w:t xml:space="preserve">AND </w:t>
      </w:r>
      <w:r>
        <w:t>App</w:t>
      </w:r>
    </w:p>
    <w:p w14:paraId="2C4165E8" w14:textId="73CD94C2" w:rsidR="00D72AB2" w:rsidRDefault="00D72AB2" w:rsidP="003A614D">
      <w:pPr>
        <w:pStyle w:val="NoSpacing"/>
      </w:pPr>
      <w:r>
        <w:t>(Take a break!)</w:t>
      </w:r>
      <w:r w:rsidRPr="00D72AB2">
        <w:t xml:space="preserve"> </w:t>
      </w:r>
      <w:r w:rsidRPr="00D26D7F">
        <w:t xml:space="preserve">AND </w:t>
      </w:r>
      <w:r>
        <w:t>App</w:t>
      </w:r>
    </w:p>
    <w:p w14:paraId="63EF4228" w14:textId="30D0D81B" w:rsidR="00D72AB2" w:rsidRDefault="00D72AB2" w:rsidP="003A614D">
      <w:pPr>
        <w:pStyle w:val="NoSpacing"/>
      </w:pPr>
      <w:r>
        <w:t>(</w:t>
      </w:r>
      <w:proofErr w:type="spellStart"/>
      <w:r>
        <w:t>Mindshift</w:t>
      </w:r>
      <w:proofErr w:type="spellEnd"/>
      <w:r>
        <w:t>)</w:t>
      </w:r>
      <w:r w:rsidRPr="00D72AB2">
        <w:t xml:space="preserve"> </w:t>
      </w:r>
      <w:r w:rsidRPr="00D26D7F">
        <w:t xml:space="preserve">AND </w:t>
      </w:r>
      <w:r>
        <w:t>App</w:t>
      </w:r>
    </w:p>
    <w:p w14:paraId="6CC9E04E" w14:textId="06F8BAFB" w:rsidR="00D72AB2" w:rsidRDefault="00D72AB2" w:rsidP="003A614D">
      <w:pPr>
        <w:pStyle w:val="NoSpacing"/>
      </w:pPr>
      <w:r>
        <w:t>(</w:t>
      </w:r>
      <w:proofErr w:type="spellStart"/>
      <w:r>
        <w:t>Moodscope</w:t>
      </w:r>
      <w:proofErr w:type="spellEnd"/>
      <w:r>
        <w:t>)</w:t>
      </w:r>
      <w:r w:rsidRPr="00D72AB2">
        <w:t xml:space="preserve"> </w:t>
      </w:r>
      <w:r w:rsidRPr="00D26D7F">
        <w:t>AND Website</w:t>
      </w:r>
    </w:p>
    <w:p w14:paraId="17AF0022" w14:textId="56FF4093" w:rsidR="00D72AB2" w:rsidRDefault="00D72AB2" w:rsidP="003A614D">
      <w:pPr>
        <w:pStyle w:val="NoSpacing"/>
      </w:pPr>
      <w:r>
        <w:t>(</w:t>
      </w:r>
      <w:proofErr w:type="spellStart"/>
      <w:r>
        <w:t>DigitalMeds</w:t>
      </w:r>
      <w:proofErr w:type="spellEnd"/>
      <w:r>
        <w:t>)</w:t>
      </w:r>
      <w:r w:rsidRPr="00D72AB2">
        <w:t xml:space="preserve"> </w:t>
      </w:r>
      <w:r w:rsidRPr="00D26D7F">
        <w:t xml:space="preserve">AND </w:t>
      </w:r>
      <w:r>
        <w:t>App</w:t>
      </w:r>
    </w:p>
    <w:p w14:paraId="2FA4CC21" w14:textId="195D2D28" w:rsidR="00D72AB2" w:rsidRDefault="00D72AB2" w:rsidP="003A614D">
      <w:pPr>
        <w:pStyle w:val="NoSpacing"/>
      </w:pPr>
      <w:r>
        <w:t>(How Are You App)</w:t>
      </w:r>
      <w:r w:rsidRPr="00D72AB2">
        <w:t xml:space="preserve"> </w:t>
      </w:r>
      <w:r w:rsidRPr="00D26D7F">
        <w:t xml:space="preserve">AND </w:t>
      </w:r>
      <w:r>
        <w:t>App</w:t>
      </w:r>
    </w:p>
    <w:p w14:paraId="6037D52B" w14:textId="269A24A2" w:rsidR="00D72AB2" w:rsidRDefault="00D72AB2" w:rsidP="003A614D">
      <w:pPr>
        <w:pStyle w:val="NoSpacing"/>
      </w:pPr>
      <w:r>
        <w:t xml:space="preserve">(Mindfulness by </w:t>
      </w:r>
      <w:proofErr w:type="spellStart"/>
      <w:r>
        <w:t>Digipill</w:t>
      </w:r>
      <w:proofErr w:type="spellEnd"/>
      <w:r>
        <w:t>)</w:t>
      </w:r>
      <w:r w:rsidRPr="00D72AB2">
        <w:t xml:space="preserve"> </w:t>
      </w:r>
      <w:r w:rsidRPr="00D26D7F">
        <w:t xml:space="preserve">AND </w:t>
      </w:r>
      <w:r>
        <w:t>App</w:t>
      </w:r>
    </w:p>
    <w:p w14:paraId="58F9C1E3" w14:textId="027C312C" w:rsidR="00D72AB2" w:rsidRDefault="00D72AB2" w:rsidP="003A614D">
      <w:pPr>
        <w:pStyle w:val="NoSpacing"/>
      </w:pPr>
      <w:r>
        <w:t>(</w:t>
      </w:r>
      <w:proofErr w:type="spellStart"/>
      <w:r>
        <w:t>Mindlogr</w:t>
      </w:r>
      <w:proofErr w:type="spellEnd"/>
      <w:r>
        <w:t>)</w:t>
      </w:r>
      <w:r w:rsidRPr="00D72AB2">
        <w:t xml:space="preserve"> </w:t>
      </w:r>
      <w:r w:rsidRPr="00D26D7F">
        <w:t xml:space="preserve">AND </w:t>
      </w:r>
      <w:r>
        <w:t>App</w:t>
      </w:r>
    </w:p>
    <w:p w14:paraId="0090178E" w14:textId="7177220C" w:rsidR="00D72AB2" w:rsidRDefault="00D72AB2" w:rsidP="003A614D">
      <w:pPr>
        <w:pStyle w:val="NoSpacing"/>
      </w:pPr>
      <w:r>
        <w:t>(Panic Attack Aid)</w:t>
      </w:r>
      <w:r w:rsidRPr="00D72AB2">
        <w:t xml:space="preserve"> </w:t>
      </w:r>
      <w:r w:rsidRPr="00D26D7F">
        <w:t xml:space="preserve">AND </w:t>
      </w:r>
      <w:r>
        <w:t>App</w:t>
      </w:r>
    </w:p>
    <w:p w14:paraId="32E46041" w14:textId="026227FE" w:rsidR="00D72AB2" w:rsidRDefault="00D72AB2" w:rsidP="003A614D">
      <w:pPr>
        <w:pStyle w:val="NoSpacing"/>
      </w:pPr>
      <w:r>
        <w:t>(Phobia Free)</w:t>
      </w:r>
      <w:r w:rsidRPr="00D72AB2">
        <w:t xml:space="preserve"> </w:t>
      </w:r>
      <w:r w:rsidRPr="00D26D7F">
        <w:t xml:space="preserve">AND </w:t>
      </w:r>
      <w:r>
        <w:t>App</w:t>
      </w:r>
    </w:p>
    <w:p w14:paraId="7E4D63E5" w14:textId="0AA4E89C" w:rsidR="00D72AB2" w:rsidRDefault="00D72AB2" w:rsidP="003A614D">
      <w:pPr>
        <w:pStyle w:val="NoSpacing"/>
      </w:pPr>
      <w:r>
        <w:t>(Stress Management App)</w:t>
      </w:r>
      <w:r w:rsidRPr="00D72AB2">
        <w:t xml:space="preserve"> </w:t>
      </w:r>
      <w:r w:rsidRPr="00D26D7F">
        <w:t xml:space="preserve">AND </w:t>
      </w:r>
      <w:r>
        <w:t>App</w:t>
      </w:r>
    </w:p>
    <w:p w14:paraId="79FE3C11" w14:textId="016D3CAA" w:rsidR="00D72AB2" w:rsidRDefault="00D72AB2" w:rsidP="003A614D">
      <w:pPr>
        <w:pStyle w:val="NoSpacing"/>
      </w:pPr>
      <w:r>
        <w:t>(</w:t>
      </w:r>
      <w:proofErr w:type="spellStart"/>
      <w:r>
        <w:t>WorkGuru</w:t>
      </w:r>
      <w:proofErr w:type="spellEnd"/>
      <w:r>
        <w:t>)</w:t>
      </w:r>
      <w:r w:rsidRPr="00D72AB2">
        <w:t xml:space="preserve"> </w:t>
      </w:r>
      <w:r w:rsidRPr="00D26D7F">
        <w:t xml:space="preserve">AND </w:t>
      </w:r>
      <w:r>
        <w:t>Website</w:t>
      </w:r>
    </w:p>
    <w:p w14:paraId="295341C0" w14:textId="0449ED96" w:rsidR="00D72AB2" w:rsidRDefault="00D72AB2" w:rsidP="003A614D">
      <w:pPr>
        <w:pStyle w:val="NoSpacing"/>
      </w:pPr>
      <w:r>
        <w:t>(Worry Watch)</w:t>
      </w:r>
      <w:r w:rsidRPr="00D72AB2">
        <w:t xml:space="preserve"> </w:t>
      </w:r>
      <w:r w:rsidRPr="00D26D7F">
        <w:t xml:space="preserve">AND </w:t>
      </w:r>
      <w:r>
        <w:t>App</w:t>
      </w:r>
    </w:p>
    <w:p w14:paraId="7A0E3A0A" w14:textId="56BCFDE1" w:rsidR="00D72AB2" w:rsidRDefault="00D72AB2" w:rsidP="003A614D">
      <w:pPr>
        <w:pStyle w:val="NoSpacing"/>
      </w:pPr>
      <w:r>
        <w:t>(</w:t>
      </w:r>
      <w:proofErr w:type="spellStart"/>
      <w:r>
        <w:t>MindEd</w:t>
      </w:r>
      <w:proofErr w:type="spellEnd"/>
      <w:r>
        <w:t>)</w:t>
      </w:r>
      <w:r w:rsidRPr="00D72AB2">
        <w:t xml:space="preserve"> </w:t>
      </w:r>
      <w:r w:rsidRPr="00D26D7F">
        <w:t xml:space="preserve">AND </w:t>
      </w:r>
      <w:r>
        <w:t>App</w:t>
      </w:r>
    </w:p>
    <w:p w14:paraId="0ED582ED" w14:textId="0D925374" w:rsidR="00D72AB2" w:rsidRDefault="00D72AB2" w:rsidP="003A614D">
      <w:pPr>
        <w:pStyle w:val="NoSpacing"/>
      </w:pPr>
      <w:r>
        <w:t>(</w:t>
      </w:r>
      <w:proofErr w:type="spellStart"/>
      <w:r>
        <w:t>Puffell</w:t>
      </w:r>
      <w:proofErr w:type="spellEnd"/>
      <w:r>
        <w:t>)</w:t>
      </w:r>
      <w:r w:rsidRPr="00D72AB2">
        <w:t xml:space="preserve"> </w:t>
      </w:r>
      <w:r w:rsidRPr="00D26D7F">
        <w:t>AND Website</w:t>
      </w:r>
    </w:p>
    <w:p w14:paraId="300C8A27" w14:textId="2B647C74" w:rsidR="00D72AB2" w:rsidRDefault="00D72AB2" w:rsidP="003A614D">
      <w:pPr>
        <w:pStyle w:val="NoSpacing"/>
      </w:pPr>
      <w:r>
        <w:t>(Virtual Hope Box)</w:t>
      </w:r>
      <w:r w:rsidRPr="00D72AB2">
        <w:t xml:space="preserve"> </w:t>
      </w:r>
      <w:r w:rsidRPr="00D26D7F">
        <w:t xml:space="preserve">AND </w:t>
      </w:r>
      <w:r>
        <w:t>App</w:t>
      </w:r>
    </w:p>
    <w:p w14:paraId="6C1CBBA7" w14:textId="490739AB" w:rsidR="00D72AB2" w:rsidRDefault="00D72AB2" w:rsidP="003A614D">
      <w:pPr>
        <w:pStyle w:val="NoSpacing"/>
      </w:pPr>
      <w:r>
        <w:t>(Aventurine Mood Improver)</w:t>
      </w:r>
      <w:r w:rsidRPr="00D72AB2">
        <w:t xml:space="preserve"> </w:t>
      </w:r>
      <w:r w:rsidRPr="00D26D7F">
        <w:t xml:space="preserve">AND </w:t>
      </w:r>
      <w:r>
        <w:t>App</w:t>
      </w:r>
    </w:p>
    <w:p w14:paraId="2557EC6E" w14:textId="353C328F" w:rsidR="00D72AB2" w:rsidRDefault="00D72AB2" w:rsidP="003A614D">
      <w:pPr>
        <w:pStyle w:val="NoSpacing"/>
      </w:pPr>
      <w:r>
        <w:t>(Black Rainbow)</w:t>
      </w:r>
      <w:r w:rsidRPr="00D72AB2">
        <w:t xml:space="preserve"> </w:t>
      </w:r>
      <w:r w:rsidRPr="00D26D7F">
        <w:t xml:space="preserve">AND </w:t>
      </w:r>
      <w:r>
        <w:t>App</w:t>
      </w:r>
    </w:p>
    <w:p w14:paraId="39160E0E" w14:textId="616C5ED4" w:rsidR="00D72AB2" w:rsidRDefault="00D72AB2" w:rsidP="003A614D">
      <w:pPr>
        <w:pStyle w:val="NoSpacing"/>
      </w:pPr>
      <w:r>
        <w:t>(Depression Calculator)</w:t>
      </w:r>
      <w:r w:rsidRPr="00D72AB2">
        <w:t xml:space="preserve"> </w:t>
      </w:r>
      <w:r w:rsidRPr="00D26D7F">
        <w:t xml:space="preserve">AND </w:t>
      </w:r>
      <w:r>
        <w:t>App</w:t>
      </w:r>
    </w:p>
    <w:p w14:paraId="1E25FD9D" w14:textId="157EE4C7" w:rsidR="00D72AB2" w:rsidRDefault="00D72AB2" w:rsidP="003A614D">
      <w:pPr>
        <w:pStyle w:val="NoSpacing"/>
      </w:pPr>
      <w:r>
        <w:t>(Five Ways to Wellbeing)</w:t>
      </w:r>
      <w:r w:rsidRPr="00D72AB2">
        <w:t xml:space="preserve"> </w:t>
      </w:r>
      <w:r w:rsidRPr="00D26D7F">
        <w:t xml:space="preserve">AND </w:t>
      </w:r>
      <w:r>
        <w:t>App</w:t>
      </w:r>
    </w:p>
    <w:p w14:paraId="327F314D" w14:textId="401B6023" w:rsidR="00D72AB2" w:rsidRDefault="00D72AB2" w:rsidP="003A614D">
      <w:pPr>
        <w:pStyle w:val="NoSpacing"/>
      </w:pPr>
      <w:r>
        <w:t>(Ginsberg)</w:t>
      </w:r>
      <w:r w:rsidRPr="00D72AB2">
        <w:t xml:space="preserve"> </w:t>
      </w:r>
      <w:r w:rsidRPr="00D26D7F">
        <w:t xml:space="preserve">AND </w:t>
      </w:r>
      <w:r>
        <w:t>App</w:t>
      </w:r>
    </w:p>
    <w:p w14:paraId="54931277" w14:textId="7544013E" w:rsidR="00D72AB2" w:rsidRDefault="00D72AB2" w:rsidP="003A614D">
      <w:pPr>
        <w:pStyle w:val="NoSpacing"/>
      </w:pPr>
      <w:r>
        <w:t>(Happy Healthy App)</w:t>
      </w:r>
      <w:r w:rsidRPr="00D72AB2">
        <w:t xml:space="preserve"> </w:t>
      </w:r>
      <w:r w:rsidRPr="00D26D7F">
        <w:t xml:space="preserve">AND </w:t>
      </w:r>
      <w:r>
        <w:t>App</w:t>
      </w:r>
    </w:p>
    <w:p w14:paraId="2938419D" w14:textId="4CF0A241" w:rsidR="00D72AB2" w:rsidRDefault="00D72AB2" w:rsidP="003A614D">
      <w:pPr>
        <w:pStyle w:val="NoSpacing"/>
      </w:pPr>
      <w:r>
        <w:t>(</w:t>
      </w:r>
      <w:proofErr w:type="spellStart"/>
      <w:r>
        <w:t>HealthStored</w:t>
      </w:r>
      <w:proofErr w:type="spellEnd"/>
      <w:r>
        <w:t>)</w:t>
      </w:r>
      <w:r w:rsidRPr="00D72AB2">
        <w:t xml:space="preserve"> </w:t>
      </w:r>
      <w:r w:rsidRPr="00D26D7F">
        <w:t xml:space="preserve">AND </w:t>
      </w:r>
      <w:r>
        <w:t>App</w:t>
      </w:r>
    </w:p>
    <w:p w14:paraId="6E39EA77" w14:textId="468D85D5" w:rsidR="00D72AB2" w:rsidRDefault="00D72AB2" w:rsidP="003A614D">
      <w:pPr>
        <w:pStyle w:val="NoSpacing"/>
      </w:pPr>
      <w:r>
        <w:t>(Healthy Living)</w:t>
      </w:r>
      <w:r w:rsidRPr="00D72AB2">
        <w:t xml:space="preserve"> </w:t>
      </w:r>
      <w:r w:rsidRPr="00D26D7F">
        <w:t xml:space="preserve">AND </w:t>
      </w:r>
      <w:r>
        <w:t>App</w:t>
      </w:r>
    </w:p>
    <w:p w14:paraId="3EE4CD8B" w14:textId="3E541DA3" w:rsidR="00D72AB2" w:rsidRDefault="00D72AB2" w:rsidP="003A614D">
      <w:pPr>
        <w:pStyle w:val="NoSpacing"/>
      </w:pPr>
      <w:r>
        <w:t>(Hello Brain Health)</w:t>
      </w:r>
      <w:r w:rsidRPr="00D72AB2">
        <w:t xml:space="preserve"> </w:t>
      </w:r>
      <w:r w:rsidRPr="00D26D7F">
        <w:t xml:space="preserve">AND </w:t>
      </w:r>
      <w:r>
        <w:t>App</w:t>
      </w:r>
    </w:p>
    <w:p w14:paraId="6AAE2024" w14:textId="3C01C737" w:rsidR="00D72AB2" w:rsidRDefault="00D72AB2" w:rsidP="003A614D">
      <w:pPr>
        <w:pStyle w:val="NoSpacing"/>
      </w:pPr>
      <w:r>
        <w:t>(</w:t>
      </w:r>
      <w:proofErr w:type="spellStart"/>
      <w:r>
        <w:t>Moodbug</w:t>
      </w:r>
      <w:proofErr w:type="spellEnd"/>
      <w:r>
        <w:t>)</w:t>
      </w:r>
      <w:r w:rsidRPr="00D72AB2">
        <w:t xml:space="preserve"> </w:t>
      </w:r>
      <w:r w:rsidRPr="00D26D7F">
        <w:t xml:space="preserve">AND </w:t>
      </w:r>
      <w:r>
        <w:t>App</w:t>
      </w:r>
    </w:p>
    <w:p w14:paraId="3513EC55" w14:textId="2B444A05" w:rsidR="00D72AB2" w:rsidRDefault="00D72AB2" w:rsidP="003A614D">
      <w:pPr>
        <w:pStyle w:val="NoSpacing"/>
      </w:pPr>
      <w:r>
        <w:t>(SAM: Self-help for Anxiety)</w:t>
      </w:r>
      <w:r w:rsidRPr="00D72AB2">
        <w:t xml:space="preserve"> </w:t>
      </w:r>
      <w:r w:rsidRPr="00D26D7F">
        <w:t xml:space="preserve">AND </w:t>
      </w:r>
      <w:r>
        <w:t>App</w:t>
      </w:r>
    </w:p>
    <w:p w14:paraId="5302BBEE" w14:textId="75D86EC4" w:rsidR="00D26D7F" w:rsidRDefault="00D72AB2" w:rsidP="003A614D">
      <w:pPr>
        <w:pStyle w:val="NoSpacing"/>
      </w:pPr>
      <w:r>
        <w:t>(Stress &amp; Anxiety Companion)</w:t>
      </w:r>
      <w:r w:rsidRPr="00D72AB2">
        <w:t xml:space="preserve"> </w:t>
      </w:r>
      <w:r w:rsidRPr="00D26D7F">
        <w:t xml:space="preserve">AND </w:t>
      </w:r>
      <w:r>
        <w:t>App</w:t>
      </w:r>
    </w:p>
    <w:p w14:paraId="32FB1269" w14:textId="77777777" w:rsidR="00983D9A" w:rsidRDefault="00983D9A" w:rsidP="00983D9A"/>
    <w:p w14:paraId="7D7CAEA1" w14:textId="75009904" w:rsidR="00D26D7F" w:rsidRDefault="00D26D7F" w:rsidP="00983D9A">
      <w:pPr>
        <w:sectPr w:rsidR="00D26D7F" w:rsidSect="00452C07">
          <w:pgSz w:w="11906" w:h="16838"/>
          <w:pgMar w:top="851" w:right="851" w:bottom="851" w:left="1134" w:header="708" w:footer="708" w:gutter="0"/>
          <w:cols w:space="708"/>
          <w:docGrid w:linePitch="360"/>
        </w:sectPr>
      </w:pPr>
    </w:p>
    <w:p w14:paraId="556B78DA" w14:textId="671A8DCC" w:rsidR="003B7CCB" w:rsidRDefault="003B7CCB" w:rsidP="007D7E3D">
      <w:pPr>
        <w:pStyle w:val="AppendixC"/>
      </w:pPr>
      <w:bookmarkStart w:id="610" w:name="_Toc530598237"/>
      <w:bookmarkStart w:id="611" w:name="_Toc530660598"/>
      <w:bookmarkStart w:id="612" w:name="_Toc3538201"/>
      <w:r>
        <w:lastRenderedPageBreak/>
        <w:t>Problem Distress Rating Scale</w:t>
      </w:r>
      <w:bookmarkEnd w:id="610"/>
      <w:bookmarkEnd w:id="611"/>
      <w:r w:rsidR="007D7E3D">
        <w:t xml:space="preserve"> (PDRS)</w:t>
      </w:r>
      <w:r w:rsidR="008E22CD">
        <w:t xml:space="preserve"> used in </w:t>
      </w:r>
      <w:r w:rsidR="00E655F3">
        <w:t>Studies IV and VI</w:t>
      </w:r>
      <w:bookmarkEnd w:id="612"/>
    </w:p>
    <w:p w14:paraId="1708372E" w14:textId="77777777" w:rsidR="003B7CCB" w:rsidRDefault="003B7CCB" w:rsidP="003B7CCB">
      <w:r>
        <w:rPr>
          <w:noProof/>
          <w:lang w:eastAsia="en-GB"/>
        </w:rPr>
        <w:drawing>
          <wp:inline distT="0" distB="0" distL="0" distR="0" wp14:anchorId="71304AEA" wp14:editId="64B6DEFA">
            <wp:extent cx="5731510" cy="8105140"/>
            <wp:effectExtent l="0" t="0" r="254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DRS-1.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p>
    <w:p w14:paraId="31398ACC" w14:textId="1731B744" w:rsidR="003B7CCB" w:rsidRDefault="003B7CCB" w:rsidP="003405AE">
      <w:pPr>
        <w:pStyle w:val="AppendixC"/>
      </w:pPr>
      <w:bookmarkStart w:id="613" w:name="_Toc530598238"/>
      <w:bookmarkStart w:id="614" w:name="_Toc530660599"/>
      <w:bookmarkStart w:id="615" w:name="_Toc3538202"/>
      <w:r>
        <w:lastRenderedPageBreak/>
        <w:t>Depression Anxiety Stress Scales 21</w:t>
      </w:r>
      <w:bookmarkEnd w:id="613"/>
      <w:bookmarkEnd w:id="614"/>
      <w:r w:rsidR="00AB2832">
        <w:t xml:space="preserve"> (DASS-21)</w:t>
      </w:r>
      <w:bookmarkEnd w:id="615"/>
    </w:p>
    <w:p w14:paraId="078E7899" w14:textId="77777777" w:rsidR="003B7CCB" w:rsidRDefault="003B7CCB" w:rsidP="003B7CCB">
      <w:r>
        <w:rPr>
          <w:noProof/>
          <w:lang w:eastAsia="en-GB"/>
        </w:rPr>
        <w:drawing>
          <wp:inline distT="0" distB="0" distL="0" distR="0" wp14:anchorId="56951348" wp14:editId="301191AA">
            <wp:extent cx="5731467" cy="8105140"/>
            <wp:effectExtent l="0" t="0" r="317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ASS-21-1.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467" cy="8105140"/>
                    </a:xfrm>
                    <a:prstGeom prst="rect">
                      <a:avLst/>
                    </a:prstGeom>
                  </pic:spPr>
                </pic:pic>
              </a:graphicData>
            </a:graphic>
          </wp:inline>
        </w:drawing>
      </w:r>
    </w:p>
    <w:p w14:paraId="20E556A3" w14:textId="15BBE8FC" w:rsidR="003B7CCB" w:rsidRDefault="003B7CCB" w:rsidP="003405AE">
      <w:pPr>
        <w:pStyle w:val="AppendixC"/>
      </w:pPr>
      <w:bookmarkStart w:id="616" w:name="_Toc530598240"/>
      <w:bookmarkStart w:id="617" w:name="_Toc530660601"/>
      <w:bookmarkStart w:id="618" w:name="_Toc3538203"/>
      <w:r>
        <w:lastRenderedPageBreak/>
        <w:t>Rating of Resolution Scale</w:t>
      </w:r>
      <w:r w:rsidR="00506CCB">
        <w:t xml:space="preserve"> </w:t>
      </w:r>
      <w:bookmarkEnd w:id="616"/>
      <w:bookmarkEnd w:id="617"/>
      <w:r w:rsidR="00AB2832">
        <w:t>(</w:t>
      </w:r>
      <w:proofErr w:type="spellStart"/>
      <w:r w:rsidR="00AB2832">
        <w:t>RoR</w:t>
      </w:r>
      <w:proofErr w:type="spellEnd"/>
      <w:r w:rsidR="00AB2832">
        <w:t>)</w:t>
      </w:r>
      <w:bookmarkEnd w:id="618"/>
    </w:p>
    <w:p w14:paraId="193968F5" w14:textId="77777777" w:rsidR="003B7CCB" w:rsidRPr="003C7ADD" w:rsidRDefault="003B7CCB" w:rsidP="003B7CCB">
      <w:r>
        <w:rPr>
          <w:noProof/>
          <w:lang w:eastAsia="en-GB"/>
        </w:rPr>
        <w:drawing>
          <wp:inline distT="0" distB="0" distL="0" distR="0" wp14:anchorId="21DCB2BA" wp14:editId="2AC15121">
            <wp:extent cx="5731510" cy="8105140"/>
            <wp:effectExtent l="0" t="0" r="254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RoR-1.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p>
    <w:p w14:paraId="4A7C4C41" w14:textId="77777777" w:rsidR="003B7CCB" w:rsidRPr="00A753DF" w:rsidRDefault="003B7CCB" w:rsidP="003B7CCB">
      <w:r>
        <w:rPr>
          <w:noProof/>
          <w:lang w:eastAsia="en-GB"/>
        </w:rPr>
        <w:lastRenderedPageBreak/>
        <w:drawing>
          <wp:inline distT="0" distB="0" distL="0" distR="0" wp14:anchorId="5552245F" wp14:editId="4B4A31FE">
            <wp:extent cx="5731510" cy="8105140"/>
            <wp:effectExtent l="0" t="0" r="254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RoR-2.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p>
    <w:p w14:paraId="1D863DDF" w14:textId="06352EDC" w:rsidR="003B7CCB" w:rsidRDefault="003B7CCB" w:rsidP="003405AE">
      <w:pPr>
        <w:pStyle w:val="AppendixC"/>
      </w:pPr>
      <w:bookmarkStart w:id="619" w:name="_Toc530598241"/>
      <w:bookmarkStart w:id="620" w:name="_Toc530660602"/>
      <w:bookmarkStart w:id="621" w:name="_Toc3538204"/>
      <w:r>
        <w:lastRenderedPageBreak/>
        <w:t>System Usability Scale</w:t>
      </w:r>
      <w:bookmarkEnd w:id="619"/>
      <w:bookmarkEnd w:id="620"/>
      <w:r w:rsidR="00AB2832">
        <w:t xml:space="preserve"> (SUS)</w:t>
      </w:r>
      <w:r w:rsidR="00E655F3">
        <w:t xml:space="preserve"> used in Studies IV, V and VI</w:t>
      </w:r>
      <w:bookmarkEnd w:id="621"/>
    </w:p>
    <w:p w14:paraId="420048D6" w14:textId="77777777" w:rsidR="003B7CCB" w:rsidRPr="006F4EFA" w:rsidRDefault="003B7CCB" w:rsidP="003B7CCB">
      <w:r>
        <w:rPr>
          <w:noProof/>
          <w:lang w:eastAsia="en-GB"/>
        </w:rPr>
        <w:drawing>
          <wp:inline distT="0" distB="0" distL="0" distR="0" wp14:anchorId="786CC32C" wp14:editId="7F887062">
            <wp:extent cx="5731510" cy="8105140"/>
            <wp:effectExtent l="0" t="0" r="254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US-1.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p>
    <w:p w14:paraId="7167C5F6" w14:textId="59833502" w:rsidR="003B7CCB" w:rsidRDefault="003B7CCB" w:rsidP="003B7CCB"/>
    <w:p w14:paraId="38DB9F32" w14:textId="77777777" w:rsidR="007D7E3D" w:rsidRPr="003B7CCB" w:rsidRDefault="007D7E3D" w:rsidP="007D7E3D">
      <w:pPr>
        <w:pStyle w:val="AppendixC"/>
      </w:pPr>
      <w:bookmarkStart w:id="622" w:name="_Toc530598244"/>
      <w:bookmarkStart w:id="623" w:name="_Toc530660605"/>
      <w:bookmarkStart w:id="624" w:name="_Toc3538205"/>
      <w:bookmarkStart w:id="625" w:name="_Toc530598256"/>
      <w:bookmarkStart w:id="626" w:name="_Toc530660617"/>
      <w:r w:rsidRPr="003B7CCB">
        <w:lastRenderedPageBreak/>
        <w:t xml:space="preserve">Study IV </w:t>
      </w:r>
      <w:r>
        <w:t xml:space="preserve">Ethics Approval </w:t>
      </w:r>
      <w:r w:rsidRPr="003B7CCB">
        <w:t>Letter</w:t>
      </w:r>
      <w:bookmarkEnd w:id="622"/>
      <w:bookmarkEnd w:id="623"/>
      <w:bookmarkEnd w:id="624"/>
    </w:p>
    <w:p w14:paraId="5C770FC3" w14:textId="77777777" w:rsidR="007D7E3D" w:rsidRDefault="007D7E3D" w:rsidP="007D7E3D">
      <w:pPr>
        <w:sectPr w:rsidR="007D7E3D" w:rsidSect="00452C07">
          <w:pgSz w:w="11906" w:h="16838"/>
          <w:pgMar w:top="851" w:right="851" w:bottom="851" w:left="1134" w:header="708" w:footer="708" w:gutter="0"/>
          <w:cols w:space="708"/>
          <w:docGrid w:linePitch="360"/>
        </w:sectPr>
      </w:pPr>
      <w:r>
        <w:rPr>
          <w:noProof/>
          <w:lang w:eastAsia="en-GB"/>
        </w:rPr>
        <w:drawing>
          <wp:inline distT="0" distB="0" distL="0" distR="0" wp14:anchorId="0BCA9368" wp14:editId="7585A52A">
            <wp:extent cx="5730240" cy="8107680"/>
            <wp:effectExtent l="0" t="0" r="3810" b="762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0240" cy="8107680"/>
                    </a:xfrm>
                    <a:prstGeom prst="rect">
                      <a:avLst/>
                    </a:prstGeom>
                    <a:noFill/>
                    <a:ln>
                      <a:noFill/>
                    </a:ln>
                  </pic:spPr>
                </pic:pic>
              </a:graphicData>
            </a:graphic>
          </wp:inline>
        </w:drawing>
      </w:r>
    </w:p>
    <w:p w14:paraId="5EA49A6F" w14:textId="77777777" w:rsidR="007D7E3D" w:rsidRDefault="007D7E3D" w:rsidP="007D7E3D">
      <w:pPr>
        <w:pStyle w:val="AppendixC"/>
      </w:pPr>
      <w:bookmarkStart w:id="627" w:name="_Toc530598245"/>
      <w:bookmarkStart w:id="628" w:name="_Toc530660606"/>
      <w:bookmarkStart w:id="629" w:name="_Toc3538206"/>
      <w:bookmarkStart w:id="630" w:name="_Toc530598248"/>
      <w:bookmarkStart w:id="631" w:name="_Toc530660609"/>
      <w:r>
        <w:lastRenderedPageBreak/>
        <w:t>Study IV Recruitment Poster</w:t>
      </w:r>
      <w:bookmarkEnd w:id="627"/>
      <w:bookmarkEnd w:id="628"/>
      <w:bookmarkEnd w:id="629"/>
    </w:p>
    <w:p w14:paraId="6BC5720F" w14:textId="77777777" w:rsidR="007D7E3D" w:rsidRPr="00256D7D" w:rsidRDefault="007D7E3D" w:rsidP="007D7E3D">
      <w:r>
        <w:rPr>
          <w:noProof/>
          <w:lang w:eastAsia="en-GB"/>
        </w:rPr>
        <w:drawing>
          <wp:inline distT="0" distB="0" distL="0" distR="0" wp14:anchorId="231E38CA" wp14:editId="59757306">
            <wp:extent cx="5731510" cy="8132445"/>
            <wp:effectExtent l="0" t="0" r="2540" b="190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Talking-computers-A4.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31510" cy="8132445"/>
                    </a:xfrm>
                    <a:prstGeom prst="rect">
                      <a:avLst/>
                    </a:prstGeom>
                  </pic:spPr>
                </pic:pic>
              </a:graphicData>
            </a:graphic>
          </wp:inline>
        </w:drawing>
      </w:r>
    </w:p>
    <w:p w14:paraId="10B58C35" w14:textId="77777777" w:rsidR="007D7E3D" w:rsidRDefault="007D7E3D" w:rsidP="007D7E3D">
      <w:pPr>
        <w:pStyle w:val="AppendixC"/>
        <w:sectPr w:rsidR="007D7E3D" w:rsidSect="00452C07">
          <w:pgSz w:w="11906" w:h="16838"/>
          <w:pgMar w:top="851" w:right="851" w:bottom="851" w:left="1134" w:header="708" w:footer="708" w:gutter="0"/>
          <w:cols w:space="708"/>
          <w:docGrid w:linePitch="360"/>
        </w:sectPr>
      </w:pPr>
      <w:bookmarkStart w:id="632" w:name="_Toc530598247"/>
      <w:bookmarkStart w:id="633" w:name="_Toc530660608"/>
    </w:p>
    <w:p w14:paraId="1FD09051" w14:textId="77777777" w:rsidR="007D7E3D" w:rsidRDefault="007D7E3D" w:rsidP="007D7E3D">
      <w:pPr>
        <w:pStyle w:val="AppendixC"/>
      </w:pPr>
      <w:bookmarkStart w:id="634" w:name="_Toc3538207"/>
      <w:bookmarkEnd w:id="632"/>
      <w:bookmarkEnd w:id="633"/>
      <w:r>
        <w:lastRenderedPageBreak/>
        <w:t>Study IV Participant Information Sheet and Consent Form</w:t>
      </w:r>
      <w:bookmarkEnd w:id="630"/>
      <w:bookmarkEnd w:id="631"/>
      <w:bookmarkEnd w:id="634"/>
    </w:p>
    <w:p w14:paraId="1F3D3CB5" w14:textId="77777777" w:rsidR="007D7E3D" w:rsidRPr="001E33AD" w:rsidRDefault="007D7E3D" w:rsidP="007D7E3D">
      <w:r>
        <w:rPr>
          <w:noProof/>
          <w:lang w:eastAsia="en-GB"/>
        </w:rPr>
        <w:drawing>
          <wp:inline distT="0" distB="0" distL="0" distR="0" wp14:anchorId="09CA9EA0" wp14:editId="3D3413C0">
            <wp:extent cx="5731510" cy="8110220"/>
            <wp:effectExtent l="0" t="0" r="2540" b="508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Consent Questionnaire-1.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1510" cy="8110220"/>
                    </a:xfrm>
                    <a:prstGeom prst="rect">
                      <a:avLst/>
                    </a:prstGeom>
                  </pic:spPr>
                </pic:pic>
              </a:graphicData>
            </a:graphic>
          </wp:inline>
        </w:drawing>
      </w:r>
    </w:p>
    <w:p w14:paraId="0B4EB7F6" w14:textId="77777777" w:rsidR="007D7E3D" w:rsidRDefault="007D7E3D" w:rsidP="007D7E3D">
      <w:pPr>
        <w:sectPr w:rsidR="007D7E3D" w:rsidSect="00452C07">
          <w:pgSz w:w="11906" w:h="16838"/>
          <w:pgMar w:top="851" w:right="851" w:bottom="851" w:left="1134" w:header="708" w:footer="708" w:gutter="0"/>
          <w:cols w:space="708"/>
          <w:docGrid w:linePitch="360"/>
        </w:sectPr>
      </w:pPr>
      <w:r>
        <w:rPr>
          <w:noProof/>
          <w:lang w:eastAsia="en-GB"/>
        </w:rPr>
        <w:lastRenderedPageBreak/>
        <w:drawing>
          <wp:inline distT="0" distB="0" distL="0" distR="0" wp14:anchorId="11E68C5D" wp14:editId="54A37691">
            <wp:extent cx="5731510" cy="8110220"/>
            <wp:effectExtent l="0" t="0" r="2540" b="508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Consent Questionnaire-2.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31510" cy="8110220"/>
                    </a:xfrm>
                    <a:prstGeom prst="rect">
                      <a:avLst/>
                    </a:prstGeom>
                  </pic:spPr>
                </pic:pic>
              </a:graphicData>
            </a:graphic>
          </wp:inline>
        </w:drawing>
      </w:r>
      <w:r>
        <w:rPr>
          <w:noProof/>
          <w:lang w:eastAsia="en-GB"/>
        </w:rPr>
        <w:lastRenderedPageBreak/>
        <w:drawing>
          <wp:inline distT="0" distB="0" distL="0" distR="0" wp14:anchorId="1E088E04" wp14:editId="493CF42A">
            <wp:extent cx="5731510" cy="8110220"/>
            <wp:effectExtent l="0" t="0" r="2540" b="508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Consent Questionnaire-3.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31510" cy="8110220"/>
                    </a:xfrm>
                    <a:prstGeom prst="rect">
                      <a:avLst/>
                    </a:prstGeom>
                  </pic:spPr>
                </pic:pic>
              </a:graphicData>
            </a:graphic>
          </wp:inline>
        </w:drawing>
      </w:r>
    </w:p>
    <w:p w14:paraId="245721F1" w14:textId="77777777" w:rsidR="00D84B8D" w:rsidRDefault="00D84B8D" w:rsidP="00D84B8D">
      <w:pPr>
        <w:pStyle w:val="AppendixC"/>
      </w:pPr>
      <w:bookmarkStart w:id="635" w:name="_Toc3538208"/>
      <w:bookmarkStart w:id="636" w:name="_Toc530598261"/>
      <w:bookmarkStart w:id="637" w:name="_Toc530660622"/>
      <w:r>
        <w:lastRenderedPageBreak/>
        <w:t>ELIZA Tips</w:t>
      </w:r>
      <w:bookmarkEnd w:id="635"/>
    </w:p>
    <w:p w14:paraId="3DBDE029" w14:textId="77777777" w:rsidR="00D84B8D" w:rsidRPr="00E162B0" w:rsidRDefault="00D84B8D" w:rsidP="00D84B8D">
      <w:r>
        <w:rPr>
          <w:noProof/>
          <w:lang w:eastAsia="en-GB"/>
        </w:rPr>
        <w:drawing>
          <wp:inline distT="0" distB="0" distL="0" distR="0" wp14:anchorId="1699EAB6" wp14:editId="29CE14D8">
            <wp:extent cx="5731510" cy="8110220"/>
            <wp:effectExtent l="0" t="0" r="2540" b="508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ELIZA Tips-1.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31510" cy="8110220"/>
                    </a:xfrm>
                    <a:prstGeom prst="rect">
                      <a:avLst/>
                    </a:prstGeom>
                  </pic:spPr>
                </pic:pic>
              </a:graphicData>
            </a:graphic>
          </wp:inline>
        </w:drawing>
      </w:r>
    </w:p>
    <w:p w14:paraId="384D54EB" w14:textId="77777777" w:rsidR="00D84B8D" w:rsidRDefault="00D84B8D" w:rsidP="00D84B8D">
      <w:pPr>
        <w:pStyle w:val="AppendixC"/>
      </w:pPr>
      <w:bookmarkStart w:id="638" w:name="_Toc530598257"/>
      <w:bookmarkStart w:id="639" w:name="_Toc530660618"/>
      <w:bookmarkStart w:id="640" w:name="_Toc3538209"/>
      <w:r>
        <w:lastRenderedPageBreak/>
        <w:t>MYLO Tips</w:t>
      </w:r>
      <w:bookmarkEnd w:id="638"/>
      <w:bookmarkEnd w:id="639"/>
      <w:bookmarkEnd w:id="640"/>
    </w:p>
    <w:p w14:paraId="09BF94EA" w14:textId="77777777" w:rsidR="00D84B8D" w:rsidRPr="00E162B0" w:rsidRDefault="00D84B8D" w:rsidP="00D84B8D">
      <w:r>
        <w:rPr>
          <w:noProof/>
          <w:lang w:eastAsia="en-GB"/>
        </w:rPr>
        <w:drawing>
          <wp:inline distT="0" distB="0" distL="0" distR="0" wp14:anchorId="62027C4E" wp14:editId="1467B460">
            <wp:extent cx="5731510" cy="8110220"/>
            <wp:effectExtent l="0" t="0" r="2540" b="508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YLO Tips-1.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31510" cy="8110220"/>
                    </a:xfrm>
                    <a:prstGeom prst="rect">
                      <a:avLst/>
                    </a:prstGeom>
                  </pic:spPr>
                </pic:pic>
              </a:graphicData>
            </a:graphic>
          </wp:inline>
        </w:drawing>
      </w:r>
    </w:p>
    <w:p w14:paraId="15C08ACF" w14:textId="77777777" w:rsidR="00D84B8D" w:rsidRPr="00C46650" w:rsidRDefault="00D84B8D" w:rsidP="00D84B8D"/>
    <w:p w14:paraId="65F4016D" w14:textId="77777777" w:rsidR="007D7E3D" w:rsidRDefault="007D7E3D" w:rsidP="007D7E3D">
      <w:pPr>
        <w:pStyle w:val="AppendixC"/>
      </w:pPr>
      <w:bookmarkStart w:id="641" w:name="_Toc3538210"/>
      <w:r>
        <w:lastRenderedPageBreak/>
        <w:t xml:space="preserve">Study IV </w:t>
      </w:r>
      <w:bookmarkEnd w:id="636"/>
      <w:bookmarkEnd w:id="637"/>
      <w:r>
        <w:t>Participant Debrief</w:t>
      </w:r>
      <w:bookmarkEnd w:id="641"/>
    </w:p>
    <w:p w14:paraId="5CE7A11E" w14:textId="77777777" w:rsidR="007D7E3D" w:rsidRPr="00D84B8D" w:rsidRDefault="007D7E3D" w:rsidP="00D84B8D">
      <w:r w:rsidRPr="00D84B8D">
        <w:t>Thank you for participating in this study.</w:t>
      </w:r>
    </w:p>
    <w:p w14:paraId="29481493" w14:textId="1F1DFA5A" w:rsidR="00D84B8D" w:rsidRDefault="007D7E3D" w:rsidP="00D84B8D">
      <w:r w:rsidRPr="00D84B8D">
        <w:t>You interacted with one of two programs</w:t>
      </w:r>
      <w:r w:rsidR="00554CB4">
        <w:t xml:space="preserve">.  </w:t>
      </w:r>
      <w:r w:rsidRPr="00D84B8D">
        <w:t>This is because we wanted to compare a program called Manage Your Life Online (MYLO) with a program called ELIZA and see which was best at helping older adults solve problems.</w:t>
      </w:r>
    </w:p>
    <w:p w14:paraId="15CAAAA3" w14:textId="10C4A5C6" w:rsidR="007D7E3D" w:rsidRPr="00D84B8D" w:rsidRDefault="007D7E3D" w:rsidP="00D84B8D">
      <w:r w:rsidRPr="00D84B8D">
        <w:t>Previous research has shown MYLO to be an acceptable problem-solving aid for young adults</w:t>
      </w:r>
      <w:r w:rsidR="00554CB4">
        <w:t xml:space="preserve">.  </w:t>
      </w:r>
      <w:r w:rsidRPr="00D84B8D">
        <w:t>This study is important because its results will assist in the further development of MYLO</w:t>
      </w:r>
      <w:r w:rsidR="00554CB4">
        <w:t xml:space="preserve">.  </w:t>
      </w:r>
      <w:r w:rsidRPr="00D84B8D">
        <w:t>In this study we randomly assigned participants to talk with either MYLO or ELIZA</w:t>
      </w:r>
      <w:r w:rsidR="00554CB4">
        <w:t xml:space="preserve">.  </w:t>
      </w:r>
      <w:r w:rsidRPr="00D84B8D">
        <w:t>We expect to find MYLO to be the more acceptable problem-solving aid for older adults as MYLO was specially designed to aid in problem-solving, while ELIZA is a simulation of conversation with another person.</w:t>
      </w:r>
    </w:p>
    <w:p w14:paraId="1B00F1C1" w14:textId="388663CC" w:rsidR="007D7E3D" w:rsidRPr="00D84B8D" w:rsidRDefault="007D7E3D" w:rsidP="00D84B8D">
      <w:r w:rsidRPr="00D84B8D">
        <w:t>In the next phase of research, we will be looking at how we can improve MYLO's acceptability.  This will be done by evaluating a series of possible enhancements via older adult feedback</w:t>
      </w:r>
      <w:r w:rsidR="00554CB4">
        <w:t xml:space="preserve">.  </w:t>
      </w:r>
      <w:r w:rsidRPr="00D84B8D">
        <w:t>If you're interested in being part of this work, then please feel free to contact me.</w:t>
      </w:r>
    </w:p>
    <w:p w14:paraId="0E4737FB" w14:textId="5F7FAC73" w:rsidR="007D7E3D" w:rsidRPr="00D84B8D" w:rsidRDefault="007D7E3D" w:rsidP="00D84B8D">
      <w:r w:rsidRPr="00D84B8D">
        <w:t>Thank you for your participation in our research</w:t>
      </w:r>
      <w:r w:rsidR="00554CB4">
        <w:t xml:space="preserve">.  </w:t>
      </w:r>
      <w:r w:rsidRPr="00D84B8D">
        <w:t>If you have any questions, please contact me using the details below.</w:t>
      </w:r>
    </w:p>
    <w:p w14:paraId="5D3B5ADE" w14:textId="01527F12" w:rsidR="007D7E3D" w:rsidRPr="00D84B8D" w:rsidRDefault="007D7E3D" w:rsidP="00D84B8D">
      <w:r w:rsidRPr="00D84B8D">
        <w:t>Please remember, the program(s) involved in this study are not a substitute for seeking professional help</w:t>
      </w:r>
      <w:r w:rsidR="00554CB4">
        <w:t xml:space="preserve">.  </w:t>
      </w:r>
      <w:r w:rsidRPr="00D84B8D">
        <w:t>If you are feeling distressed, you should contact your GP</w:t>
      </w:r>
    </w:p>
    <w:p w14:paraId="4919E9D0" w14:textId="5F3090E3" w:rsidR="007D7E3D" w:rsidRPr="00D84B8D" w:rsidRDefault="007D7E3D" w:rsidP="00D84B8D">
      <w:r w:rsidRPr="00D84B8D">
        <w:t xml:space="preserve">If completing this study has made you feel worried or </w:t>
      </w:r>
      <w:proofErr w:type="spellStart"/>
      <w:r w:rsidRPr="00D84B8D">
        <w:t>stressed</w:t>
      </w:r>
      <w:proofErr w:type="gramStart"/>
      <w:r w:rsidRPr="00D84B8D">
        <w:t>:You</w:t>
      </w:r>
      <w:proofErr w:type="spellEnd"/>
      <w:proofErr w:type="gramEnd"/>
      <w:r w:rsidRPr="00D84B8D">
        <w:t xml:space="preserve"> should contact your GP, who will be able to advise you on the support services available in your local area.</w:t>
      </w:r>
    </w:p>
    <w:p w14:paraId="022BB160" w14:textId="77777777" w:rsidR="007D7E3D" w:rsidRPr="00D84B8D" w:rsidRDefault="007D7E3D" w:rsidP="00D84B8D">
      <w:r w:rsidRPr="00D84B8D">
        <w:t>If you need urgent support, you can call</w:t>
      </w:r>
      <w:r w:rsidRPr="00D84B8D">
        <w:br/>
        <w:t>Samaritans on 08457 90 90 90 or </w:t>
      </w:r>
      <w:hyperlink r:id="rId84" w:history="1">
        <w:r w:rsidRPr="00D84B8D">
          <w:rPr>
            <w:rStyle w:val="Hyperlink"/>
          </w:rPr>
          <w:t>www.samaritans.org</w:t>
        </w:r>
      </w:hyperlink>
      <w:r w:rsidRPr="00D84B8D">
        <w:br/>
        <w:t>MIND on 0300 123 3393 or </w:t>
      </w:r>
      <w:hyperlink r:id="rId85" w:history="1">
        <w:r w:rsidRPr="00D84B8D">
          <w:rPr>
            <w:rStyle w:val="Hyperlink"/>
          </w:rPr>
          <w:t>www.mind.org.uk</w:t>
        </w:r>
      </w:hyperlink>
      <w:r w:rsidRPr="00D84B8D">
        <w:br/>
      </w:r>
      <w:proofErr w:type="gramStart"/>
      <w:r w:rsidRPr="00D84B8D">
        <w:t>You</w:t>
      </w:r>
      <w:proofErr w:type="gramEnd"/>
      <w:r w:rsidRPr="00D84B8D">
        <w:t xml:space="preserve"> can also contact your GP.</w:t>
      </w:r>
    </w:p>
    <w:p w14:paraId="61405710" w14:textId="77777777" w:rsidR="007D7E3D" w:rsidRPr="00D84B8D" w:rsidRDefault="007D7E3D" w:rsidP="00D84B8D">
      <w:r w:rsidRPr="00D84B8D">
        <w:t>If you'd like further information</w:t>
      </w:r>
      <w:r w:rsidRPr="00D84B8D">
        <w:br/>
      </w:r>
      <w:proofErr w:type="gramStart"/>
      <w:r w:rsidRPr="00D84B8D">
        <w:t>For</w:t>
      </w:r>
      <w:proofErr w:type="gramEnd"/>
      <w:r w:rsidRPr="00D84B8D">
        <w:t xml:space="preserve"> an overview of this project, please watch the following video: </w:t>
      </w:r>
      <w:hyperlink r:id="rId86" w:history="1">
        <w:r w:rsidRPr="00D84B8D">
          <w:rPr>
            <w:rStyle w:val="Hyperlink"/>
          </w:rPr>
          <w:t>https://youtu.be/djTNx0-z8QI</w:t>
        </w:r>
      </w:hyperlink>
    </w:p>
    <w:p w14:paraId="7C58DA93" w14:textId="77777777" w:rsidR="007D7E3D" w:rsidRPr="00D84B8D" w:rsidRDefault="007D7E3D" w:rsidP="00D84B8D">
      <w:r w:rsidRPr="00D84B8D">
        <w:t>Contact information</w:t>
      </w:r>
      <w:r w:rsidRPr="00D84B8D">
        <w:br/>
      </w:r>
      <w:proofErr w:type="gramStart"/>
      <w:r w:rsidRPr="00D84B8D">
        <w:t>If</w:t>
      </w:r>
      <w:proofErr w:type="gramEnd"/>
      <w:r w:rsidRPr="00D84B8D">
        <w:t xml:space="preserve"> you have any questions or would like to know more about the research team's project, please contact</w:t>
      </w:r>
    </w:p>
    <w:p w14:paraId="31FC744D" w14:textId="77777777" w:rsidR="00D84B8D" w:rsidRDefault="007D7E3D" w:rsidP="00D84B8D">
      <w:r w:rsidRPr="00D84B8D">
        <w:t>Matthew Bennion</w:t>
      </w:r>
      <w:r w:rsidRPr="00D84B8D">
        <w:br/>
        <w:t>PhD Researcher</w:t>
      </w:r>
      <w:r w:rsidRPr="00D84B8D">
        <w:br/>
        <w:t>Department of Psychology</w:t>
      </w:r>
      <w:r w:rsidRPr="00D84B8D">
        <w:br/>
        <w:t>University of Sheffield</w:t>
      </w:r>
      <w:r w:rsidRPr="00D84B8D">
        <w:br/>
      </w:r>
      <w:hyperlink r:id="rId87" w:history="1">
        <w:r w:rsidRPr="00D84B8D">
          <w:rPr>
            <w:rStyle w:val="Hyperlink"/>
          </w:rPr>
          <w:t>m.bennion@sheffield.ac.uk</w:t>
        </w:r>
      </w:hyperlink>
    </w:p>
    <w:p w14:paraId="6D7414E2" w14:textId="2157CA69" w:rsidR="007D7E3D" w:rsidRPr="00D84B8D" w:rsidRDefault="007D7E3D" w:rsidP="00D84B8D">
      <w:r w:rsidRPr="00D84B8D">
        <w:lastRenderedPageBreak/>
        <w:t>You can also contact Matthew’s supervisory team, Dr Abigail Millings, Prof Roger Moore and Prof Gillian Hardy at the University of Sheffield, by emailing</w:t>
      </w:r>
      <w:r w:rsidR="00D84B8D">
        <w:t xml:space="preserve"> </w:t>
      </w:r>
      <w:hyperlink r:id="rId88" w:history="1">
        <w:r w:rsidR="00D84B8D" w:rsidRPr="00042E84">
          <w:rPr>
            <w:rStyle w:val="Hyperlink"/>
          </w:rPr>
          <w:t>a.millings@sheffield.ac.uk</w:t>
        </w:r>
      </w:hyperlink>
    </w:p>
    <w:p w14:paraId="7A4F11E1" w14:textId="77777777" w:rsidR="007D7E3D" w:rsidRDefault="007D7E3D" w:rsidP="00D84B8D">
      <w:pPr>
        <w:pStyle w:val="AppendixC"/>
        <w:numPr>
          <w:ilvl w:val="0"/>
          <w:numId w:val="0"/>
        </w:numPr>
        <w:ind w:left="360"/>
        <w:sectPr w:rsidR="007D7E3D" w:rsidSect="00452C07">
          <w:pgSz w:w="11906" w:h="16838"/>
          <w:pgMar w:top="851" w:right="851" w:bottom="851" w:left="1134" w:header="708" w:footer="708" w:gutter="0"/>
          <w:cols w:space="708"/>
          <w:docGrid w:linePitch="360"/>
        </w:sectPr>
      </w:pPr>
    </w:p>
    <w:bookmarkEnd w:id="625"/>
    <w:bookmarkEnd w:id="626"/>
    <w:p w14:paraId="45260EED" w14:textId="77777777" w:rsidR="003B7CCB" w:rsidRDefault="003B7CCB" w:rsidP="00AB2832">
      <w:pPr>
        <w:pStyle w:val="AppendixB"/>
        <w:numPr>
          <w:ilvl w:val="0"/>
          <w:numId w:val="0"/>
        </w:numPr>
        <w:sectPr w:rsidR="003B7CCB" w:rsidSect="00452C07">
          <w:pgSz w:w="11906" w:h="16838"/>
          <w:pgMar w:top="851" w:right="851" w:bottom="851" w:left="1134" w:header="708" w:footer="708" w:gutter="0"/>
          <w:cols w:space="708"/>
          <w:docGrid w:linePitch="360"/>
        </w:sectPr>
      </w:pPr>
    </w:p>
    <w:p w14:paraId="3AF3F278" w14:textId="375F6B13" w:rsidR="003B7CCB" w:rsidRDefault="003B7CCB" w:rsidP="003B7CCB">
      <w:pPr>
        <w:rPr>
          <w:rFonts w:ascii="Arial" w:hAnsi="Arial" w:cs="Arial"/>
        </w:rPr>
      </w:pPr>
    </w:p>
    <w:p w14:paraId="3B0FBFA8" w14:textId="77777777" w:rsidR="008B455C" w:rsidRPr="00650DD0" w:rsidRDefault="008B455C" w:rsidP="008B455C">
      <w:pPr>
        <w:pStyle w:val="AppendixD"/>
      </w:pPr>
      <w:bookmarkStart w:id="642" w:name="_Toc530598290"/>
      <w:bookmarkStart w:id="643" w:name="_Toc530660651"/>
      <w:bookmarkStart w:id="644" w:name="_Toc3538211"/>
      <w:bookmarkStart w:id="645" w:name="_Toc530598291"/>
      <w:bookmarkStart w:id="646" w:name="_Toc530660652"/>
      <w:bookmarkStart w:id="647" w:name="_Toc530598278"/>
      <w:bookmarkStart w:id="648" w:name="_Toc530660639"/>
      <w:bookmarkStart w:id="649" w:name="_Toc530598273"/>
      <w:bookmarkStart w:id="650" w:name="_Toc530660634"/>
      <w:r>
        <w:t>MYLO Introduction Screenshots</w:t>
      </w:r>
      <w:bookmarkEnd w:id="642"/>
      <w:bookmarkEnd w:id="643"/>
      <w:bookmarkEnd w:id="644"/>
    </w:p>
    <w:p w14:paraId="66386406" w14:textId="77777777" w:rsidR="008B455C" w:rsidRDefault="008B455C" w:rsidP="008B455C">
      <w:pPr>
        <w:pStyle w:val="NoSpacing"/>
      </w:pPr>
      <w:r>
        <w:rPr>
          <w:noProof/>
          <w:lang w:val="en-GB" w:eastAsia="en-GB"/>
        </w:rPr>
        <w:drawing>
          <wp:inline distT="0" distB="0" distL="0" distR="0" wp14:anchorId="41570C0C" wp14:editId="4376112F">
            <wp:extent cx="5400000" cy="2896831"/>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1.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400000" cy="2896831"/>
                    </a:xfrm>
                    <a:prstGeom prst="rect">
                      <a:avLst/>
                    </a:prstGeom>
                  </pic:spPr>
                </pic:pic>
              </a:graphicData>
            </a:graphic>
          </wp:inline>
        </w:drawing>
      </w:r>
      <w:r>
        <w:br/>
      </w:r>
      <w:r>
        <w:rPr>
          <w:noProof/>
          <w:lang w:val="en-GB" w:eastAsia="en-GB"/>
        </w:rPr>
        <w:drawing>
          <wp:inline distT="0" distB="0" distL="0" distR="0" wp14:anchorId="237E1656" wp14:editId="372BA80D">
            <wp:extent cx="5400000" cy="289683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shot2.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00000" cy="2896831"/>
                    </a:xfrm>
                    <a:prstGeom prst="rect">
                      <a:avLst/>
                    </a:prstGeom>
                  </pic:spPr>
                </pic:pic>
              </a:graphicData>
            </a:graphic>
          </wp:inline>
        </w:drawing>
      </w:r>
    </w:p>
    <w:p w14:paraId="1C622BC6" w14:textId="77777777" w:rsidR="008B455C" w:rsidRDefault="008B455C" w:rsidP="008B455C">
      <w:pPr>
        <w:pStyle w:val="NoSpacing"/>
        <w:sectPr w:rsidR="008B455C" w:rsidSect="00452C07">
          <w:pgSz w:w="11906" w:h="16838"/>
          <w:pgMar w:top="851" w:right="851" w:bottom="851" w:left="1134" w:header="708" w:footer="708" w:gutter="0"/>
          <w:cols w:space="708"/>
          <w:docGrid w:linePitch="360"/>
        </w:sectPr>
      </w:pPr>
      <w:r>
        <w:rPr>
          <w:noProof/>
          <w:lang w:val="en-GB" w:eastAsia="en-GB"/>
        </w:rPr>
        <w:drawing>
          <wp:inline distT="0" distB="0" distL="0" distR="0" wp14:anchorId="20DAC727" wp14:editId="0416E123">
            <wp:extent cx="5400000" cy="2896831"/>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shot3.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00000" cy="2896831"/>
                    </a:xfrm>
                    <a:prstGeom prst="rect">
                      <a:avLst/>
                    </a:prstGeom>
                  </pic:spPr>
                </pic:pic>
              </a:graphicData>
            </a:graphic>
          </wp:inline>
        </w:drawing>
      </w:r>
    </w:p>
    <w:p w14:paraId="7D360C7D" w14:textId="77777777" w:rsidR="008B455C" w:rsidRDefault="008B455C" w:rsidP="008B455C">
      <w:pPr>
        <w:pStyle w:val="NoSpacing"/>
      </w:pPr>
      <w:r>
        <w:rPr>
          <w:noProof/>
          <w:lang w:val="en-GB" w:eastAsia="en-GB"/>
        </w:rPr>
        <w:lastRenderedPageBreak/>
        <w:drawing>
          <wp:inline distT="0" distB="0" distL="0" distR="0" wp14:anchorId="7CC7B781" wp14:editId="14D7CE1F">
            <wp:extent cx="5400000" cy="2896831"/>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shot4.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400000" cy="2896831"/>
                    </a:xfrm>
                    <a:prstGeom prst="rect">
                      <a:avLst/>
                    </a:prstGeom>
                  </pic:spPr>
                </pic:pic>
              </a:graphicData>
            </a:graphic>
          </wp:inline>
        </w:drawing>
      </w:r>
    </w:p>
    <w:p w14:paraId="1D8A1524" w14:textId="77777777" w:rsidR="008B455C" w:rsidRDefault="008B455C" w:rsidP="008B455C">
      <w:pPr>
        <w:pStyle w:val="NoSpacing"/>
      </w:pPr>
      <w:r>
        <w:rPr>
          <w:noProof/>
          <w:lang w:val="en-GB" w:eastAsia="en-GB"/>
        </w:rPr>
        <w:drawing>
          <wp:inline distT="0" distB="0" distL="0" distR="0" wp14:anchorId="360B3149" wp14:editId="666E95EF">
            <wp:extent cx="5400000" cy="289683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5.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00000" cy="2896831"/>
                    </a:xfrm>
                    <a:prstGeom prst="rect">
                      <a:avLst/>
                    </a:prstGeom>
                  </pic:spPr>
                </pic:pic>
              </a:graphicData>
            </a:graphic>
          </wp:inline>
        </w:drawing>
      </w:r>
    </w:p>
    <w:p w14:paraId="5559D820" w14:textId="77777777" w:rsidR="008B455C" w:rsidRDefault="008B455C" w:rsidP="008B455C">
      <w:pPr>
        <w:pStyle w:val="NoSpacing"/>
        <w:sectPr w:rsidR="008B455C" w:rsidSect="00452C07">
          <w:pgSz w:w="11906" w:h="16838"/>
          <w:pgMar w:top="851" w:right="851" w:bottom="851" w:left="1134" w:header="708" w:footer="708" w:gutter="0"/>
          <w:cols w:space="708"/>
          <w:docGrid w:linePitch="360"/>
        </w:sectPr>
      </w:pPr>
      <w:r>
        <w:rPr>
          <w:noProof/>
          <w:lang w:val="en-GB" w:eastAsia="en-GB"/>
        </w:rPr>
        <w:drawing>
          <wp:inline distT="0" distB="0" distL="0" distR="0" wp14:anchorId="3B7AD88D" wp14:editId="72D2742F">
            <wp:extent cx="5400000" cy="289683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shot6.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00000" cy="2896831"/>
                    </a:xfrm>
                    <a:prstGeom prst="rect">
                      <a:avLst/>
                    </a:prstGeom>
                  </pic:spPr>
                </pic:pic>
              </a:graphicData>
            </a:graphic>
          </wp:inline>
        </w:drawing>
      </w:r>
    </w:p>
    <w:p w14:paraId="72C5197D" w14:textId="77777777" w:rsidR="008B455C" w:rsidRDefault="008B455C" w:rsidP="008B455C">
      <w:pPr>
        <w:pStyle w:val="NoSpacing"/>
        <w:sectPr w:rsidR="008B455C" w:rsidSect="00452C07">
          <w:pgSz w:w="11906" w:h="16838"/>
          <w:pgMar w:top="851" w:right="851" w:bottom="851" w:left="1134" w:header="708" w:footer="708" w:gutter="0"/>
          <w:cols w:space="708"/>
          <w:docGrid w:linePitch="360"/>
        </w:sectPr>
      </w:pPr>
      <w:r>
        <w:rPr>
          <w:noProof/>
          <w:lang w:val="en-GB" w:eastAsia="en-GB"/>
        </w:rPr>
        <w:lastRenderedPageBreak/>
        <w:drawing>
          <wp:inline distT="0" distB="0" distL="0" distR="0" wp14:anchorId="0EC01C8C" wp14:editId="7B13E8DE">
            <wp:extent cx="5400000" cy="289683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shot7.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0" cy="2896831"/>
                    </a:xfrm>
                    <a:prstGeom prst="rect">
                      <a:avLst/>
                    </a:prstGeom>
                  </pic:spPr>
                </pic:pic>
              </a:graphicData>
            </a:graphic>
          </wp:inline>
        </w:drawing>
      </w:r>
      <w:r>
        <w:br/>
      </w:r>
      <w:r>
        <w:rPr>
          <w:noProof/>
          <w:lang w:val="en-GB" w:eastAsia="en-GB"/>
        </w:rPr>
        <w:drawing>
          <wp:inline distT="0" distB="0" distL="0" distR="0" wp14:anchorId="45D98DD3" wp14:editId="4622B730">
            <wp:extent cx="5400000" cy="289683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shot8.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400000" cy="2896831"/>
                    </a:xfrm>
                    <a:prstGeom prst="rect">
                      <a:avLst/>
                    </a:prstGeom>
                  </pic:spPr>
                </pic:pic>
              </a:graphicData>
            </a:graphic>
          </wp:inline>
        </w:drawing>
      </w:r>
      <w:r>
        <w:rPr>
          <w:noProof/>
          <w:lang w:val="en-GB" w:eastAsia="en-GB"/>
        </w:rPr>
        <w:drawing>
          <wp:inline distT="0" distB="0" distL="0" distR="0" wp14:anchorId="3CDA769E" wp14:editId="24055E7F">
            <wp:extent cx="5400000" cy="289683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shot9.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400000" cy="2896831"/>
                    </a:xfrm>
                    <a:prstGeom prst="rect">
                      <a:avLst/>
                    </a:prstGeom>
                  </pic:spPr>
                </pic:pic>
              </a:graphicData>
            </a:graphic>
          </wp:inline>
        </w:drawing>
      </w:r>
    </w:p>
    <w:p w14:paraId="0E6FD6C3" w14:textId="77777777" w:rsidR="008B455C" w:rsidRDefault="008B455C" w:rsidP="008B455C">
      <w:pPr>
        <w:pStyle w:val="NoSpacing"/>
      </w:pPr>
      <w:r>
        <w:rPr>
          <w:noProof/>
          <w:lang w:val="en-GB" w:eastAsia="en-GB"/>
        </w:rPr>
        <w:lastRenderedPageBreak/>
        <w:drawing>
          <wp:inline distT="0" distB="0" distL="0" distR="0" wp14:anchorId="7D06F278" wp14:editId="0E90D89D">
            <wp:extent cx="5400000" cy="2896831"/>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shot10.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00000" cy="2896831"/>
                    </a:xfrm>
                    <a:prstGeom prst="rect">
                      <a:avLst/>
                    </a:prstGeom>
                  </pic:spPr>
                </pic:pic>
              </a:graphicData>
            </a:graphic>
          </wp:inline>
        </w:drawing>
      </w:r>
    </w:p>
    <w:p w14:paraId="738E9E2D" w14:textId="77777777" w:rsidR="008B455C" w:rsidRDefault="008B455C" w:rsidP="008B455C">
      <w:pPr>
        <w:pStyle w:val="NoSpacing"/>
        <w:sectPr w:rsidR="008B455C" w:rsidSect="00452C07">
          <w:pgSz w:w="11906" w:h="16838"/>
          <w:pgMar w:top="851" w:right="851" w:bottom="851" w:left="1134" w:header="708" w:footer="708" w:gutter="0"/>
          <w:cols w:space="708"/>
          <w:docGrid w:linePitch="360"/>
        </w:sectPr>
      </w:pPr>
      <w:r>
        <w:rPr>
          <w:noProof/>
          <w:lang w:val="en-GB" w:eastAsia="en-GB"/>
        </w:rPr>
        <w:drawing>
          <wp:inline distT="0" distB="0" distL="0" distR="0" wp14:anchorId="65D2AB9E" wp14:editId="5E0EA928">
            <wp:extent cx="5400000" cy="289683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shot11.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00000" cy="2896831"/>
                    </a:xfrm>
                    <a:prstGeom prst="rect">
                      <a:avLst/>
                    </a:prstGeom>
                  </pic:spPr>
                </pic:pic>
              </a:graphicData>
            </a:graphic>
          </wp:inline>
        </w:drawing>
      </w:r>
    </w:p>
    <w:p w14:paraId="57817A38" w14:textId="77777777" w:rsidR="008B455C" w:rsidRPr="00A35992" w:rsidRDefault="008B455C" w:rsidP="008B455C">
      <w:pPr>
        <w:pStyle w:val="AppendixD"/>
      </w:pPr>
      <w:bookmarkStart w:id="651" w:name="_Toc3538212"/>
      <w:r>
        <w:lastRenderedPageBreak/>
        <w:t>MYLO Instructions Screenshots</w:t>
      </w:r>
      <w:bookmarkEnd w:id="651"/>
    </w:p>
    <w:p w14:paraId="1D3AA40B" w14:textId="77777777" w:rsidR="008B455C" w:rsidRDefault="008B455C" w:rsidP="008B455C">
      <w:pPr>
        <w:pStyle w:val="NoSpacing"/>
        <w:rPr>
          <w:lang w:eastAsia="en-GB"/>
        </w:rPr>
        <w:sectPr w:rsidR="008B455C" w:rsidSect="00452C07">
          <w:pgSz w:w="11906" w:h="16838"/>
          <w:pgMar w:top="851" w:right="851" w:bottom="851" w:left="1134" w:header="708" w:footer="708" w:gutter="0"/>
          <w:cols w:space="708"/>
          <w:docGrid w:linePitch="360"/>
        </w:sectPr>
      </w:pPr>
      <w:r>
        <w:rPr>
          <w:noProof/>
          <w:lang w:val="en-GB" w:eastAsia="en-GB"/>
        </w:rPr>
        <w:drawing>
          <wp:inline distT="0" distB="0" distL="0" distR="0" wp14:anchorId="6DB3EA79" wp14:editId="2A3711CE">
            <wp:extent cx="5400000" cy="2891982"/>
            <wp:effectExtent l="0" t="0" r="0" b="381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00000" cy="2891982"/>
                    </a:xfrm>
                    <a:prstGeom prst="rect">
                      <a:avLst/>
                    </a:prstGeom>
                    <a:noFill/>
                    <a:ln>
                      <a:noFill/>
                    </a:ln>
                  </pic:spPr>
                </pic:pic>
              </a:graphicData>
            </a:graphic>
          </wp:inline>
        </w:drawing>
      </w:r>
      <w:r>
        <w:br/>
      </w:r>
      <w:r>
        <w:rPr>
          <w:noProof/>
          <w:lang w:val="en-GB" w:eastAsia="en-GB"/>
        </w:rPr>
        <w:drawing>
          <wp:inline distT="0" distB="0" distL="0" distR="0" wp14:anchorId="1DB2CA67" wp14:editId="6F0B9E97">
            <wp:extent cx="5400000" cy="2891982"/>
            <wp:effectExtent l="0" t="0" r="0" b="381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00000" cy="2891982"/>
                    </a:xfrm>
                    <a:prstGeom prst="rect">
                      <a:avLst/>
                    </a:prstGeom>
                    <a:noFill/>
                    <a:ln>
                      <a:noFill/>
                    </a:ln>
                  </pic:spPr>
                </pic:pic>
              </a:graphicData>
            </a:graphic>
          </wp:inline>
        </w:drawing>
      </w:r>
      <w:r>
        <w:br/>
      </w:r>
      <w:r>
        <w:rPr>
          <w:noProof/>
          <w:lang w:val="en-GB" w:eastAsia="en-GB"/>
        </w:rPr>
        <w:drawing>
          <wp:inline distT="0" distB="0" distL="0" distR="0" wp14:anchorId="2BD00A82" wp14:editId="672FD63F">
            <wp:extent cx="5400000" cy="2891982"/>
            <wp:effectExtent l="0" t="0" r="0" b="381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00000" cy="2891982"/>
                    </a:xfrm>
                    <a:prstGeom prst="rect">
                      <a:avLst/>
                    </a:prstGeom>
                    <a:noFill/>
                    <a:ln>
                      <a:noFill/>
                    </a:ln>
                  </pic:spPr>
                </pic:pic>
              </a:graphicData>
            </a:graphic>
          </wp:inline>
        </w:drawing>
      </w:r>
    </w:p>
    <w:p w14:paraId="10F328F2" w14:textId="77777777" w:rsidR="008B455C" w:rsidRDefault="008B455C" w:rsidP="008B455C">
      <w:pPr>
        <w:pStyle w:val="AppendixD"/>
        <w:rPr>
          <w:lang w:eastAsia="en-GB"/>
        </w:rPr>
      </w:pPr>
      <w:bookmarkStart w:id="652" w:name="_Toc3538213"/>
      <w:r>
        <w:rPr>
          <w:lang w:eastAsia="en-GB"/>
        </w:rPr>
        <w:lastRenderedPageBreak/>
        <w:t>MYLO Guided with Speech Screenshot</w:t>
      </w:r>
      <w:bookmarkEnd w:id="652"/>
    </w:p>
    <w:p w14:paraId="5B768B61" w14:textId="77777777" w:rsidR="008B455C" w:rsidRDefault="008B455C" w:rsidP="008B455C">
      <w:pPr>
        <w:sectPr w:rsidR="008B455C" w:rsidSect="00452C07">
          <w:pgSz w:w="11906" w:h="16838"/>
          <w:pgMar w:top="851" w:right="851" w:bottom="851" w:left="1134" w:header="708" w:footer="708" w:gutter="0"/>
          <w:cols w:space="708"/>
          <w:docGrid w:linePitch="360"/>
        </w:sectPr>
      </w:pPr>
      <w:r>
        <w:rPr>
          <w:noProof/>
          <w:lang w:eastAsia="en-GB"/>
        </w:rPr>
        <w:drawing>
          <wp:inline distT="0" distB="0" distL="0" distR="0" wp14:anchorId="6DCDDC4E" wp14:editId="0D8994E6">
            <wp:extent cx="5400000" cy="2896831"/>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00000" cy="2896831"/>
                    </a:xfrm>
                    <a:prstGeom prst="rect">
                      <a:avLst/>
                    </a:prstGeom>
                  </pic:spPr>
                </pic:pic>
              </a:graphicData>
            </a:graphic>
          </wp:inline>
        </w:drawing>
      </w:r>
    </w:p>
    <w:p w14:paraId="7A66C4F8" w14:textId="77777777" w:rsidR="00362DAF" w:rsidRDefault="00362DAF" w:rsidP="00362DAF">
      <w:pPr>
        <w:pStyle w:val="AppendixD"/>
        <w:rPr>
          <w:lang w:eastAsia="en-GB"/>
        </w:rPr>
      </w:pPr>
      <w:bookmarkStart w:id="653" w:name="_Toc530598292"/>
      <w:bookmarkStart w:id="654" w:name="_Toc530660653"/>
      <w:bookmarkStart w:id="655" w:name="_Toc3538214"/>
      <w:bookmarkEnd w:id="645"/>
      <w:bookmarkEnd w:id="646"/>
      <w:r>
        <w:rPr>
          <w:lang w:eastAsia="en-GB"/>
        </w:rPr>
        <w:lastRenderedPageBreak/>
        <w:t>MYLO Speech Generation Process</w:t>
      </w:r>
      <w:bookmarkEnd w:id="653"/>
      <w:bookmarkEnd w:id="654"/>
      <w:bookmarkEnd w:id="655"/>
    </w:p>
    <w:p w14:paraId="539F65DD" w14:textId="77777777" w:rsidR="00362DAF" w:rsidRDefault="00362DAF" w:rsidP="00362DAF">
      <w:pPr>
        <w:rPr>
          <w:lang w:eastAsia="en-GB"/>
        </w:rPr>
        <w:sectPr w:rsidR="00362DAF" w:rsidSect="00452C07">
          <w:pgSz w:w="11906" w:h="16838"/>
          <w:pgMar w:top="851" w:right="851" w:bottom="851" w:left="1134" w:header="708" w:footer="708" w:gutter="0"/>
          <w:cols w:space="708"/>
          <w:docGrid w:linePitch="360"/>
        </w:sectPr>
      </w:pPr>
      <w:r>
        <w:rPr>
          <w:noProof/>
          <w:lang w:eastAsia="en-GB"/>
        </w:rPr>
        <w:drawing>
          <wp:inline distT="0" distB="0" distL="0" distR="0" wp14:anchorId="434E6EB5" wp14:editId="32F9F9C9">
            <wp:extent cx="5731510" cy="4592176"/>
            <wp:effectExtent l="0" t="0" r="254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YLO Speech Tech diagram.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31510" cy="4592176"/>
                    </a:xfrm>
                    <a:prstGeom prst="rect">
                      <a:avLst/>
                    </a:prstGeom>
                  </pic:spPr>
                </pic:pic>
              </a:graphicData>
            </a:graphic>
          </wp:inline>
        </w:drawing>
      </w:r>
      <w:bookmarkStart w:id="656" w:name="_Toc530598293"/>
      <w:bookmarkStart w:id="657" w:name="_Toc530660654"/>
    </w:p>
    <w:p w14:paraId="3B5F3199" w14:textId="77777777" w:rsidR="000E1C6C" w:rsidRDefault="000E1C6C" w:rsidP="000E1C6C">
      <w:pPr>
        <w:pStyle w:val="AppendixD"/>
      </w:pPr>
      <w:bookmarkStart w:id="658" w:name="_Toc3538215"/>
      <w:bookmarkEnd w:id="656"/>
      <w:bookmarkEnd w:id="657"/>
      <w:r>
        <w:lastRenderedPageBreak/>
        <w:t>Health Questionnaire 9</w:t>
      </w:r>
      <w:bookmarkEnd w:id="647"/>
      <w:bookmarkEnd w:id="648"/>
      <w:r>
        <w:t xml:space="preserve"> (PHQ-9)</w:t>
      </w:r>
      <w:bookmarkEnd w:id="658"/>
    </w:p>
    <w:p w14:paraId="4DFE7F84" w14:textId="77777777" w:rsidR="000E1C6C" w:rsidRDefault="000E1C6C" w:rsidP="000E1C6C">
      <w:pPr>
        <w:rPr>
          <w:rFonts w:asciiTheme="majorHAnsi" w:eastAsiaTheme="majorEastAsia" w:hAnsiTheme="majorHAnsi" w:cstheme="majorBidi"/>
          <w:b/>
          <w:bCs/>
          <w:smallCaps/>
          <w:color w:val="000000" w:themeColor="text1"/>
          <w:sz w:val="36"/>
          <w:szCs w:val="36"/>
        </w:rPr>
      </w:pPr>
      <w:r>
        <w:rPr>
          <w:noProof/>
          <w:lang w:eastAsia="en-GB"/>
        </w:rPr>
        <w:drawing>
          <wp:inline distT="0" distB="0" distL="0" distR="0" wp14:anchorId="0CF31924" wp14:editId="651836EB">
            <wp:extent cx="5731510" cy="810514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AD7 and PHQ9-2.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p>
    <w:p w14:paraId="376EC8FD" w14:textId="77777777" w:rsidR="000E1C6C" w:rsidRDefault="000E1C6C" w:rsidP="000E1C6C">
      <w:pPr>
        <w:pStyle w:val="AppendixD"/>
      </w:pPr>
      <w:bookmarkStart w:id="659" w:name="_Toc530598279"/>
      <w:bookmarkStart w:id="660" w:name="_Toc530660640"/>
      <w:bookmarkStart w:id="661" w:name="_Toc3538216"/>
      <w:r>
        <w:lastRenderedPageBreak/>
        <w:t>General Anxiety Disorder 7</w:t>
      </w:r>
      <w:bookmarkEnd w:id="659"/>
      <w:bookmarkEnd w:id="660"/>
      <w:r>
        <w:t xml:space="preserve"> (GAD-7)</w:t>
      </w:r>
      <w:bookmarkEnd w:id="661"/>
    </w:p>
    <w:p w14:paraId="30216A2D" w14:textId="77777777" w:rsidR="000E1C6C" w:rsidRPr="007C69B8" w:rsidRDefault="000E1C6C" w:rsidP="000E1C6C">
      <w:r>
        <w:rPr>
          <w:noProof/>
          <w:lang w:eastAsia="en-GB"/>
        </w:rPr>
        <w:drawing>
          <wp:inline distT="0" distB="0" distL="0" distR="0" wp14:anchorId="6CFFC217" wp14:editId="2AC5DBB3">
            <wp:extent cx="5731510" cy="810514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AD7 and PHQ9-1.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p>
    <w:p w14:paraId="3FB0542A" w14:textId="77777777" w:rsidR="006A410A" w:rsidRDefault="006A410A" w:rsidP="006A410A">
      <w:pPr>
        <w:pStyle w:val="AppendixD"/>
      </w:pPr>
      <w:bookmarkStart w:id="662" w:name="_Toc530598275"/>
      <w:bookmarkStart w:id="663" w:name="_Toc530660636"/>
      <w:bookmarkStart w:id="664" w:name="_Toc3538217"/>
      <w:r>
        <w:lastRenderedPageBreak/>
        <w:t>Credibility and Expectancy Scale</w:t>
      </w:r>
      <w:bookmarkEnd w:id="662"/>
      <w:bookmarkEnd w:id="663"/>
      <w:r>
        <w:t xml:space="preserve"> (CEQ)</w:t>
      </w:r>
      <w:bookmarkEnd w:id="664"/>
    </w:p>
    <w:p w14:paraId="6A9997A3" w14:textId="77777777" w:rsidR="006A410A" w:rsidRPr="00FA0BA3" w:rsidRDefault="006A410A" w:rsidP="006A410A">
      <w:r>
        <w:rPr>
          <w:noProof/>
          <w:lang w:eastAsia="en-GB"/>
        </w:rPr>
        <w:drawing>
          <wp:inline distT="0" distB="0" distL="0" distR="0" wp14:anchorId="7A0C6621" wp14:editId="48B6F7F3">
            <wp:extent cx="5731510" cy="8105140"/>
            <wp:effectExtent l="0" t="0" r="254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EQ-1.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p>
    <w:p w14:paraId="215B33E4" w14:textId="77777777" w:rsidR="006A410A" w:rsidRPr="00FA0BA3" w:rsidRDefault="006A410A" w:rsidP="006A410A">
      <w:r>
        <w:rPr>
          <w:noProof/>
          <w:lang w:eastAsia="en-GB"/>
        </w:rPr>
        <w:lastRenderedPageBreak/>
        <w:drawing>
          <wp:inline distT="0" distB="0" distL="0" distR="0" wp14:anchorId="2E530EB4" wp14:editId="4367D8AC">
            <wp:extent cx="5731510" cy="8105140"/>
            <wp:effectExtent l="0" t="0" r="254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CEQ-2.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p>
    <w:p w14:paraId="42E265FA" w14:textId="77777777" w:rsidR="006A410A" w:rsidRDefault="006A410A" w:rsidP="006A410A">
      <w:pPr>
        <w:pStyle w:val="AppendixD"/>
      </w:pPr>
      <w:bookmarkStart w:id="665" w:name="_Toc530598276"/>
      <w:bookmarkStart w:id="666" w:name="_Toc530660637"/>
      <w:bookmarkStart w:id="667" w:name="_Toc3538218"/>
      <w:r>
        <w:lastRenderedPageBreak/>
        <w:t>Credibility Scale</w:t>
      </w:r>
      <w:bookmarkEnd w:id="665"/>
      <w:bookmarkEnd w:id="666"/>
      <w:r>
        <w:t xml:space="preserve"> (CS)</w:t>
      </w:r>
      <w:bookmarkEnd w:id="667"/>
    </w:p>
    <w:p w14:paraId="6E23FF77" w14:textId="77777777" w:rsidR="007130EB" w:rsidRDefault="006A410A" w:rsidP="006A410A">
      <w:pPr>
        <w:rPr>
          <w:rFonts w:asciiTheme="majorHAnsi" w:eastAsiaTheme="majorEastAsia" w:hAnsiTheme="majorHAnsi" w:cstheme="majorBidi"/>
          <w:b/>
          <w:bCs/>
          <w:smallCaps/>
          <w:color w:val="000000" w:themeColor="text1"/>
          <w:sz w:val="36"/>
          <w:szCs w:val="36"/>
        </w:rPr>
        <w:sectPr w:rsidR="007130EB" w:rsidSect="00452C07">
          <w:pgSz w:w="11906" w:h="16838"/>
          <w:pgMar w:top="851" w:right="851" w:bottom="851" w:left="1134" w:header="708" w:footer="708" w:gutter="0"/>
          <w:cols w:space="708"/>
          <w:docGrid w:linePitch="360"/>
        </w:sectPr>
      </w:pPr>
      <w:r>
        <w:rPr>
          <w:rFonts w:asciiTheme="majorHAnsi" w:eastAsiaTheme="majorEastAsia" w:hAnsiTheme="majorHAnsi" w:cstheme="majorBidi"/>
          <w:b/>
          <w:bCs/>
          <w:smallCaps/>
          <w:noProof/>
          <w:color w:val="000000" w:themeColor="text1"/>
          <w:sz w:val="36"/>
          <w:szCs w:val="36"/>
          <w:lang w:eastAsia="en-GB"/>
        </w:rPr>
        <w:drawing>
          <wp:inline distT="0" distB="0" distL="0" distR="0" wp14:anchorId="01F00AB1" wp14:editId="70D6D15C">
            <wp:extent cx="5730240" cy="8100060"/>
            <wp:effectExtent l="0" t="0" r="381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30240" cy="8100060"/>
                    </a:xfrm>
                    <a:prstGeom prst="rect">
                      <a:avLst/>
                    </a:prstGeom>
                    <a:noFill/>
                    <a:ln>
                      <a:noFill/>
                    </a:ln>
                  </pic:spPr>
                </pic:pic>
              </a:graphicData>
            </a:graphic>
          </wp:inline>
        </w:drawing>
      </w:r>
    </w:p>
    <w:p w14:paraId="430DB0A2" w14:textId="3009D086" w:rsidR="003B7CCB" w:rsidRDefault="003B7CCB" w:rsidP="003405AE">
      <w:pPr>
        <w:pStyle w:val="AppendixD"/>
      </w:pPr>
      <w:bookmarkStart w:id="668" w:name="_Toc3538219"/>
      <w:r>
        <w:lastRenderedPageBreak/>
        <w:t xml:space="preserve">Rating of Resolution </w:t>
      </w:r>
      <w:r w:rsidR="00636F92">
        <w:t xml:space="preserve">v2 </w:t>
      </w:r>
      <w:r>
        <w:t>(Post-</w:t>
      </w:r>
      <w:r w:rsidR="007130EB">
        <w:t>i</w:t>
      </w:r>
      <w:r>
        <w:t>ntervention</w:t>
      </w:r>
      <w:r w:rsidR="007130EB">
        <w:t xml:space="preserve"> and Follow-Up</w:t>
      </w:r>
      <w:r>
        <w:t>)</w:t>
      </w:r>
      <w:bookmarkEnd w:id="649"/>
      <w:bookmarkEnd w:id="650"/>
      <w:bookmarkEnd w:id="668"/>
    </w:p>
    <w:p w14:paraId="10952B37" w14:textId="77777777" w:rsidR="007130EB" w:rsidRDefault="007130EB" w:rsidP="007130EB">
      <w:pPr>
        <w:sectPr w:rsidR="007130EB" w:rsidSect="00452C07">
          <w:pgSz w:w="11906" w:h="16838"/>
          <w:pgMar w:top="851" w:right="851" w:bottom="851" w:left="1134" w:header="708" w:footer="708" w:gutter="0"/>
          <w:cols w:space="708"/>
          <w:docGrid w:linePitch="360"/>
        </w:sectPr>
      </w:pPr>
      <w:r>
        <w:rPr>
          <w:noProof/>
          <w:lang w:eastAsia="en-GB"/>
        </w:rPr>
        <w:drawing>
          <wp:inline distT="0" distB="0" distL="0" distR="0" wp14:anchorId="0D966502" wp14:editId="679C99E3">
            <wp:extent cx="6299835" cy="8152727"/>
            <wp:effectExtent l="0" t="0" r="5715"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RoR.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299835" cy="8152727"/>
                    </a:xfrm>
                    <a:prstGeom prst="rect">
                      <a:avLst/>
                    </a:prstGeom>
                  </pic:spPr>
                </pic:pic>
              </a:graphicData>
            </a:graphic>
          </wp:inline>
        </w:drawing>
      </w:r>
      <w:bookmarkStart w:id="669" w:name="_Toc530598280"/>
      <w:bookmarkStart w:id="670" w:name="_Toc530660641"/>
    </w:p>
    <w:p w14:paraId="17EBDF86" w14:textId="77777777" w:rsidR="000F3690" w:rsidRDefault="000F3690" w:rsidP="000F3690">
      <w:pPr>
        <w:pStyle w:val="AppendixD"/>
      </w:pPr>
      <w:bookmarkStart w:id="671" w:name="_Toc3538220"/>
      <w:r>
        <w:lastRenderedPageBreak/>
        <w:t>System Feedback including Net Promoter Score (NPS)</w:t>
      </w:r>
      <w:bookmarkEnd w:id="671"/>
    </w:p>
    <w:p w14:paraId="6E798837" w14:textId="77777777" w:rsidR="000F3690" w:rsidRDefault="000F3690" w:rsidP="000F3690">
      <w:pPr>
        <w:sectPr w:rsidR="000F3690" w:rsidSect="00452C07">
          <w:pgSz w:w="11906" w:h="16838"/>
          <w:pgMar w:top="851" w:right="851" w:bottom="851" w:left="1134" w:header="708" w:footer="708" w:gutter="0"/>
          <w:cols w:space="708"/>
          <w:docGrid w:linePitch="360"/>
        </w:sectPr>
      </w:pPr>
      <w:r>
        <w:rPr>
          <w:noProof/>
          <w:lang w:eastAsia="en-GB"/>
        </w:rPr>
        <w:drawing>
          <wp:inline distT="0" distB="0" distL="0" distR="0" wp14:anchorId="2288D7CC" wp14:editId="76CB757D">
            <wp:extent cx="5731510" cy="8105140"/>
            <wp:effectExtent l="0" t="0" r="254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FS-1.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p>
    <w:p w14:paraId="2B1E7B04" w14:textId="67A1D72C" w:rsidR="003B7CCB" w:rsidRDefault="003B7CCB" w:rsidP="007130EB">
      <w:pPr>
        <w:pStyle w:val="AppendixD"/>
      </w:pPr>
      <w:bookmarkStart w:id="672" w:name="_Toc3538221"/>
      <w:r>
        <w:lastRenderedPageBreak/>
        <w:t>Working Alliance Inventory – Short Revised</w:t>
      </w:r>
      <w:bookmarkEnd w:id="669"/>
      <w:bookmarkEnd w:id="670"/>
      <w:r w:rsidR="00E655F3">
        <w:t xml:space="preserve"> (WAI-SR)</w:t>
      </w:r>
      <w:bookmarkEnd w:id="672"/>
    </w:p>
    <w:p w14:paraId="4B62170D" w14:textId="77777777" w:rsidR="003B7CCB" w:rsidRDefault="003B7CCB" w:rsidP="003B7CCB">
      <w:r>
        <w:rPr>
          <w:noProof/>
          <w:lang w:eastAsia="en-GB"/>
        </w:rPr>
        <w:drawing>
          <wp:inline distT="0" distB="0" distL="0" distR="0" wp14:anchorId="47E76DAD" wp14:editId="1467702D">
            <wp:extent cx="5722620" cy="7406640"/>
            <wp:effectExtent l="0" t="0" r="0" b="381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22620" cy="7406640"/>
                    </a:xfrm>
                    <a:prstGeom prst="rect">
                      <a:avLst/>
                    </a:prstGeom>
                    <a:noFill/>
                    <a:ln>
                      <a:noFill/>
                    </a:ln>
                  </pic:spPr>
                </pic:pic>
              </a:graphicData>
            </a:graphic>
          </wp:inline>
        </w:drawing>
      </w:r>
    </w:p>
    <w:p w14:paraId="3408FD48" w14:textId="77777777" w:rsidR="008E22CD" w:rsidRDefault="003B7CCB" w:rsidP="008E22CD">
      <w:pPr>
        <w:sectPr w:rsidR="008E22CD" w:rsidSect="00452C07">
          <w:pgSz w:w="11906" w:h="16838"/>
          <w:pgMar w:top="851" w:right="851" w:bottom="851" w:left="1134" w:header="708" w:footer="708" w:gutter="0"/>
          <w:cols w:space="708"/>
          <w:docGrid w:linePitch="360"/>
        </w:sectPr>
      </w:pPr>
      <w:r>
        <w:rPr>
          <w:noProof/>
          <w:lang w:eastAsia="en-GB"/>
        </w:rPr>
        <w:lastRenderedPageBreak/>
        <w:drawing>
          <wp:inline distT="0" distB="0" distL="0" distR="0" wp14:anchorId="5F471828" wp14:editId="45769E02">
            <wp:extent cx="5722620" cy="7406640"/>
            <wp:effectExtent l="0" t="0" r="0" b="381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22620" cy="7406640"/>
                    </a:xfrm>
                    <a:prstGeom prst="rect">
                      <a:avLst/>
                    </a:prstGeom>
                    <a:noFill/>
                    <a:ln>
                      <a:noFill/>
                    </a:ln>
                  </pic:spPr>
                </pic:pic>
              </a:graphicData>
            </a:graphic>
          </wp:inline>
        </w:drawing>
      </w:r>
      <w:bookmarkStart w:id="673" w:name="_Toc530598281"/>
      <w:bookmarkStart w:id="674" w:name="_Toc530660642"/>
    </w:p>
    <w:p w14:paraId="0A1B5A80" w14:textId="77777777" w:rsidR="00011993" w:rsidRDefault="00011993" w:rsidP="00011993">
      <w:pPr>
        <w:pStyle w:val="AppendixD"/>
      </w:pPr>
      <w:bookmarkStart w:id="675" w:name="_Toc530598271"/>
      <w:bookmarkStart w:id="676" w:name="_Toc530660632"/>
      <w:bookmarkStart w:id="677" w:name="_Toc3538222"/>
      <w:bookmarkStart w:id="678" w:name="_Toc530598283"/>
      <w:bookmarkStart w:id="679" w:name="_Toc530660644"/>
      <w:bookmarkEnd w:id="673"/>
      <w:bookmarkEnd w:id="674"/>
      <w:r>
        <w:lastRenderedPageBreak/>
        <w:t>Study VI</w:t>
      </w:r>
      <w:r w:rsidRPr="00581DB6">
        <w:t xml:space="preserve"> </w:t>
      </w:r>
      <w:r>
        <w:t>Ethics Approval Letter</w:t>
      </w:r>
      <w:bookmarkEnd w:id="675"/>
      <w:bookmarkEnd w:id="676"/>
      <w:bookmarkEnd w:id="677"/>
    </w:p>
    <w:p w14:paraId="566B9F4A" w14:textId="77777777" w:rsidR="00011993" w:rsidRDefault="00011993" w:rsidP="00011993">
      <w:pPr>
        <w:sectPr w:rsidR="00011993" w:rsidSect="00452C07">
          <w:pgSz w:w="11906" w:h="16838"/>
          <w:pgMar w:top="851" w:right="851" w:bottom="851" w:left="1134" w:header="708" w:footer="708" w:gutter="0"/>
          <w:cols w:space="708"/>
          <w:docGrid w:linePitch="360"/>
        </w:sectPr>
      </w:pPr>
      <w:r>
        <w:rPr>
          <w:noProof/>
          <w:lang w:eastAsia="en-GB"/>
        </w:rPr>
        <w:drawing>
          <wp:inline distT="0" distB="0" distL="0" distR="0" wp14:anchorId="79CABBF6" wp14:editId="7199C3A6">
            <wp:extent cx="5731510" cy="8110220"/>
            <wp:effectExtent l="0" t="0" r="2540" b="50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Approval Letter-1.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31510" cy="8110220"/>
                    </a:xfrm>
                    <a:prstGeom prst="rect">
                      <a:avLst/>
                    </a:prstGeom>
                  </pic:spPr>
                </pic:pic>
              </a:graphicData>
            </a:graphic>
          </wp:inline>
        </w:drawing>
      </w:r>
    </w:p>
    <w:p w14:paraId="29E4277E" w14:textId="77777777" w:rsidR="00011993" w:rsidRDefault="00011993" w:rsidP="00011993">
      <w:pPr>
        <w:pStyle w:val="AppendixD"/>
      </w:pPr>
      <w:bookmarkStart w:id="680" w:name="_Toc530598282"/>
      <w:bookmarkStart w:id="681" w:name="_Toc530660643"/>
      <w:bookmarkStart w:id="682" w:name="_Toc3538223"/>
      <w:r>
        <w:lastRenderedPageBreak/>
        <w:t>Study VI</w:t>
      </w:r>
      <w:r w:rsidRPr="00581DB6">
        <w:t xml:space="preserve"> </w:t>
      </w:r>
      <w:r>
        <w:t>Recruitment Poster</w:t>
      </w:r>
      <w:bookmarkEnd w:id="680"/>
      <w:bookmarkEnd w:id="681"/>
      <w:bookmarkEnd w:id="682"/>
    </w:p>
    <w:p w14:paraId="30CBE484" w14:textId="77777777" w:rsidR="00011993" w:rsidRDefault="00011993" w:rsidP="00011993">
      <w:pPr>
        <w:sectPr w:rsidR="00011993" w:rsidSect="00452C07">
          <w:pgSz w:w="11906" w:h="16838"/>
          <w:pgMar w:top="851" w:right="851" w:bottom="851" w:left="1134" w:header="708" w:footer="708" w:gutter="0"/>
          <w:cols w:space="708"/>
          <w:docGrid w:linePitch="360"/>
        </w:sectPr>
      </w:pPr>
      <w:r>
        <w:rPr>
          <w:noProof/>
          <w:lang w:eastAsia="en-GB"/>
        </w:rPr>
        <w:drawing>
          <wp:inline distT="0" distB="0" distL="0" distR="0" wp14:anchorId="190A6A55" wp14:editId="3F9DF235">
            <wp:extent cx="5731510" cy="8132445"/>
            <wp:effectExtent l="0" t="0" r="2540" b="190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Older-Adult-Problem-Solving-Software-study-A4.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731510" cy="8132445"/>
                    </a:xfrm>
                    <a:prstGeom prst="rect">
                      <a:avLst/>
                    </a:prstGeom>
                  </pic:spPr>
                </pic:pic>
              </a:graphicData>
            </a:graphic>
          </wp:inline>
        </w:drawing>
      </w:r>
    </w:p>
    <w:p w14:paraId="49A9ED7E" w14:textId="06387485" w:rsidR="003B7CCB" w:rsidRPr="00D94351" w:rsidRDefault="003B7CCB" w:rsidP="003405AE">
      <w:pPr>
        <w:pStyle w:val="AppendixD"/>
      </w:pPr>
      <w:bookmarkStart w:id="683" w:name="_Toc3538224"/>
      <w:r>
        <w:lastRenderedPageBreak/>
        <w:t xml:space="preserve">Study </w:t>
      </w:r>
      <w:r w:rsidR="00B01B6C">
        <w:t>VI</w:t>
      </w:r>
      <w:r w:rsidR="00B01B6C" w:rsidRPr="00581DB6">
        <w:t xml:space="preserve"> </w:t>
      </w:r>
      <w:r>
        <w:t>Online Registration Screenshots</w:t>
      </w:r>
      <w:bookmarkEnd w:id="678"/>
      <w:bookmarkEnd w:id="679"/>
      <w:bookmarkEnd w:id="683"/>
    </w:p>
    <w:p w14:paraId="1708C854" w14:textId="77777777" w:rsidR="003B7CCB" w:rsidRDefault="003B7CCB" w:rsidP="003B7CCB">
      <w:r>
        <w:rPr>
          <w:noProof/>
          <w:lang w:eastAsia="en-GB"/>
        </w:rPr>
        <w:drawing>
          <wp:inline distT="0" distB="0" distL="0" distR="0" wp14:anchorId="6D7D1D92" wp14:editId="0E0712BE">
            <wp:extent cx="5040000" cy="2834931"/>
            <wp:effectExtent l="0" t="0" r="825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1.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040000" cy="2834931"/>
                    </a:xfrm>
                    <a:prstGeom prst="rect">
                      <a:avLst/>
                    </a:prstGeom>
                  </pic:spPr>
                </pic:pic>
              </a:graphicData>
            </a:graphic>
          </wp:inline>
        </w:drawing>
      </w:r>
    </w:p>
    <w:p w14:paraId="46F9F1EB" w14:textId="77777777" w:rsidR="003B7CCB" w:rsidRDefault="003B7CCB" w:rsidP="003B7CCB">
      <w:r>
        <w:rPr>
          <w:noProof/>
          <w:lang w:eastAsia="en-GB"/>
        </w:rPr>
        <w:drawing>
          <wp:inline distT="0" distB="0" distL="0" distR="0" wp14:anchorId="1A6870D2" wp14:editId="6A4877B1">
            <wp:extent cx="5040000" cy="2834931"/>
            <wp:effectExtent l="0" t="0" r="8255" b="381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2.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040000" cy="2834931"/>
                    </a:xfrm>
                    <a:prstGeom prst="rect">
                      <a:avLst/>
                    </a:prstGeom>
                  </pic:spPr>
                </pic:pic>
              </a:graphicData>
            </a:graphic>
          </wp:inline>
        </w:drawing>
      </w:r>
    </w:p>
    <w:p w14:paraId="2ADF39B3" w14:textId="1C551D74" w:rsidR="003B7CCB" w:rsidRPr="008E22CD" w:rsidRDefault="003B7CCB" w:rsidP="003B7CCB">
      <w:r>
        <w:rPr>
          <w:noProof/>
          <w:lang w:eastAsia="en-GB"/>
        </w:rPr>
        <w:drawing>
          <wp:inline distT="0" distB="0" distL="0" distR="0" wp14:anchorId="19B59B43" wp14:editId="0011280A">
            <wp:extent cx="5040000" cy="2834931"/>
            <wp:effectExtent l="0" t="0" r="8255" b="381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4.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040000" cy="2834931"/>
                    </a:xfrm>
                    <a:prstGeom prst="rect">
                      <a:avLst/>
                    </a:prstGeom>
                  </pic:spPr>
                </pic:pic>
              </a:graphicData>
            </a:graphic>
          </wp:inline>
        </w:drawing>
      </w:r>
      <w:r>
        <w:br w:type="page"/>
      </w:r>
    </w:p>
    <w:p w14:paraId="433E6089" w14:textId="77777777" w:rsidR="00011993" w:rsidRDefault="00011993" w:rsidP="00011993">
      <w:pPr>
        <w:pStyle w:val="AppendixD"/>
      </w:pPr>
      <w:bookmarkStart w:id="684" w:name="_Toc3538225"/>
      <w:bookmarkStart w:id="685" w:name="_Toc530598289"/>
      <w:bookmarkStart w:id="686" w:name="_Toc530660650"/>
      <w:r>
        <w:lastRenderedPageBreak/>
        <w:t>Backend Study Management System Process</w:t>
      </w:r>
      <w:bookmarkEnd w:id="684"/>
    </w:p>
    <w:p w14:paraId="4B0A3731" w14:textId="77777777" w:rsidR="00011993" w:rsidRDefault="00011993" w:rsidP="00011993">
      <w:r>
        <w:rPr>
          <w:noProof/>
          <w:lang w:eastAsia="en-GB"/>
        </w:rPr>
        <w:drawing>
          <wp:inline distT="0" distB="0" distL="0" distR="0" wp14:anchorId="727ABD8E" wp14:editId="69C6D776">
            <wp:extent cx="4105779" cy="84240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BSMS Flow (2).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105779" cy="8424000"/>
                    </a:xfrm>
                    <a:prstGeom prst="rect">
                      <a:avLst/>
                    </a:prstGeom>
                  </pic:spPr>
                </pic:pic>
              </a:graphicData>
            </a:graphic>
          </wp:inline>
        </w:drawing>
      </w:r>
    </w:p>
    <w:p w14:paraId="61F44151" w14:textId="77777777" w:rsidR="00011993" w:rsidRDefault="00011993" w:rsidP="00011993">
      <w:pPr>
        <w:sectPr w:rsidR="00011993" w:rsidSect="00452C07">
          <w:pgSz w:w="11906" w:h="16838"/>
          <w:pgMar w:top="851" w:right="851" w:bottom="851" w:left="1134" w:header="708" w:footer="708" w:gutter="0"/>
          <w:cols w:space="708"/>
          <w:docGrid w:linePitch="360"/>
        </w:sectPr>
      </w:pPr>
    </w:p>
    <w:p w14:paraId="2896C940" w14:textId="77777777" w:rsidR="00011993" w:rsidRDefault="00011993" w:rsidP="00011993">
      <w:pPr>
        <w:pStyle w:val="AppendixD"/>
      </w:pPr>
      <w:bookmarkStart w:id="687" w:name="_Toc530598285"/>
      <w:bookmarkStart w:id="688" w:name="_Toc530660646"/>
      <w:bookmarkStart w:id="689" w:name="_Toc3538226"/>
      <w:r>
        <w:lastRenderedPageBreak/>
        <w:t>Study VI</w:t>
      </w:r>
      <w:r w:rsidRPr="00581DB6">
        <w:t xml:space="preserve"> </w:t>
      </w:r>
      <w:r>
        <w:t>Participant Information Sheet and Consent Form</w:t>
      </w:r>
      <w:bookmarkEnd w:id="687"/>
      <w:bookmarkEnd w:id="688"/>
      <w:bookmarkEnd w:id="689"/>
    </w:p>
    <w:p w14:paraId="3BB3684E" w14:textId="77777777" w:rsidR="00011993" w:rsidRPr="008C49F8" w:rsidRDefault="00011993" w:rsidP="00011993">
      <w:r>
        <w:rPr>
          <w:noProof/>
          <w:lang w:eastAsia="en-GB"/>
        </w:rPr>
        <w:drawing>
          <wp:inline distT="0" distB="0" distL="0" distR="0" wp14:anchorId="7F78240C" wp14:editId="3F0BDCD1">
            <wp:extent cx="5731510" cy="8110220"/>
            <wp:effectExtent l="0" t="0" r="2540" b="508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Consent Questionnaire-1.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31510" cy="8110220"/>
                    </a:xfrm>
                    <a:prstGeom prst="rect">
                      <a:avLst/>
                    </a:prstGeom>
                  </pic:spPr>
                </pic:pic>
              </a:graphicData>
            </a:graphic>
          </wp:inline>
        </w:drawing>
      </w:r>
    </w:p>
    <w:p w14:paraId="6CB539D2" w14:textId="77777777" w:rsidR="00011993" w:rsidRDefault="00011993" w:rsidP="00011993">
      <w:pPr>
        <w:sectPr w:rsidR="00011993" w:rsidSect="00452C07">
          <w:pgSz w:w="11906" w:h="16838"/>
          <w:pgMar w:top="851" w:right="851" w:bottom="851" w:left="1134" w:header="708" w:footer="708" w:gutter="0"/>
          <w:cols w:space="708"/>
          <w:docGrid w:linePitch="360"/>
        </w:sectPr>
      </w:pPr>
      <w:r>
        <w:rPr>
          <w:noProof/>
          <w:lang w:eastAsia="en-GB"/>
        </w:rPr>
        <w:lastRenderedPageBreak/>
        <w:drawing>
          <wp:inline distT="0" distB="0" distL="0" distR="0" wp14:anchorId="45230C87" wp14:editId="6CA45F45">
            <wp:extent cx="5731510" cy="8110220"/>
            <wp:effectExtent l="0" t="0" r="2540" b="508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Consent Questionnaire-2.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31510" cy="8110220"/>
                    </a:xfrm>
                    <a:prstGeom prst="rect">
                      <a:avLst/>
                    </a:prstGeom>
                  </pic:spPr>
                </pic:pic>
              </a:graphicData>
            </a:graphic>
          </wp:inline>
        </w:drawing>
      </w:r>
      <w:r>
        <w:rPr>
          <w:noProof/>
          <w:lang w:eastAsia="en-GB"/>
        </w:rPr>
        <w:lastRenderedPageBreak/>
        <w:drawing>
          <wp:inline distT="0" distB="0" distL="0" distR="0" wp14:anchorId="78E7DE29" wp14:editId="7242D416">
            <wp:extent cx="5731510" cy="8110220"/>
            <wp:effectExtent l="0" t="0" r="2540" b="508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Consent Questionnaire-3.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31510" cy="8110220"/>
                    </a:xfrm>
                    <a:prstGeom prst="rect">
                      <a:avLst/>
                    </a:prstGeom>
                  </pic:spPr>
                </pic:pic>
              </a:graphicData>
            </a:graphic>
          </wp:inline>
        </w:drawing>
      </w:r>
    </w:p>
    <w:p w14:paraId="72B20B39" w14:textId="77777777" w:rsidR="003B7CCB" w:rsidRDefault="003B7CCB" w:rsidP="003405AE">
      <w:pPr>
        <w:pStyle w:val="AppendixD"/>
      </w:pPr>
      <w:bookmarkStart w:id="690" w:name="_Toc3538227"/>
      <w:r>
        <w:lastRenderedPageBreak/>
        <w:t>MYLO Sound Test Screenshots</w:t>
      </w:r>
      <w:bookmarkEnd w:id="685"/>
      <w:bookmarkEnd w:id="686"/>
      <w:bookmarkEnd w:id="690"/>
    </w:p>
    <w:p w14:paraId="183114E3" w14:textId="77777777" w:rsidR="00023B43" w:rsidRDefault="003B7CCB" w:rsidP="00E655F3">
      <w:pPr>
        <w:pStyle w:val="NoSpacing"/>
        <w:sectPr w:rsidR="00023B43" w:rsidSect="00452C07">
          <w:pgSz w:w="11906" w:h="16838"/>
          <w:pgMar w:top="851" w:right="851" w:bottom="851" w:left="1134" w:header="708" w:footer="708" w:gutter="0"/>
          <w:cols w:space="708"/>
          <w:docGrid w:linePitch="360"/>
        </w:sectPr>
      </w:pPr>
      <w:r>
        <w:rPr>
          <w:noProof/>
          <w:lang w:val="en-GB" w:eastAsia="en-GB"/>
        </w:rPr>
        <w:drawing>
          <wp:inline distT="0" distB="0" distL="0" distR="0" wp14:anchorId="50C60F18" wp14:editId="6F1483FB">
            <wp:extent cx="5400000" cy="289683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1.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400000" cy="2896831"/>
                    </a:xfrm>
                    <a:prstGeom prst="rect">
                      <a:avLst/>
                    </a:prstGeom>
                  </pic:spPr>
                </pic:pic>
              </a:graphicData>
            </a:graphic>
          </wp:inline>
        </w:drawing>
      </w:r>
      <w:r w:rsidR="00B243DB">
        <w:br/>
      </w:r>
      <w:r>
        <w:rPr>
          <w:noProof/>
          <w:lang w:val="en-GB" w:eastAsia="en-GB"/>
        </w:rPr>
        <w:drawing>
          <wp:inline distT="0" distB="0" distL="0" distR="0" wp14:anchorId="382BFEA5" wp14:editId="3542B041">
            <wp:extent cx="5400000" cy="289683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2.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400000" cy="2896831"/>
                    </a:xfrm>
                    <a:prstGeom prst="rect">
                      <a:avLst/>
                    </a:prstGeom>
                  </pic:spPr>
                </pic:pic>
              </a:graphicData>
            </a:graphic>
          </wp:inline>
        </w:drawing>
      </w:r>
      <w:r w:rsidR="00B243DB">
        <w:br/>
      </w:r>
      <w:r>
        <w:rPr>
          <w:noProof/>
          <w:lang w:val="en-GB" w:eastAsia="en-GB"/>
        </w:rPr>
        <w:drawing>
          <wp:inline distT="0" distB="0" distL="0" distR="0" wp14:anchorId="2306FB94" wp14:editId="0DFB8351">
            <wp:extent cx="5400000" cy="2896831"/>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3.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400000" cy="2896831"/>
                    </a:xfrm>
                    <a:prstGeom prst="rect">
                      <a:avLst/>
                    </a:prstGeom>
                  </pic:spPr>
                </pic:pic>
              </a:graphicData>
            </a:graphic>
          </wp:inline>
        </w:drawing>
      </w:r>
    </w:p>
    <w:p w14:paraId="4CEA1982" w14:textId="77777777" w:rsidR="000E1C6C" w:rsidRDefault="000E1C6C" w:rsidP="000E1C6C">
      <w:pPr>
        <w:pStyle w:val="AppendixD"/>
      </w:pPr>
      <w:bookmarkStart w:id="691" w:name="_Toc3538228"/>
      <w:r w:rsidRPr="00337E23">
        <w:lastRenderedPageBreak/>
        <w:t>Study VI Participant Debrief</w:t>
      </w:r>
      <w:bookmarkEnd w:id="691"/>
    </w:p>
    <w:p w14:paraId="4BE17455" w14:textId="77777777" w:rsidR="000E1C6C" w:rsidRDefault="000E1C6C" w:rsidP="000E1C6C">
      <w:r w:rsidRPr="00C913A0">
        <w:t>Thank you for participating in this study.</w:t>
      </w:r>
    </w:p>
    <w:p w14:paraId="2338AE22" w14:textId="690D8A3F" w:rsidR="000E1C6C" w:rsidRDefault="000E1C6C" w:rsidP="000E1C6C">
      <w:r w:rsidRPr="00C913A0">
        <w:t>You interacted with one of three versions of the same program</w:t>
      </w:r>
      <w:r w:rsidR="00554CB4">
        <w:t xml:space="preserve">.  </w:t>
      </w:r>
      <w:r w:rsidRPr="00C913A0">
        <w:t>This is because we wanted to compare versions in order to determine which would be best at helping older adults solve problems.</w:t>
      </w:r>
    </w:p>
    <w:p w14:paraId="507D0C3E" w14:textId="1A7830F5" w:rsidR="000E1C6C" w:rsidRDefault="000E1C6C" w:rsidP="000E1C6C">
      <w:r w:rsidRPr="00C913A0">
        <w:t>Previous research has shown MYLO to be an acceptable problem-solving aid for young adults</w:t>
      </w:r>
      <w:r w:rsidR="00554CB4">
        <w:t xml:space="preserve">.  </w:t>
      </w:r>
      <w:r w:rsidRPr="00C913A0">
        <w:t>This study is important because its results will assist in the further development of MYLO</w:t>
      </w:r>
      <w:r w:rsidR="00554CB4">
        <w:t xml:space="preserve">.  </w:t>
      </w:r>
      <w:r w:rsidRPr="00C913A0">
        <w:t xml:space="preserve">In this study we randomly assigned participants to talk with </w:t>
      </w:r>
      <w:proofErr w:type="gramStart"/>
      <w:r w:rsidRPr="00C913A0">
        <w:t>either MYLO</w:t>
      </w:r>
      <w:proofErr w:type="gramEnd"/>
      <w:r w:rsidRPr="00C913A0">
        <w:t>, MYLO with an introduction or MYLO with an introduction and speech</w:t>
      </w:r>
      <w:r w:rsidR="00554CB4">
        <w:t xml:space="preserve">.  </w:t>
      </w:r>
      <w:r w:rsidRPr="00C913A0">
        <w:t>We expect to find MYLO with an introduction and speech to be the more acceptable problem-solving aid for older adults as it was specially tailored based on the feedback of older adults.</w:t>
      </w:r>
    </w:p>
    <w:p w14:paraId="684B81B6" w14:textId="24B67CB4" w:rsidR="000E1C6C" w:rsidRDefault="000E1C6C" w:rsidP="000E1C6C">
      <w:r w:rsidRPr="00C913A0">
        <w:t>Thank you for your participation in our research</w:t>
      </w:r>
      <w:r w:rsidR="00554CB4">
        <w:t xml:space="preserve">.  </w:t>
      </w:r>
      <w:r w:rsidRPr="00C913A0">
        <w:t>If you have any questions, please contact me using the details below.</w:t>
      </w:r>
    </w:p>
    <w:p w14:paraId="33BBFF21" w14:textId="704B87C7" w:rsidR="000E1C6C" w:rsidRDefault="000E1C6C" w:rsidP="000E1C6C">
      <w:r w:rsidRPr="00C913A0">
        <w:t>Please remember, the program(s) involved in this study are not a substitute for seeking professional help</w:t>
      </w:r>
      <w:r w:rsidR="00554CB4">
        <w:t xml:space="preserve">.  </w:t>
      </w:r>
      <w:r w:rsidRPr="00C913A0">
        <w:t>If you are feeling distressed, you should contact your GP.</w:t>
      </w:r>
    </w:p>
    <w:p w14:paraId="4E3770ED" w14:textId="77777777" w:rsidR="000E1C6C" w:rsidRDefault="000E1C6C" w:rsidP="000E1C6C">
      <w:r w:rsidRPr="00C913A0">
        <w:t>If completing this study has made you feel worried or stressed</w:t>
      </w:r>
      <w:proofErr w:type="gramStart"/>
      <w:r w:rsidRPr="00C913A0">
        <w:t>:</w:t>
      </w:r>
      <w:proofErr w:type="gramEnd"/>
      <w:r w:rsidRPr="00C913A0">
        <w:br/>
        <w:t>You should contact your GP, who will be able to advise you on the support services available in your local area.</w:t>
      </w:r>
    </w:p>
    <w:p w14:paraId="3FF40911" w14:textId="77777777" w:rsidR="000E1C6C" w:rsidRDefault="000E1C6C" w:rsidP="000E1C6C">
      <w:r w:rsidRPr="00C913A0">
        <w:t>If you need urgent support, you can call</w:t>
      </w:r>
      <w:r w:rsidRPr="00C913A0">
        <w:br/>
        <w:t>Samaritans on 116 123 or </w:t>
      </w:r>
      <w:hyperlink r:id="rId126" w:history="1">
        <w:r w:rsidRPr="00C913A0">
          <w:rPr>
            <w:rStyle w:val="Hyperlink"/>
          </w:rPr>
          <w:t>www.samaritans.org</w:t>
        </w:r>
      </w:hyperlink>
      <w:r w:rsidRPr="00C913A0">
        <w:br/>
        <w:t>MIND on 0300 123 3393 or </w:t>
      </w:r>
      <w:hyperlink r:id="rId127" w:history="1">
        <w:r w:rsidRPr="00C913A0">
          <w:rPr>
            <w:rStyle w:val="Hyperlink"/>
          </w:rPr>
          <w:t>www.mind.org.uk</w:t>
        </w:r>
      </w:hyperlink>
      <w:r w:rsidRPr="00C913A0">
        <w:br/>
      </w:r>
      <w:proofErr w:type="gramStart"/>
      <w:r w:rsidRPr="00C913A0">
        <w:t>You</w:t>
      </w:r>
      <w:proofErr w:type="gramEnd"/>
      <w:r w:rsidRPr="00C913A0">
        <w:t xml:space="preserve"> can also contact your GP.</w:t>
      </w:r>
    </w:p>
    <w:p w14:paraId="100CAA45" w14:textId="77777777" w:rsidR="000E1C6C" w:rsidRDefault="000E1C6C" w:rsidP="000E1C6C">
      <w:r w:rsidRPr="00C913A0">
        <w:t>If you'd like further information</w:t>
      </w:r>
      <w:r w:rsidRPr="00C913A0">
        <w:br/>
      </w:r>
      <w:proofErr w:type="gramStart"/>
      <w:r w:rsidRPr="00C913A0">
        <w:t>For</w:t>
      </w:r>
      <w:proofErr w:type="gramEnd"/>
      <w:r w:rsidRPr="00C913A0">
        <w:t xml:space="preserve"> an overview of this project please watch the following video: </w:t>
      </w:r>
      <w:hyperlink r:id="rId128" w:history="1">
        <w:r w:rsidRPr="00C913A0">
          <w:rPr>
            <w:rStyle w:val="Hyperlink"/>
          </w:rPr>
          <w:t>https://youtu.be/djTNx0-z8QI</w:t>
        </w:r>
      </w:hyperlink>
    </w:p>
    <w:p w14:paraId="50ECCB6B" w14:textId="77777777" w:rsidR="000E1C6C" w:rsidRDefault="000E1C6C" w:rsidP="000E1C6C">
      <w:r w:rsidRPr="00C913A0">
        <w:t>Contact information</w:t>
      </w:r>
      <w:r w:rsidRPr="00C913A0">
        <w:br/>
      </w:r>
      <w:proofErr w:type="gramStart"/>
      <w:r w:rsidRPr="00C913A0">
        <w:t>If</w:t>
      </w:r>
      <w:proofErr w:type="gramEnd"/>
      <w:r w:rsidRPr="00C913A0">
        <w:t xml:space="preserve"> you have any questions or would like to know more about the research team's project, please contact</w:t>
      </w:r>
    </w:p>
    <w:p w14:paraId="2744A41C" w14:textId="77777777" w:rsidR="000E1C6C" w:rsidRDefault="000E1C6C" w:rsidP="000E1C6C">
      <w:r w:rsidRPr="00C913A0">
        <w:t>Matthew Bennion</w:t>
      </w:r>
      <w:r w:rsidRPr="00C913A0">
        <w:br/>
        <w:t>PhD Researcher</w:t>
      </w:r>
      <w:r w:rsidRPr="00C913A0">
        <w:br/>
        <w:t>Department of Psychology</w:t>
      </w:r>
      <w:r w:rsidRPr="00C913A0">
        <w:br/>
        <w:t>University of Sheffield</w:t>
      </w:r>
      <w:r w:rsidRPr="00C913A0">
        <w:br/>
      </w:r>
      <w:hyperlink r:id="rId129" w:history="1">
        <w:r w:rsidRPr="00C913A0">
          <w:rPr>
            <w:rStyle w:val="Hyperlink"/>
          </w:rPr>
          <w:t>m.bennion@sheffield.ac.uk</w:t>
        </w:r>
      </w:hyperlink>
    </w:p>
    <w:p w14:paraId="4D7C8A80" w14:textId="77777777" w:rsidR="006C6716" w:rsidRDefault="000E1C6C" w:rsidP="005521FA">
      <w:pPr>
        <w:rPr>
          <w:rStyle w:val="Hyperlink"/>
        </w:rPr>
        <w:sectPr w:rsidR="006C6716" w:rsidSect="00452C07">
          <w:pgSz w:w="11906" w:h="16838"/>
          <w:pgMar w:top="851" w:right="851" w:bottom="851" w:left="1134" w:header="708" w:footer="708" w:gutter="0"/>
          <w:cols w:space="708"/>
          <w:docGrid w:linePitch="360"/>
        </w:sectPr>
      </w:pPr>
      <w:r w:rsidRPr="00C913A0">
        <w:t xml:space="preserve">You can also contact Matthew’s supervisory team, Dr Steven </w:t>
      </w:r>
      <w:proofErr w:type="spellStart"/>
      <w:r w:rsidRPr="00C913A0">
        <w:t>Kellet</w:t>
      </w:r>
      <w:proofErr w:type="spellEnd"/>
      <w:r w:rsidRPr="00C913A0">
        <w:t>, Prof Roger Moore and Prof Gillian Hardy at the University of Sheffield, by emailing</w:t>
      </w:r>
      <w:r>
        <w:t xml:space="preserve"> </w:t>
      </w:r>
      <w:hyperlink r:id="rId130" w:history="1">
        <w:r w:rsidRPr="00042E84">
          <w:rPr>
            <w:rStyle w:val="Hyperlink"/>
          </w:rPr>
          <w:t>s.kellet@sheffield.ac.uk</w:t>
        </w:r>
      </w:hyperlink>
    </w:p>
    <w:p w14:paraId="6ED38671" w14:textId="3DFA0381" w:rsidR="006C6716" w:rsidRPr="006C6716" w:rsidRDefault="006C6716" w:rsidP="00210807">
      <w:pPr>
        <w:pStyle w:val="Heading1"/>
        <w:numPr>
          <w:ilvl w:val="0"/>
          <w:numId w:val="0"/>
        </w:numPr>
        <w:ind w:left="432" w:hanging="432"/>
      </w:pPr>
    </w:p>
    <w:sectPr w:rsidR="006C6716" w:rsidRPr="006C6716" w:rsidSect="00452C07">
      <w:pgSz w:w="11906" w:h="16838"/>
      <w:pgMar w:top="851" w:right="851" w:bottom="851" w:left="1134"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0817FC8" w15:done="0"/>
  <w15:commentEx w15:paraId="156EFAC8" w15:done="0"/>
  <w15:commentEx w15:paraId="7AC42C02" w15:done="0"/>
  <w15:commentEx w15:paraId="69A553F9" w15:done="0"/>
  <w15:commentEx w15:paraId="7B675640" w15:done="0"/>
  <w15:commentEx w15:paraId="1E021E87" w15:done="0"/>
  <w15:commentEx w15:paraId="536E8622" w15:done="0"/>
  <w15:commentEx w15:paraId="18840F71" w15:done="0"/>
  <w15:commentEx w15:paraId="44FE2740" w15:done="0"/>
  <w15:commentEx w15:paraId="1477335E" w15:done="0"/>
  <w15:commentEx w15:paraId="553DB1A8" w15:done="0"/>
  <w15:commentEx w15:paraId="1944F746" w15:done="0"/>
  <w15:commentEx w15:paraId="418884B2" w15:done="0"/>
  <w15:commentEx w15:paraId="54782E8A" w15:done="0"/>
  <w15:commentEx w15:paraId="20879F0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0817FC8" w16cid:durableId="200321E5"/>
  <w16cid:commentId w16cid:paraId="156EFAC8" w16cid:durableId="2005C2C4"/>
  <w16cid:commentId w16cid:paraId="7AC42C02" w16cid:durableId="2005C86D"/>
  <w16cid:commentId w16cid:paraId="69A553F9" w16cid:durableId="2005CC13"/>
  <w16cid:commentId w16cid:paraId="7B675640" w16cid:durableId="200704FA"/>
  <w16cid:commentId w16cid:paraId="1E021E87" w16cid:durableId="2005D048"/>
  <w16cid:commentId w16cid:paraId="536E8622" w16cid:durableId="2005CF4D"/>
  <w16cid:commentId w16cid:paraId="18840F71" w16cid:durableId="200DC70F"/>
  <w16cid:commentId w16cid:paraId="44FE2740" w16cid:durableId="2005D2DD"/>
  <w16cid:commentId w16cid:paraId="1477335E" w16cid:durableId="200705E6"/>
  <w16cid:commentId w16cid:paraId="553DB1A8" w16cid:durableId="2005D0FD"/>
  <w16cid:commentId w16cid:paraId="1944F746" w16cid:durableId="20070E8D"/>
  <w16cid:commentId w16cid:paraId="418884B2" w16cid:durableId="2005DF07"/>
  <w16cid:commentId w16cid:paraId="54782E8A" w16cid:durableId="2003450B"/>
  <w16cid:commentId w16cid:paraId="20879F09" w16cid:durableId="2005DEC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5AFDF2" w14:textId="77777777" w:rsidR="00FF643F" w:rsidRDefault="00FF643F" w:rsidP="00E30483">
      <w:pPr>
        <w:spacing w:after="0" w:line="240" w:lineRule="auto"/>
      </w:pPr>
      <w:r>
        <w:separator/>
      </w:r>
    </w:p>
    <w:p w14:paraId="0BCCE6D6" w14:textId="77777777" w:rsidR="00FF643F" w:rsidRDefault="00FF643F"/>
  </w:endnote>
  <w:endnote w:type="continuationSeparator" w:id="0">
    <w:p w14:paraId="459E21FD" w14:textId="77777777" w:rsidR="00FF643F" w:rsidRDefault="00FF643F" w:rsidP="00E30483">
      <w:pPr>
        <w:spacing w:after="0" w:line="240" w:lineRule="auto"/>
      </w:pPr>
      <w:r>
        <w:continuationSeparator/>
      </w:r>
    </w:p>
    <w:p w14:paraId="5E8AAEFD" w14:textId="77777777" w:rsidR="00FF643F" w:rsidRDefault="00FF643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altName w:val="Consolas"/>
    <w:panose1 w:val="020F0302020204030204"/>
    <w:charset w:val="00"/>
    <w:family w:val="swiss"/>
    <w:pitch w:val="variable"/>
    <w:sig w:usb0="A00002EF" w:usb1="4000207B" w:usb2="00000000" w:usb3="00000000" w:csb0="0000019F" w:csb1="00000000"/>
  </w:font>
  <w:font w:name="Calibri Light (Headings)">
    <w:altName w:val="Times New Roman"/>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DengXian">
    <w:altName w:val="Arial Unicode MS"/>
    <w:charset w:val="86"/>
    <w:family w:val="auto"/>
    <w:pitch w:val="variable"/>
    <w:sig w:usb0="00000000" w:usb1="38CF7CFA" w:usb2="00000016" w:usb3="00000000" w:csb0="0004000F" w:csb1="00000000"/>
  </w:font>
  <w:font w:name="Arial">
    <w:panose1 w:val="020B0604020202020204"/>
    <w:charset w:val="00"/>
    <w:family w:val="swiss"/>
    <w:pitch w:val="variable"/>
    <w:sig w:usb0="20002A87" w:usb1="00000000" w:usb2="00000000" w:usb3="00000000" w:csb0="000001FF" w:csb1="00000000"/>
  </w:font>
  <w:font w:name="DengXian Light">
    <w:charset w:val="86"/>
    <w:family w:val="auto"/>
    <w:pitch w:val="variable"/>
    <w:sig w:usb0="A00002BF" w:usb1="38CF7CFA" w:usb2="00000016" w:usb3="00000000" w:csb0="0004000F" w:csb1="00000000"/>
  </w:font>
  <w:font w:name="Segoe UI">
    <w:altName w:val="Courier New"/>
    <w:panose1 w:val="020B0502040204020203"/>
    <w:charset w:val="00"/>
    <w:family w:val="swiss"/>
    <w:pitch w:val="variable"/>
    <w:sig w:usb0="E10022FF" w:usb1="C000E47F" w:usb2="00000029" w:usb3="00000000" w:csb0="000001DF" w:csb1="00000000"/>
  </w:font>
  <w:font w:name="Liberation Sans">
    <w:charset w:val="00"/>
    <w:family w:val="swiss"/>
    <w:pitch w:val="variable"/>
    <w:sig w:usb0="E0000AFF" w:usb1="500078FF" w:usb2="00000021" w:usb3="00000000" w:csb0="000001BF" w:csb1="00000000"/>
  </w:font>
  <w:font w:name="WenQuanYi Micro Hei">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TUOS Blake">
    <w:altName w:val="Times New Roman"/>
    <w:charset w:val="00"/>
    <w:family w:val="auto"/>
    <w:pitch w:val="default"/>
  </w:font>
  <w:font w:name="AdvOT99ad3856">
    <w:altName w:val="Times New Roman"/>
    <w:charset w:val="00"/>
    <w:family w:val="auto"/>
    <w:pitch w:val="default"/>
  </w:font>
  <w:font w:name="Times">
    <w:panose1 w:val="02020603050405020304"/>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2849922"/>
      <w:docPartObj>
        <w:docPartGallery w:val="Page Numbers (Bottom of Page)"/>
        <w:docPartUnique/>
      </w:docPartObj>
    </w:sdtPr>
    <w:sdtEndPr>
      <w:rPr>
        <w:noProof/>
      </w:rPr>
    </w:sdtEndPr>
    <w:sdtContent>
      <w:p w14:paraId="4DCEF043" w14:textId="5C7306D6" w:rsidR="00F94585" w:rsidRPr="00574650" w:rsidRDefault="00F94585" w:rsidP="000D747D">
        <w:pPr>
          <w:pStyle w:val="Footer"/>
          <w:jc w:val="center"/>
        </w:pPr>
        <w:r>
          <w:fldChar w:fldCharType="begin"/>
        </w:r>
        <w:r>
          <w:instrText xml:space="preserve"> PAGE   \* MERGEFORMAT </w:instrText>
        </w:r>
        <w:r>
          <w:fldChar w:fldCharType="separate"/>
        </w:r>
        <w:r w:rsidR="00C501FD">
          <w:rPr>
            <w:noProof/>
          </w:rPr>
          <w:t>38</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9A1554" w14:textId="77777777" w:rsidR="00FF643F" w:rsidRDefault="00FF643F" w:rsidP="00E30483">
      <w:pPr>
        <w:spacing w:after="0" w:line="240" w:lineRule="auto"/>
      </w:pPr>
      <w:r>
        <w:separator/>
      </w:r>
    </w:p>
    <w:p w14:paraId="0230E500" w14:textId="77777777" w:rsidR="00FF643F" w:rsidRDefault="00FF643F"/>
  </w:footnote>
  <w:footnote w:type="continuationSeparator" w:id="0">
    <w:p w14:paraId="7F3B7D0D" w14:textId="77777777" w:rsidR="00FF643F" w:rsidRDefault="00FF643F" w:rsidP="00E30483">
      <w:pPr>
        <w:spacing w:after="0" w:line="240" w:lineRule="auto"/>
      </w:pPr>
      <w:r>
        <w:continuationSeparator/>
      </w:r>
    </w:p>
    <w:p w14:paraId="28394958" w14:textId="77777777" w:rsidR="00FF643F" w:rsidRDefault="00FF643F"/>
  </w:footnote>
  <w:footnote w:id="1">
    <w:p w14:paraId="42692704" w14:textId="70E43CB4" w:rsidR="00F94585" w:rsidRDefault="00F94585" w:rsidP="00E30483">
      <w:pPr>
        <w:pStyle w:val="FootnoteText"/>
      </w:pPr>
      <w:r w:rsidRPr="009A1A43">
        <w:rPr>
          <w:rStyle w:val="FootnoteReference"/>
        </w:rPr>
        <w:footnoteRef/>
      </w:r>
      <w:r>
        <w:t xml:space="preserve"> </w:t>
      </w:r>
      <w:r w:rsidRPr="006D7201">
        <w:t>277 had websites</w:t>
      </w:r>
      <w:r>
        <w:t xml:space="preserve">.  </w:t>
      </w:r>
      <w:r w:rsidRPr="006D7201">
        <w:t>Some records had a generic website link to the general IAPT website (n = 122), while others had addresses that displayed ‘no page found</w:t>
      </w:r>
      <w:r>
        <w:t>’</w:t>
      </w:r>
      <w:r w:rsidRPr="006D7201">
        <w:t xml:space="preserve"> (n = 31) or failed to reach any web page at all (n = 7).  This left 117 out of 277 IAPT services with a valid web address.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85CC0"/>
    <w:multiLevelType w:val="multilevel"/>
    <w:tmpl w:val="09A44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4567FA"/>
    <w:multiLevelType w:val="hybridMultilevel"/>
    <w:tmpl w:val="670EF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63604F7"/>
    <w:multiLevelType w:val="hybridMultilevel"/>
    <w:tmpl w:val="5B4A905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75A40A8"/>
    <w:multiLevelType w:val="hybridMultilevel"/>
    <w:tmpl w:val="5FEC46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11D6651C"/>
    <w:multiLevelType w:val="multilevel"/>
    <w:tmpl w:val="50983810"/>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1482775B"/>
    <w:multiLevelType w:val="multilevel"/>
    <w:tmpl w:val="D548AD0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
    <w:nsid w:val="20D24669"/>
    <w:multiLevelType w:val="hybridMultilevel"/>
    <w:tmpl w:val="EAE016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224E3224"/>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nsid w:val="22F83AED"/>
    <w:multiLevelType w:val="hybridMultilevel"/>
    <w:tmpl w:val="C460537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9404289"/>
    <w:multiLevelType w:val="hybridMultilevel"/>
    <w:tmpl w:val="42E48E66"/>
    <w:lvl w:ilvl="0" w:tplc="601A59FA">
      <w:start w:val="1"/>
      <w:numFmt w:val="decimal"/>
      <w:pStyle w:val="AppendixA"/>
      <w:lvlText w:val="Appendix A%1."/>
      <w:lvlJc w:val="left"/>
      <w:pPr>
        <w:ind w:left="360" w:hanging="360"/>
      </w:pPr>
      <w:rPr>
        <w:rFonts w:ascii="Calibri Light" w:hAnsi="Calibri Light" w:hint="default"/>
        <w:b/>
        <w:bCs w:val="0"/>
        <w:i w:val="0"/>
        <w:iCs w:val="0"/>
        <w:caps w:val="0"/>
        <w:smallCaps w:val="0"/>
        <w:strike w:val="0"/>
        <w:dstrike w:val="0"/>
        <w:outline w:val="0"/>
        <w:shadow w:val="0"/>
        <w:emboss w:val="0"/>
        <w:imprint w:val="0"/>
        <w:noProof w:val="0"/>
        <w:vanish w:val="0"/>
        <w:spacing w:val="0"/>
        <w:kern w:val="0"/>
        <w:position w:val="0"/>
        <w:sz w:val="28"/>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9AB2E9C"/>
    <w:multiLevelType w:val="multilevel"/>
    <w:tmpl w:val="990A8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BDD77C6"/>
    <w:multiLevelType w:val="hybridMultilevel"/>
    <w:tmpl w:val="7F5694C4"/>
    <w:lvl w:ilvl="0" w:tplc="21C00F98">
      <w:start w:val="1"/>
      <w:numFmt w:val="decimal"/>
      <w:pStyle w:val="AppendixB"/>
      <w:lvlText w:val="Appendix B%1."/>
      <w:lvlJc w:val="left"/>
      <w:pPr>
        <w:ind w:left="360" w:hanging="360"/>
      </w:pPr>
      <w:rPr>
        <w:rFonts w:ascii="Calibri Light" w:hAnsi="Calibri Light" w:hint="default"/>
        <w:b/>
        <w:bCs w:val="0"/>
        <w:i w:val="0"/>
        <w:iCs w:val="0"/>
        <w:caps w:val="0"/>
        <w:smallCaps w:val="0"/>
        <w:strike w:val="0"/>
        <w:dstrike w:val="0"/>
        <w:outline w:val="0"/>
        <w:shadow w:val="0"/>
        <w:emboss w:val="0"/>
        <w:imprint w:val="0"/>
        <w:noProof w:val="0"/>
        <w:vanish w:val="0"/>
        <w:spacing w:val="0"/>
        <w:kern w:val="0"/>
        <w:position w:val="0"/>
        <w:sz w:val="28"/>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2CA311BC"/>
    <w:multiLevelType w:val="multilevel"/>
    <w:tmpl w:val="309677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2CAE5A38"/>
    <w:multiLevelType w:val="hybridMultilevel"/>
    <w:tmpl w:val="9C40E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78070F6"/>
    <w:multiLevelType w:val="hybridMultilevel"/>
    <w:tmpl w:val="DDF46D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420F7F9C"/>
    <w:multiLevelType w:val="multilevel"/>
    <w:tmpl w:val="C8CA9118"/>
    <w:lvl w:ilvl="0">
      <w:start w:val="1"/>
      <w:numFmt w:val="decimal"/>
      <w:lvlText w:val="%1"/>
      <w:lvlJc w:val="left"/>
      <w:pPr>
        <w:ind w:left="432" w:hanging="432"/>
      </w:pPr>
      <w:rPr>
        <w:rFonts w:hint="default"/>
      </w:rPr>
    </w:lvl>
    <w:lvl w:ilvl="1">
      <w:start w:val="1"/>
      <w:numFmt w:val="decimal"/>
      <w:lvlText w:val="%1.%2"/>
      <w:lvlJc w:val="left"/>
      <w:pPr>
        <w:ind w:left="576" w:hanging="576"/>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43240CB8"/>
    <w:multiLevelType w:val="hybridMultilevel"/>
    <w:tmpl w:val="2B6E8892"/>
    <w:lvl w:ilvl="0" w:tplc="4FE0BCD8">
      <w:start w:val="1"/>
      <w:numFmt w:val="decimal"/>
      <w:pStyle w:val="AppendixC"/>
      <w:lvlText w:val="Appendix C%1."/>
      <w:lvlJc w:val="left"/>
      <w:pPr>
        <w:ind w:left="360" w:hanging="360"/>
      </w:pPr>
      <w:rPr>
        <w:rFonts w:ascii="Calibri Light (Headings)" w:hAnsi="Calibri Light (Headings)" w:hint="default"/>
        <w:b/>
        <w:bCs w:val="0"/>
        <w:i w:val="0"/>
        <w:iCs w:val="0"/>
        <w:caps w:val="0"/>
        <w:smallCaps w:val="0"/>
        <w:strike w:val="0"/>
        <w:dstrike w:val="0"/>
        <w:outline w:val="0"/>
        <w:shadow w:val="0"/>
        <w:emboss w:val="0"/>
        <w:imprint w:val="0"/>
        <w:noProof w:val="0"/>
        <w:vanish w:val="0"/>
        <w:spacing w:val="0"/>
        <w:kern w:val="0"/>
        <w:position w:val="0"/>
        <w:sz w:val="28"/>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339136E"/>
    <w:multiLevelType w:val="multilevel"/>
    <w:tmpl w:val="D77679A4"/>
    <w:lvl w:ilvl="0">
      <w:start w:val="3"/>
      <w:numFmt w:val="decimal"/>
      <w:pStyle w:val="TOCHeading"/>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45B61ED8"/>
    <w:multiLevelType w:val="hybridMultilevel"/>
    <w:tmpl w:val="DA488BC0"/>
    <w:lvl w:ilvl="0" w:tplc="2E387792">
      <w:start w:val="1"/>
      <w:numFmt w:val="decimal"/>
      <w:pStyle w:val="AppendixE"/>
      <w:lvlText w:val="Appendix E%1."/>
      <w:lvlJc w:val="left"/>
      <w:pPr>
        <w:ind w:left="720" w:hanging="360"/>
      </w:pPr>
      <w:rPr>
        <w:rFonts w:ascii="Calibri Light" w:hAnsi="Calibri Light" w:hint="default"/>
        <w:b/>
        <w:bCs w:val="0"/>
        <w:i w:val="0"/>
        <w:iCs w:val="0"/>
        <w:caps w:val="0"/>
        <w:smallCaps w:val="0"/>
        <w:strike w:val="0"/>
        <w:dstrike w:val="0"/>
        <w:outline w:val="0"/>
        <w:shadow w:val="0"/>
        <w:emboss w:val="0"/>
        <w:imprint w:val="0"/>
        <w:vanish w:val="0"/>
        <w:spacing w:val="0"/>
        <w:kern w:val="0"/>
        <w:position w:val="0"/>
        <w:sz w:val="28"/>
        <w:u w:val="none"/>
        <w:effect w:val="none"/>
        <w:vertAlign w:val="baseline"/>
        <w:em w:v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4A2778A6"/>
    <w:multiLevelType w:val="multilevel"/>
    <w:tmpl w:val="0409001D"/>
    <w:styleLink w:val="Singlepunch"/>
    <w:lvl w:ilvl="0">
      <w:start w:val="1"/>
      <w:numFmt w:val="bullet"/>
      <w:lvlText w:val=""/>
      <w:lvlJc w:val="left"/>
      <w:pPr>
        <w:ind w:left="360" w:hanging="360"/>
      </w:pPr>
      <w:rPr>
        <w:rFonts w:ascii="Wingdings" w:hAnsi="Wingding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nsid w:val="5160058B"/>
    <w:multiLevelType w:val="multilevel"/>
    <w:tmpl w:val="2B20AF48"/>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nsid w:val="52E86742"/>
    <w:multiLevelType w:val="hybridMultilevel"/>
    <w:tmpl w:val="500A1B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54080D83"/>
    <w:multiLevelType w:val="hybridMultilevel"/>
    <w:tmpl w:val="158E6C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nsid w:val="544D43A9"/>
    <w:multiLevelType w:val="hybridMultilevel"/>
    <w:tmpl w:val="DA14E698"/>
    <w:lvl w:ilvl="0" w:tplc="8C0E828C">
      <w:start w:val="1"/>
      <w:numFmt w:val="decimal"/>
      <w:pStyle w:val="AppendixD"/>
      <w:lvlText w:val="Appendix D%1."/>
      <w:lvlJc w:val="left"/>
      <w:pPr>
        <w:ind w:left="360" w:hanging="360"/>
      </w:pPr>
      <w:rPr>
        <w:rFonts w:ascii="Calibri Light (Headings)" w:hAnsi="Calibri Light (Headings)" w:hint="default"/>
        <w:b/>
        <w:bCs w:val="0"/>
        <w:i w:val="0"/>
        <w:iCs w:val="0"/>
        <w:caps w:val="0"/>
        <w:smallCaps w:val="0"/>
        <w:strike w:val="0"/>
        <w:dstrike w:val="0"/>
        <w:outline w:val="0"/>
        <w:shadow w:val="0"/>
        <w:emboss w:val="0"/>
        <w:imprint w:val="0"/>
        <w:noProof w:val="0"/>
        <w:vanish w:val="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642D536A"/>
    <w:multiLevelType w:val="multilevel"/>
    <w:tmpl w:val="9D124606"/>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nsid w:val="67A5790B"/>
    <w:multiLevelType w:val="hybridMultilevel"/>
    <w:tmpl w:val="0FF23A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6FB5425C"/>
    <w:multiLevelType w:val="hybridMultilevel"/>
    <w:tmpl w:val="1ED8B0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nsid w:val="714C5038"/>
    <w:multiLevelType w:val="hybridMultilevel"/>
    <w:tmpl w:val="7F08D9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75AB7254"/>
    <w:multiLevelType w:val="hybridMultilevel"/>
    <w:tmpl w:val="8B0276F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nsid w:val="78C45956"/>
    <w:multiLevelType w:val="hybridMultilevel"/>
    <w:tmpl w:val="D416FE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5"/>
  </w:num>
  <w:num w:numId="2">
    <w:abstractNumId w:val="12"/>
  </w:num>
  <w:num w:numId="3">
    <w:abstractNumId w:val="17"/>
  </w:num>
  <w:num w:numId="4">
    <w:abstractNumId w:val="29"/>
  </w:num>
  <w:num w:numId="5">
    <w:abstractNumId w:val="14"/>
  </w:num>
  <w:num w:numId="6">
    <w:abstractNumId w:val="26"/>
  </w:num>
  <w:num w:numId="7">
    <w:abstractNumId w:val="1"/>
  </w:num>
  <w:num w:numId="8">
    <w:abstractNumId w:val="15"/>
  </w:num>
  <w:num w:numId="9">
    <w:abstractNumId w:val="9"/>
  </w:num>
  <w:num w:numId="10">
    <w:abstractNumId w:val="11"/>
  </w:num>
  <w:num w:numId="11">
    <w:abstractNumId w:val="19"/>
  </w:num>
  <w:num w:numId="12">
    <w:abstractNumId w:val="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num>
  <w:num w:numId="15">
    <w:abstractNumId w:val="23"/>
  </w:num>
  <w:num w:numId="16">
    <w:abstractNumId w:val="4"/>
  </w:num>
  <w:num w:numId="17">
    <w:abstractNumId w:val="18"/>
  </w:num>
  <w:num w:numId="18">
    <w:abstractNumId w:val="22"/>
  </w:num>
  <w:num w:numId="19">
    <w:abstractNumId w:val="28"/>
  </w:num>
  <w:num w:numId="20">
    <w:abstractNumId w:val="6"/>
  </w:num>
  <w:num w:numId="21">
    <w:abstractNumId w:val="24"/>
  </w:num>
  <w:num w:numId="22">
    <w:abstractNumId w:val="20"/>
  </w:num>
  <w:num w:numId="23">
    <w:abstractNumId w:val="0"/>
  </w:num>
  <w:num w:numId="24">
    <w:abstractNumId w:val="3"/>
  </w:num>
  <w:num w:numId="25">
    <w:abstractNumId w:val="25"/>
  </w:num>
  <w:num w:numId="26">
    <w:abstractNumId w:val="27"/>
  </w:num>
  <w:num w:numId="27">
    <w:abstractNumId w:val="10"/>
  </w:num>
  <w:num w:numId="28">
    <w:abstractNumId w:val="21"/>
  </w:num>
  <w:num w:numId="29">
    <w:abstractNumId w:val="7"/>
  </w:num>
  <w:num w:numId="30">
    <w:abstractNumId w:val="2"/>
  </w:num>
  <w:num w:numId="31">
    <w:abstractNumId w:val="13"/>
  </w:num>
  <w:num w:numId="32">
    <w:abstractNumId w:val="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mirrorMargins/>
  <w:activeWritingStyle w:appName="MSWord" w:lang="en-GB" w:vendorID="64" w:dllVersion="0" w:nlCheck="1" w:checkStyle="0"/>
  <w:activeWritingStyle w:appName="MSWord" w:lang="en-US" w:vendorID="64" w:dllVersion="0" w:nlCheck="1" w:checkStyle="0"/>
  <w:activeWritingStyle w:appName="MSWord" w:lang="en-GB" w:vendorID="64" w:dllVersion="131078" w:nlCheck="1" w:checkStyle="1"/>
  <w:activeWritingStyle w:appName="MSWord" w:lang="en-US" w:vendorID="64" w:dllVersion="131078" w:nlCheck="1" w:checkStyle="1"/>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0MDc0tLQ0M7E0MDE0srBQ0lEKTi0uzszPAymwrAUANbVsHywAAAA="/>
  </w:docVars>
  <w:rsids>
    <w:rsidRoot w:val="00124458"/>
    <w:rsid w:val="000078F7"/>
    <w:rsid w:val="00011993"/>
    <w:rsid w:val="000127A6"/>
    <w:rsid w:val="00014524"/>
    <w:rsid w:val="00020C11"/>
    <w:rsid w:val="00023B43"/>
    <w:rsid w:val="00027F2D"/>
    <w:rsid w:val="0003164D"/>
    <w:rsid w:val="0003181B"/>
    <w:rsid w:val="00031978"/>
    <w:rsid w:val="00031B46"/>
    <w:rsid w:val="00034D2D"/>
    <w:rsid w:val="00035ABE"/>
    <w:rsid w:val="00037F42"/>
    <w:rsid w:val="00042147"/>
    <w:rsid w:val="00043C21"/>
    <w:rsid w:val="00047ECE"/>
    <w:rsid w:val="0005485B"/>
    <w:rsid w:val="00056473"/>
    <w:rsid w:val="0005700B"/>
    <w:rsid w:val="00067319"/>
    <w:rsid w:val="00067A00"/>
    <w:rsid w:val="000729BC"/>
    <w:rsid w:val="00080CD8"/>
    <w:rsid w:val="00081D39"/>
    <w:rsid w:val="000822B6"/>
    <w:rsid w:val="0008335F"/>
    <w:rsid w:val="00083935"/>
    <w:rsid w:val="00090508"/>
    <w:rsid w:val="000A04E9"/>
    <w:rsid w:val="000A07AB"/>
    <w:rsid w:val="000A2075"/>
    <w:rsid w:val="000A6444"/>
    <w:rsid w:val="000A7423"/>
    <w:rsid w:val="000B4B7A"/>
    <w:rsid w:val="000B5292"/>
    <w:rsid w:val="000B6CC8"/>
    <w:rsid w:val="000C1FF5"/>
    <w:rsid w:val="000C60B0"/>
    <w:rsid w:val="000D13BB"/>
    <w:rsid w:val="000D2E6B"/>
    <w:rsid w:val="000D3A90"/>
    <w:rsid w:val="000D6704"/>
    <w:rsid w:val="000D747D"/>
    <w:rsid w:val="000E1C6C"/>
    <w:rsid w:val="000E1EBC"/>
    <w:rsid w:val="000F3690"/>
    <w:rsid w:val="000F60E4"/>
    <w:rsid w:val="00104CAC"/>
    <w:rsid w:val="0010545D"/>
    <w:rsid w:val="001108EC"/>
    <w:rsid w:val="00111E4D"/>
    <w:rsid w:val="0011324A"/>
    <w:rsid w:val="00124458"/>
    <w:rsid w:val="00137F0A"/>
    <w:rsid w:val="00140546"/>
    <w:rsid w:val="00144252"/>
    <w:rsid w:val="00145A20"/>
    <w:rsid w:val="00147EF9"/>
    <w:rsid w:val="001506E5"/>
    <w:rsid w:val="001522D1"/>
    <w:rsid w:val="00152381"/>
    <w:rsid w:val="00153D5B"/>
    <w:rsid w:val="0016024F"/>
    <w:rsid w:val="00162365"/>
    <w:rsid w:val="00173DEC"/>
    <w:rsid w:val="00176B1A"/>
    <w:rsid w:val="00181759"/>
    <w:rsid w:val="001907A7"/>
    <w:rsid w:val="00192D38"/>
    <w:rsid w:val="00195018"/>
    <w:rsid w:val="00196AC9"/>
    <w:rsid w:val="001A39F3"/>
    <w:rsid w:val="001A4C7E"/>
    <w:rsid w:val="001A7FFC"/>
    <w:rsid w:val="001C2159"/>
    <w:rsid w:val="001C26A2"/>
    <w:rsid w:val="001D1556"/>
    <w:rsid w:val="001D62AF"/>
    <w:rsid w:val="001E1428"/>
    <w:rsid w:val="001E338E"/>
    <w:rsid w:val="001F5564"/>
    <w:rsid w:val="001F7677"/>
    <w:rsid w:val="00201979"/>
    <w:rsid w:val="00202D4E"/>
    <w:rsid w:val="00210807"/>
    <w:rsid w:val="002217E3"/>
    <w:rsid w:val="00222D6B"/>
    <w:rsid w:val="00223455"/>
    <w:rsid w:val="00224ED3"/>
    <w:rsid w:val="002264F8"/>
    <w:rsid w:val="00232ED9"/>
    <w:rsid w:val="002432FB"/>
    <w:rsid w:val="00244C67"/>
    <w:rsid w:val="00246B29"/>
    <w:rsid w:val="002475CB"/>
    <w:rsid w:val="002624D8"/>
    <w:rsid w:val="00264A87"/>
    <w:rsid w:val="00264C25"/>
    <w:rsid w:val="00264DFE"/>
    <w:rsid w:val="00277777"/>
    <w:rsid w:val="002804B9"/>
    <w:rsid w:val="00282CBE"/>
    <w:rsid w:val="00282D1B"/>
    <w:rsid w:val="0028335E"/>
    <w:rsid w:val="00292DD8"/>
    <w:rsid w:val="00295670"/>
    <w:rsid w:val="002B4CFD"/>
    <w:rsid w:val="002C02C3"/>
    <w:rsid w:val="002C1C1E"/>
    <w:rsid w:val="002C7330"/>
    <w:rsid w:val="002C7357"/>
    <w:rsid w:val="002D11BC"/>
    <w:rsid w:val="002D3270"/>
    <w:rsid w:val="002D43A8"/>
    <w:rsid w:val="002D7D22"/>
    <w:rsid w:val="002E0A47"/>
    <w:rsid w:val="002E5C09"/>
    <w:rsid w:val="002F61D9"/>
    <w:rsid w:val="00306498"/>
    <w:rsid w:val="003067C7"/>
    <w:rsid w:val="00314EC2"/>
    <w:rsid w:val="0031569B"/>
    <w:rsid w:val="00323B91"/>
    <w:rsid w:val="003274CB"/>
    <w:rsid w:val="00327C8C"/>
    <w:rsid w:val="00337E23"/>
    <w:rsid w:val="003405AE"/>
    <w:rsid w:val="00340F00"/>
    <w:rsid w:val="0034231D"/>
    <w:rsid w:val="003425ED"/>
    <w:rsid w:val="003436CC"/>
    <w:rsid w:val="00345C69"/>
    <w:rsid w:val="00345F4F"/>
    <w:rsid w:val="0034680F"/>
    <w:rsid w:val="0035238D"/>
    <w:rsid w:val="003539A0"/>
    <w:rsid w:val="00361FA1"/>
    <w:rsid w:val="00362DAF"/>
    <w:rsid w:val="00366B7A"/>
    <w:rsid w:val="00371DCC"/>
    <w:rsid w:val="00372AC9"/>
    <w:rsid w:val="00372D54"/>
    <w:rsid w:val="003741E5"/>
    <w:rsid w:val="0037430F"/>
    <w:rsid w:val="00377B79"/>
    <w:rsid w:val="00392946"/>
    <w:rsid w:val="00392E7E"/>
    <w:rsid w:val="00393414"/>
    <w:rsid w:val="00397AD9"/>
    <w:rsid w:val="003A3CB6"/>
    <w:rsid w:val="003A52A1"/>
    <w:rsid w:val="003A614D"/>
    <w:rsid w:val="003B25ED"/>
    <w:rsid w:val="003B35A6"/>
    <w:rsid w:val="003B7CCB"/>
    <w:rsid w:val="003C58A2"/>
    <w:rsid w:val="003D15E2"/>
    <w:rsid w:val="003E44DA"/>
    <w:rsid w:val="003F0145"/>
    <w:rsid w:val="003F6060"/>
    <w:rsid w:val="003F6293"/>
    <w:rsid w:val="0040057D"/>
    <w:rsid w:val="004068EC"/>
    <w:rsid w:val="0042112D"/>
    <w:rsid w:val="00421C74"/>
    <w:rsid w:val="0042358B"/>
    <w:rsid w:val="00433D99"/>
    <w:rsid w:val="00436161"/>
    <w:rsid w:val="00436473"/>
    <w:rsid w:val="004367F0"/>
    <w:rsid w:val="0044675E"/>
    <w:rsid w:val="004469A9"/>
    <w:rsid w:val="004525DB"/>
    <w:rsid w:val="00452C07"/>
    <w:rsid w:val="00455598"/>
    <w:rsid w:val="0045775A"/>
    <w:rsid w:val="0046088E"/>
    <w:rsid w:val="00462E48"/>
    <w:rsid w:val="0046382D"/>
    <w:rsid w:val="0046545A"/>
    <w:rsid w:val="004677AC"/>
    <w:rsid w:val="004728EC"/>
    <w:rsid w:val="00475EE7"/>
    <w:rsid w:val="00480721"/>
    <w:rsid w:val="004856C5"/>
    <w:rsid w:val="00492871"/>
    <w:rsid w:val="004A2DCE"/>
    <w:rsid w:val="004A3218"/>
    <w:rsid w:val="004A3B9B"/>
    <w:rsid w:val="004B0E4B"/>
    <w:rsid w:val="004B5A66"/>
    <w:rsid w:val="004C4A0A"/>
    <w:rsid w:val="004C63A4"/>
    <w:rsid w:val="004D0185"/>
    <w:rsid w:val="004D74CE"/>
    <w:rsid w:val="004D78E8"/>
    <w:rsid w:val="004F31A6"/>
    <w:rsid w:val="004F3BB1"/>
    <w:rsid w:val="004F4894"/>
    <w:rsid w:val="00501218"/>
    <w:rsid w:val="00506CCB"/>
    <w:rsid w:val="00510C05"/>
    <w:rsid w:val="00513F14"/>
    <w:rsid w:val="00515C48"/>
    <w:rsid w:val="00515F4C"/>
    <w:rsid w:val="00516CB4"/>
    <w:rsid w:val="005233AD"/>
    <w:rsid w:val="00526642"/>
    <w:rsid w:val="00547233"/>
    <w:rsid w:val="00551BF4"/>
    <w:rsid w:val="005521FA"/>
    <w:rsid w:val="0055410C"/>
    <w:rsid w:val="00554CB4"/>
    <w:rsid w:val="00566058"/>
    <w:rsid w:val="00567250"/>
    <w:rsid w:val="00567FB0"/>
    <w:rsid w:val="005700F0"/>
    <w:rsid w:val="00573845"/>
    <w:rsid w:val="005741BD"/>
    <w:rsid w:val="00574650"/>
    <w:rsid w:val="00577911"/>
    <w:rsid w:val="005838AC"/>
    <w:rsid w:val="00584692"/>
    <w:rsid w:val="00596AF1"/>
    <w:rsid w:val="005A0AF5"/>
    <w:rsid w:val="005A0DF5"/>
    <w:rsid w:val="005B0320"/>
    <w:rsid w:val="005B6A5D"/>
    <w:rsid w:val="005B70D6"/>
    <w:rsid w:val="005C308D"/>
    <w:rsid w:val="005C4DAD"/>
    <w:rsid w:val="005D2D06"/>
    <w:rsid w:val="005D4B28"/>
    <w:rsid w:val="005D4F34"/>
    <w:rsid w:val="005D7896"/>
    <w:rsid w:val="005E0265"/>
    <w:rsid w:val="005E60F7"/>
    <w:rsid w:val="005F0877"/>
    <w:rsid w:val="005F0FC0"/>
    <w:rsid w:val="00604559"/>
    <w:rsid w:val="0061653D"/>
    <w:rsid w:val="00616B9C"/>
    <w:rsid w:val="00617386"/>
    <w:rsid w:val="00620112"/>
    <w:rsid w:val="006211D2"/>
    <w:rsid w:val="00622303"/>
    <w:rsid w:val="00623971"/>
    <w:rsid w:val="00632FC6"/>
    <w:rsid w:val="00635BE5"/>
    <w:rsid w:val="00636F92"/>
    <w:rsid w:val="006406E6"/>
    <w:rsid w:val="006441A6"/>
    <w:rsid w:val="00646664"/>
    <w:rsid w:val="00652E3F"/>
    <w:rsid w:val="0065741F"/>
    <w:rsid w:val="006601CB"/>
    <w:rsid w:val="0066080E"/>
    <w:rsid w:val="00663CD6"/>
    <w:rsid w:val="0066511E"/>
    <w:rsid w:val="00667DF2"/>
    <w:rsid w:val="00673EFE"/>
    <w:rsid w:val="00674C22"/>
    <w:rsid w:val="00680BEE"/>
    <w:rsid w:val="00683949"/>
    <w:rsid w:val="00685031"/>
    <w:rsid w:val="006937A9"/>
    <w:rsid w:val="006A1A32"/>
    <w:rsid w:val="006A410A"/>
    <w:rsid w:val="006A7A27"/>
    <w:rsid w:val="006B2C5D"/>
    <w:rsid w:val="006C6716"/>
    <w:rsid w:val="006C7477"/>
    <w:rsid w:val="006D2064"/>
    <w:rsid w:val="006D5E01"/>
    <w:rsid w:val="006D7CC0"/>
    <w:rsid w:val="006E2B11"/>
    <w:rsid w:val="006E48FE"/>
    <w:rsid w:val="006E7230"/>
    <w:rsid w:val="006F3D0A"/>
    <w:rsid w:val="006F5194"/>
    <w:rsid w:val="00702C6B"/>
    <w:rsid w:val="00704FB6"/>
    <w:rsid w:val="00706AE7"/>
    <w:rsid w:val="007130EB"/>
    <w:rsid w:val="00716BC2"/>
    <w:rsid w:val="00716D78"/>
    <w:rsid w:val="00721A1D"/>
    <w:rsid w:val="007233B7"/>
    <w:rsid w:val="007242F7"/>
    <w:rsid w:val="00725BFA"/>
    <w:rsid w:val="007331B0"/>
    <w:rsid w:val="00734178"/>
    <w:rsid w:val="0074322F"/>
    <w:rsid w:val="00743D87"/>
    <w:rsid w:val="007524E0"/>
    <w:rsid w:val="00752FFF"/>
    <w:rsid w:val="00754BCA"/>
    <w:rsid w:val="00756E7D"/>
    <w:rsid w:val="00761A67"/>
    <w:rsid w:val="00764880"/>
    <w:rsid w:val="00767F97"/>
    <w:rsid w:val="00771A36"/>
    <w:rsid w:val="00774C25"/>
    <w:rsid w:val="0077746A"/>
    <w:rsid w:val="007875AA"/>
    <w:rsid w:val="00795715"/>
    <w:rsid w:val="0079752D"/>
    <w:rsid w:val="007976C0"/>
    <w:rsid w:val="007A529B"/>
    <w:rsid w:val="007B0EA5"/>
    <w:rsid w:val="007C16C3"/>
    <w:rsid w:val="007C1C18"/>
    <w:rsid w:val="007C5971"/>
    <w:rsid w:val="007D1C43"/>
    <w:rsid w:val="007D3721"/>
    <w:rsid w:val="007D6EDA"/>
    <w:rsid w:val="007D7A7B"/>
    <w:rsid w:val="007D7E3D"/>
    <w:rsid w:val="007E7164"/>
    <w:rsid w:val="007E79F8"/>
    <w:rsid w:val="007E7BB7"/>
    <w:rsid w:val="007F08AB"/>
    <w:rsid w:val="007F2AE9"/>
    <w:rsid w:val="00802670"/>
    <w:rsid w:val="0080499F"/>
    <w:rsid w:val="00804F61"/>
    <w:rsid w:val="00813AA5"/>
    <w:rsid w:val="00816B9A"/>
    <w:rsid w:val="00825580"/>
    <w:rsid w:val="008325C7"/>
    <w:rsid w:val="00835A40"/>
    <w:rsid w:val="00835A73"/>
    <w:rsid w:val="00840DD4"/>
    <w:rsid w:val="00841990"/>
    <w:rsid w:val="008468AC"/>
    <w:rsid w:val="00847CCB"/>
    <w:rsid w:val="0085205D"/>
    <w:rsid w:val="00863304"/>
    <w:rsid w:val="0086446B"/>
    <w:rsid w:val="00864D64"/>
    <w:rsid w:val="00870516"/>
    <w:rsid w:val="008707A2"/>
    <w:rsid w:val="00884BB8"/>
    <w:rsid w:val="00886888"/>
    <w:rsid w:val="008906D6"/>
    <w:rsid w:val="00895C41"/>
    <w:rsid w:val="00897079"/>
    <w:rsid w:val="008A683C"/>
    <w:rsid w:val="008B32AD"/>
    <w:rsid w:val="008B455C"/>
    <w:rsid w:val="008B58E6"/>
    <w:rsid w:val="008C01EA"/>
    <w:rsid w:val="008C4402"/>
    <w:rsid w:val="008D0FD5"/>
    <w:rsid w:val="008D2207"/>
    <w:rsid w:val="008D4B50"/>
    <w:rsid w:val="008D5CFF"/>
    <w:rsid w:val="008E22CD"/>
    <w:rsid w:val="008E61EC"/>
    <w:rsid w:val="008F589C"/>
    <w:rsid w:val="008F5CAB"/>
    <w:rsid w:val="0090129F"/>
    <w:rsid w:val="00907D73"/>
    <w:rsid w:val="0091547C"/>
    <w:rsid w:val="009159C6"/>
    <w:rsid w:val="00915F20"/>
    <w:rsid w:val="00927197"/>
    <w:rsid w:val="00932903"/>
    <w:rsid w:val="00947C38"/>
    <w:rsid w:val="00964B14"/>
    <w:rsid w:val="00967EB0"/>
    <w:rsid w:val="00972D3A"/>
    <w:rsid w:val="00973721"/>
    <w:rsid w:val="00977800"/>
    <w:rsid w:val="00977EE2"/>
    <w:rsid w:val="00983D9A"/>
    <w:rsid w:val="0098700D"/>
    <w:rsid w:val="00992BF7"/>
    <w:rsid w:val="009955BA"/>
    <w:rsid w:val="009B3BA3"/>
    <w:rsid w:val="009B4A73"/>
    <w:rsid w:val="009C1853"/>
    <w:rsid w:val="009D200A"/>
    <w:rsid w:val="009D2515"/>
    <w:rsid w:val="009E3EA0"/>
    <w:rsid w:val="009E685F"/>
    <w:rsid w:val="009F0F94"/>
    <w:rsid w:val="009F7E26"/>
    <w:rsid w:val="00A0706A"/>
    <w:rsid w:val="00A15F02"/>
    <w:rsid w:val="00A17EA8"/>
    <w:rsid w:val="00A22FA5"/>
    <w:rsid w:val="00A250BD"/>
    <w:rsid w:val="00A307D0"/>
    <w:rsid w:val="00A3163C"/>
    <w:rsid w:val="00A34673"/>
    <w:rsid w:val="00A43A5D"/>
    <w:rsid w:val="00A500E4"/>
    <w:rsid w:val="00A54A01"/>
    <w:rsid w:val="00A559D9"/>
    <w:rsid w:val="00A5713D"/>
    <w:rsid w:val="00A578EC"/>
    <w:rsid w:val="00A65EBD"/>
    <w:rsid w:val="00A7239B"/>
    <w:rsid w:val="00A76323"/>
    <w:rsid w:val="00A83A18"/>
    <w:rsid w:val="00A840EB"/>
    <w:rsid w:val="00A85A47"/>
    <w:rsid w:val="00A92431"/>
    <w:rsid w:val="00AA1B2A"/>
    <w:rsid w:val="00AA29A2"/>
    <w:rsid w:val="00AA2ECB"/>
    <w:rsid w:val="00AA52A6"/>
    <w:rsid w:val="00AA5F68"/>
    <w:rsid w:val="00AA66E1"/>
    <w:rsid w:val="00AB2832"/>
    <w:rsid w:val="00AB537E"/>
    <w:rsid w:val="00AB68A2"/>
    <w:rsid w:val="00AC2FB1"/>
    <w:rsid w:val="00AC7050"/>
    <w:rsid w:val="00AC7301"/>
    <w:rsid w:val="00AD0A99"/>
    <w:rsid w:val="00AD60AA"/>
    <w:rsid w:val="00AE0A99"/>
    <w:rsid w:val="00AE15EB"/>
    <w:rsid w:val="00AE2809"/>
    <w:rsid w:val="00AE7F71"/>
    <w:rsid w:val="00AF0823"/>
    <w:rsid w:val="00AF4801"/>
    <w:rsid w:val="00AF59BC"/>
    <w:rsid w:val="00AF72D1"/>
    <w:rsid w:val="00B00D07"/>
    <w:rsid w:val="00B01B6C"/>
    <w:rsid w:val="00B0333E"/>
    <w:rsid w:val="00B0600C"/>
    <w:rsid w:val="00B076CE"/>
    <w:rsid w:val="00B160DD"/>
    <w:rsid w:val="00B2162F"/>
    <w:rsid w:val="00B21D9D"/>
    <w:rsid w:val="00B233DE"/>
    <w:rsid w:val="00B243DB"/>
    <w:rsid w:val="00B27113"/>
    <w:rsid w:val="00B3205B"/>
    <w:rsid w:val="00B32279"/>
    <w:rsid w:val="00B3510C"/>
    <w:rsid w:val="00B37285"/>
    <w:rsid w:val="00B42400"/>
    <w:rsid w:val="00B54A48"/>
    <w:rsid w:val="00B54E74"/>
    <w:rsid w:val="00B54F4E"/>
    <w:rsid w:val="00B56BA8"/>
    <w:rsid w:val="00B63F5C"/>
    <w:rsid w:val="00B67124"/>
    <w:rsid w:val="00B727FD"/>
    <w:rsid w:val="00B72980"/>
    <w:rsid w:val="00B72A85"/>
    <w:rsid w:val="00B758CD"/>
    <w:rsid w:val="00B81D6B"/>
    <w:rsid w:val="00B86E8D"/>
    <w:rsid w:val="00B92A78"/>
    <w:rsid w:val="00BA0A00"/>
    <w:rsid w:val="00BA76A6"/>
    <w:rsid w:val="00BB13F9"/>
    <w:rsid w:val="00BB1EE0"/>
    <w:rsid w:val="00BB26F0"/>
    <w:rsid w:val="00BB37CC"/>
    <w:rsid w:val="00BD7AE2"/>
    <w:rsid w:val="00BE3D22"/>
    <w:rsid w:val="00BE558B"/>
    <w:rsid w:val="00BF5F66"/>
    <w:rsid w:val="00BF7F4E"/>
    <w:rsid w:val="00C0303C"/>
    <w:rsid w:val="00C17A60"/>
    <w:rsid w:val="00C252E3"/>
    <w:rsid w:val="00C26504"/>
    <w:rsid w:val="00C30B69"/>
    <w:rsid w:val="00C407CC"/>
    <w:rsid w:val="00C501FD"/>
    <w:rsid w:val="00C513F2"/>
    <w:rsid w:val="00C55FD9"/>
    <w:rsid w:val="00C56C3C"/>
    <w:rsid w:val="00C6021E"/>
    <w:rsid w:val="00C65412"/>
    <w:rsid w:val="00C746FC"/>
    <w:rsid w:val="00C74935"/>
    <w:rsid w:val="00C76F93"/>
    <w:rsid w:val="00C80E57"/>
    <w:rsid w:val="00C81673"/>
    <w:rsid w:val="00C83603"/>
    <w:rsid w:val="00C8728F"/>
    <w:rsid w:val="00C913A0"/>
    <w:rsid w:val="00C916F9"/>
    <w:rsid w:val="00C91799"/>
    <w:rsid w:val="00C92D47"/>
    <w:rsid w:val="00C92D97"/>
    <w:rsid w:val="00C96E46"/>
    <w:rsid w:val="00CA101C"/>
    <w:rsid w:val="00CA32E3"/>
    <w:rsid w:val="00CB0243"/>
    <w:rsid w:val="00CB2377"/>
    <w:rsid w:val="00CB2F73"/>
    <w:rsid w:val="00CB36B4"/>
    <w:rsid w:val="00CB449B"/>
    <w:rsid w:val="00CB65F5"/>
    <w:rsid w:val="00CC1E1D"/>
    <w:rsid w:val="00CC2188"/>
    <w:rsid w:val="00CD2C6B"/>
    <w:rsid w:val="00CE0A7B"/>
    <w:rsid w:val="00CE1C3F"/>
    <w:rsid w:val="00CE25B5"/>
    <w:rsid w:val="00CE2F6D"/>
    <w:rsid w:val="00CE432C"/>
    <w:rsid w:val="00CE4BCA"/>
    <w:rsid w:val="00CE66D9"/>
    <w:rsid w:val="00CF5CCC"/>
    <w:rsid w:val="00D05298"/>
    <w:rsid w:val="00D075F6"/>
    <w:rsid w:val="00D21654"/>
    <w:rsid w:val="00D2488C"/>
    <w:rsid w:val="00D26D7F"/>
    <w:rsid w:val="00D32548"/>
    <w:rsid w:val="00D34985"/>
    <w:rsid w:val="00D3707A"/>
    <w:rsid w:val="00D45D48"/>
    <w:rsid w:val="00D50EFA"/>
    <w:rsid w:val="00D52CC3"/>
    <w:rsid w:val="00D61CF4"/>
    <w:rsid w:val="00D63E4B"/>
    <w:rsid w:val="00D645FB"/>
    <w:rsid w:val="00D67743"/>
    <w:rsid w:val="00D72AB2"/>
    <w:rsid w:val="00D84B8D"/>
    <w:rsid w:val="00D90E6F"/>
    <w:rsid w:val="00D91D72"/>
    <w:rsid w:val="00D91E71"/>
    <w:rsid w:val="00DA0091"/>
    <w:rsid w:val="00DA176D"/>
    <w:rsid w:val="00DA4CCD"/>
    <w:rsid w:val="00DA6493"/>
    <w:rsid w:val="00DC33A0"/>
    <w:rsid w:val="00DD0C09"/>
    <w:rsid w:val="00DD4864"/>
    <w:rsid w:val="00DE670B"/>
    <w:rsid w:val="00DF5B7E"/>
    <w:rsid w:val="00DF6411"/>
    <w:rsid w:val="00DF67BB"/>
    <w:rsid w:val="00E06263"/>
    <w:rsid w:val="00E12D62"/>
    <w:rsid w:val="00E2103E"/>
    <w:rsid w:val="00E21233"/>
    <w:rsid w:val="00E21902"/>
    <w:rsid w:val="00E22560"/>
    <w:rsid w:val="00E236B9"/>
    <w:rsid w:val="00E30483"/>
    <w:rsid w:val="00E31AB0"/>
    <w:rsid w:val="00E3694B"/>
    <w:rsid w:val="00E53D84"/>
    <w:rsid w:val="00E655F3"/>
    <w:rsid w:val="00E65902"/>
    <w:rsid w:val="00E671DD"/>
    <w:rsid w:val="00E70A1C"/>
    <w:rsid w:val="00E735E9"/>
    <w:rsid w:val="00E75352"/>
    <w:rsid w:val="00E76B2D"/>
    <w:rsid w:val="00E83EE2"/>
    <w:rsid w:val="00E92601"/>
    <w:rsid w:val="00EA6A51"/>
    <w:rsid w:val="00ED244F"/>
    <w:rsid w:val="00EE0C92"/>
    <w:rsid w:val="00EE1F2A"/>
    <w:rsid w:val="00EE2D9D"/>
    <w:rsid w:val="00EE39FF"/>
    <w:rsid w:val="00EF40F4"/>
    <w:rsid w:val="00EF5929"/>
    <w:rsid w:val="00EF7658"/>
    <w:rsid w:val="00F06936"/>
    <w:rsid w:val="00F12038"/>
    <w:rsid w:val="00F12DFF"/>
    <w:rsid w:val="00F131E3"/>
    <w:rsid w:val="00F1508E"/>
    <w:rsid w:val="00F2207B"/>
    <w:rsid w:val="00F2329A"/>
    <w:rsid w:val="00F470A8"/>
    <w:rsid w:val="00F62949"/>
    <w:rsid w:val="00F712B2"/>
    <w:rsid w:val="00F737F3"/>
    <w:rsid w:val="00F765DC"/>
    <w:rsid w:val="00F76600"/>
    <w:rsid w:val="00F82095"/>
    <w:rsid w:val="00F84751"/>
    <w:rsid w:val="00F85144"/>
    <w:rsid w:val="00F9421A"/>
    <w:rsid w:val="00F94585"/>
    <w:rsid w:val="00F96991"/>
    <w:rsid w:val="00FA093E"/>
    <w:rsid w:val="00FA2636"/>
    <w:rsid w:val="00FA7F85"/>
    <w:rsid w:val="00FB26C2"/>
    <w:rsid w:val="00FB2879"/>
    <w:rsid w:val="00FB398B"/>
    <w:rsid w:val="00FB4D7C"/>
    <w:rsid w:val="00FC3325"/>
    <w:rsid w:val="00FC469A"/>
    <w:rsid w:val="00FC51DA"/>
    <w:rsid w:val="00FD352E"/>
    <w:rsid w:val="00FE2900"/>
    <w:rsid w:val="00FE37B5"/>
    <w:rsid w:val="00FF3FB0"/>
    <w:rsid w:val="00FF45CC"/>
    <w:rsid w:val="00FF643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6A35EE5"/>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7A27"/>
    <w:pPr>
      <w:spacing w:line="360" w:lineRule="auto"/>
    </w:pPr>
    <w:rPr>
      <w:lang w:val="en-GB"/>
    </w:rPr>
  </w:style>
  <w:style w:type="paragraph" w:styleId="Heading1">
    <w:name w:val="heading 1"/>
    <w:basedOn w:val="Normal"/>
    <w:next w:val="Normal"/>
    <w:link w:val="Heading1Char"/>
    <w:uiPriority w:val="9"/>
    <w:qFormat/>
    <w:rsid w:val="00D90E6F"/>
    <w:pPr>
      <w:keepNext/>
      <w:keepLines/>
      <w:numPr>
        <w:numId w:val="1"/>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Heading2">
    <w:name w:val="heading 2"/>
    <w:basedOn w:val="Normal"/>
    <w:next w:val="Normal"/>
    <w:link w:val="Heading2Char"/>
    <w:uiPriority w:val="9"/>
    <w:unhideWhenUsed/>
    <w:qFormat/>
    <w:rsid w:val="00D90E6F"/>
    <w:pPr>
      <w:keepNext/>
      <w:keepLines/>
      <w:numPr>
        <w:ilvl w:val="1"/>
        <w:numId w:val="1"/>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
    <w:uiPriority w:val="9"/>
    <w:unhideWhenUsed/>
    <w:qFormat/>
    <w:rsid w:val="00D90E6F"/>
    <w:pPr>
      <w:keepNext/>
      <w:keepLines/>
      <w:numPr>
        <w:ilvl w:val="2"/>
        <w:numId w:val="1"/>
      </w:numPr>
      <w:spacing w:before="200" w:after="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unhideWhenUsed/>
    <w:qFormat/>
    <w:rsid w:val="00D90E6F"/>
    <w:pPr>
      <w:keepNext/>
      <w:keepLines/>
      <w:numPr>
        <w:ilvl w:val="3"/>
        <w:numId w:val="1"/>
      </w:numPr>
      <w:spacing w:before="200" w:after="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iPriority w:val="9"/>
    <w:unhideWhenUsed/>
    <w:qFormat/>
    <w:rsid w:val="00D90E6F"/>
    <w:pPr>
      <w:keepNext/>
      <w:keepLines/>
      <w:numPr>
        <w:ilvl w:val="4"/>
        <w:numId w:val="1"/>
      </w:numPr>
      <w:spacing w:before="200" w:after="0"/>
      <w:outlineLvl w:val="4"/>
    </w:pPr>
    <w:rPr>
      <w:rFonts w:asciiTheme="majorHAnsi" w:eastAsiaTheme="majorEastAsia" w:hAnsiTheme="majorHAnsi" w:cstheme="majorBidi"/>
      <w:color w:val="323E4F" w:themeColor="text2" w:themeShade="BF"/>
    </w:rPr>
  </w:style>
  <w:style w:type="paragraph" w:styleId="Heading6">
    <w:name w:val="heading 6"/>
    <w:basedOn w:val="Normal"/>
    <w:next w:val="Normal"/>
    <w:link w:val="Heading6Char"/>
    <w:uiPriority w:val="9"/>
    <w:unhideWhenUsed/>
    <w:qFormat/>
    <w:rsid w:val="00D90E6F"/>
    <w:pPr>
      <w:keepNext/>
      <w:keepLines/>
      <w:numPr>
        <w:ilvl w:val="5"/>
        <w:numId w:val="1"/>
      </w:numPr>
      <w:spacing w:before="200" w:after="0"/>
      <w:outlineLvl w:val="5"/>
    </w:pPr>
    <w:rPr>
      <w:rFonts w:asciiTheme="majorHAnsi" w:eastAsiaTheme="majorEastAsia" w:hAnsiTheme="majorHAnsi" w:cstheme="majorBidi"/>
      <w:i/>
      <w:iCs/>
      <w:color w:val="323E4F" w:themeColor="text2" w:themeShade="BF"/>
    </w:rPr>
  </w:style>
  <w:style w:type="paragraph" w:styleId="Heading7">
    <w:name w:val="heading 7"/>
    <w:basedOn w:val="Normal"/>
    <w:next w:val="Normal"/>
    <w:link w:val="Heading7Char"/>
    <w:uiPriority w:val="9"/>
    <w:semiHidden/>
    <w:unhideWhenUsed/>
    <w:qFormat/>
    <w:rsid w:val="00D90E6F"/>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90E6F"/>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90E6F"/>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0E6F"/>
    <w:rPr>
      <w:rFonts w:asciiTheme="majorHAnsi" w:eastAsiaTheme="majorEastAsia" w:hAnsiTheme="majorHAnsi" w:cstheme="majorBidi"/>
      <w:b/>
      <w:bCs/>
      <w:smallCaps/>
      <w:color w:val="000000" w:themeColor="text1"/>
      <w:sz w:val="36"/>
      <w:szCs w:val="36"/>
      <w:lang w:val="en-GB"/>
    </w:rPr>
  </w:style>
  <w:style w:type="character" w:customStyle="1" w:styleId="Heading2Char">
    <w:name w:val="Heading 2 Char"/>
    <w:basedOn w:val="DefaultParagraphFont"/>
    <w:link w:val="Heading2"/>
    <w:uiPriority w:val="9"/>
    <w:rsid w:val="00D90E6F"/>
    <w:rPr>
      <w:rFonts w:asciiTheme="majorHAnsi" w:eastAsiaTheme="majorEastAsia" w:hAnsiTheme="majorHAnsi" w:cstheme="majorBidi"/>
      <w:b/>
      <w:bCs/>
      <w:smallCaps/>
      <w:color w:val="000000" w:themeColor="text1"/>
      <w:sz w:val="28"/>
      <w:szCs w:val="28"/>
      <w:lang w:val="en-GB"/>
    </w:rPr>
  </w:style>
  <w:style w:type="character" w:customStyle="1" w:styleId="Heading3Char">
    <w:name w:val="Heading 3 Char"/>
    <w:basedOn w:val="DefaultParagraphFont"/>
    <w:link w:val="Heading3"/>
    <w:uiPriority w:val="9"/>
    <w:rsid w:val="00D90E6F"/>
    <w:rPr>
      <w:rFonts w:asciiTheme="majorHAnsi" w:eastAsiaTheme="majorEastAsia" w:hAnsiTheme="majorHAnsi" w:cstheme="majorBidi"/>
      <w:b/>
      <w:bCs/>
      <w:color w:val="000000" w:themeColor="text1"/>
      <w:lang w:val="en-GB"/>
    </w:rPr>
  </w:style>
  <w:style w:type="character" w:customStyle="1" w:styleId="Heading4Char">
    <w:name w:val="Heading 4 Char"/>
    <w:basedOn w:val="DefaultParagraphFont"/>
    <w:link w:val="Heading4"/>
    <w:uiPriority w:val="9"/>
    <w:rsid w:val="00D90E6F"/>
    <w:rPr>
      <w:rFonts w:asciiTheme="majorHAnsi" w:eastAsiaTheme="majorEastAsia" w:hAnsiTheme="majorHAnsi" w:cstheme="majorBidi"/>
      <w:b/>
      <w:bCs/>
      <w:i/>
      <w:iCs/>
      <w:color w:val="000000" w:themeColor="text1"/>
      <w:lang w:val="en-GB"/>
    </w:rPr>
  </w:style>
  <w:style w:type="character" w:customStyle="1" w:styleId="Heading5Char">
    <w:name w:val="Heading 5 Char"/>
    <w:basedOn w:val="DefaultParagraphFont"/>
    <w:link w:val="Heading5"/>
    <w:uiPriority w:val="9"/>
    <w:rsid w:val="00D90E6F"/>
    <w:rPr>
      <w:rFonts w:asciiTheme="majorHAnsi" w:eastAsiaTheme="majorEastAsia" w:hAnsiTheme="majorHAnsi" w:cstheme="majorBidi"/>
      <w:color w:val="323E4F" w:themeColor="text2" w:themeShade="BF"/>
      <w:lang w:val="en-GB"/>
    </w:rPr>
  </w:style>
  <w:style w:type="character" w:customStyle="1" w:styleId="Heading6Char">
    <w:name w:val="Heading 6 Char"/>
    <w:basedOn w:val="DefaultParagraphFont"/>
    <w:link w:val="Heading6"/>
    <w:uiPriority w:val="9"/>
    <w:rsid w:val="00D90E6F"/>
    <w:rPr>
      <w:rFonts w:asciiTheme="majorHAnsi" w:eastAsiaTheme="majorEastAsia" w:hAnsiTheme="majorHAnsi" w:cstheme="majorBidi"/>
      <w:i/>
      <w:iCs/>
      <w:color w:val="323E4F" w:themeColor="text2" w:themeShade="BF"/>
      <w:lang w:val="en-GB"/>
    </w:rPr>
  </w:style>
  <w:style w:type="character" w:customStyle="1" w:styleId="Heading7Char">
    <w:name w:val="Heading 7 Char"/>
    <w:basedOn w:val="DefaultParagraphFont"/>
    <w:link w:val="Heading7"/>
    <w:uiPriority w:val="9"/>
    <w:semiHidden/>
    <w:rsid w:val="00D90E6F"/>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semiHidden/>
    <w:rsid w:val="00D90E6F"/>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D90E6F"/>
    <w:rPr>
      <w:rFonts w:asciiTheme="majorHAnsi" w:eastAsiaTheme="majorEastAsia" w:hAnsiTheme="majorHAnsi" w:cstheme="majorBidi"/>
      <w:i/>
      <w:iCs/>
      <w:color w:val="404040" w:themeColor="text1" w:themeTint="BF"/>
      <w:sz w:val="20"/>
      <w:szCs w:val="20"/>
      <w:lang w:val="en-GB"/>
    </w:rPr>
  </w:style>
  <w:style w:type="paragraph" w:styleId="ListParagraph">
    <w:name w:val="List Paragraph"/>
    <w:basedOn w:val="Normal"/>
    <w:uiPriority w:val="34"/>
    <w:qFormat/>
    <w:rsid w:val="0061653D"/>
    <w:pPr>
      <w:ind w:left="720"/>
      <w:contextualSpacing/>
    </w:pPr>
  </w:style>
  <w:style w:type="table" w:customStyle="1" w:styleId="GridTable6Colorful-Accent11">
    <w:name w:val="Grid Table 6 Colorful - Accent 11"/>
    <w:basedOn w:val="TableNormal"/>
    <w:uiPriority w:val="51"/>
    <w:rsid w:val="0061653D"/>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CommentReference">
    <w:name w:val="annotation reference"/>
    <w:basedOn w:val="DefaultParagraphFont"/>
    <w:uiPriority w:val="99"/>
    <w:semiHidden/>
    <w:unhideWhenUsed/>
    <w:rsid w:val="0061653D"/>
    <w:rPr>
      <w:sz w:val="16"/>
      <w:szCs w:val="16"/>
    </w:rPr>
  </w:style>
  <w:style w:type="paragraph" w:styleId="CommentText">
    <w:name w:val="annotation text"/>
    <w:basedOn w:val="Normal"/>
    <w:link w:val="CommentTextChar"/>
    <w:uiPriority w:val="99"/>
    <w:unhideWhenUsed/>
    <w:rsid w:val="0061653D"/>
    <w:rPr>
      <w:sz w:val="20"/>
      <w:szCs w:val="20"/>
    </w:rPr>
  </w:style>
  <w:style w:type="character" w:customStyle="1" w:styleId="CommentTextChar">
    <w:name w:val="Comment Text Char"/>
    <w:basedOn w:val="DefaultParagraphFont"/>
    <w:link w:val="CommentText"/>
    <w:uiPriority w:val="99"/>
    <w:rsid w:val="0061653D"/>
    <w:rPr>
      <w:rFonts w:eastAsiaTheme="minorEastAsia"/>
      <w:sz w:val="20"/>
      <w:szCs w:val="20"/>
      <w:lang w:val="en-GB"/>
    </w:rPr>
  </w:style>
  <w:style w:type="paragraph" w:styleId="BalloonText">
    <w:name w:val="Balloon Text"/>
    <w:basedOn w:val="Normal"/>
    <w:link w:val="BalloonTextChar"/>
    <w:uiPriority w:val="99"/>
    <w:semiHidden/>
    <w:unhideWhenUsed/>
    <w:rsid w:val="0061653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1653D"/>
    <w:rPr>
      <w:rFonts w:ascii="Segoe UI" w:eastAsiaTheme="minorEastAsia" w:hAnsi="Segoe UI" w:cs="Segoe UI"/>
      <w:sz w:val="18"/>
      <w:szCs w:val="18"/>
      <w:lang w:val="en-GB"/>
    </w:rPr>
  </w:style>
  <w:style w:type="paragraph" w:styleId="CommentSubject">
    <w:name w:val="annotation subject"/>
    <w:basedOn w:val="CommentText"/>
    <w:next w:val="CommentText"/>
    <w:link w:val="CommentSubjectChar"/>
    <w:uiPriority w:val="99"/>
    <w:semiHidden/>
    <w:unhideWhenUsed/>
    <w:rsid w:val="0061653D"/>
    <w:rPr>
      <w:rFonts w:ascii="Arial" w:hAnsi="Arial"/>
      <w:b/>
      <w:bCs/>
    </w:rPr>
  </w:style>
  <w:style w:type="character" w:customStyle="1" w:styleId="CommentSubjectChar">
    <w:name w:val="Comment Subject Char"/>
    <w:basedOn w:val="CommentTextChar"/>
    <w:link w:val="CommentSubject"/>
    <w:uiPriority w:val="99"/>
    <w:semiHidden/>
    <w:rsid w:val="0061653D"/>
    <w:rPr>
      <w:rFonts w:ascii="Arial" w:eastAsiaTheme="minorEastAsia" w:hAnsi="Arial"/>
      <w:b/>
      <w:bCs/>
      <w:sz w:val="20"/>
      <w:szCs w:val="20"/>
      <w:lang w:val="en-GB"/>
    </w:rPr>
  </w:style>
  <w:style w:type="paragraph" w:styleId="Revision">
    <w:name w:val="Revision"/>
    <w:hidden/>
    <w:uiPriority w:val="99"/>
    <w:semiHidden/>
    <w:rsid w:val="0061653D"/>
    <w:rPr>
      <w:rFonts w:ascii="Arial" w:hAnsi="Arial"/>
      <w:lang w:val="en-GB"/>
    </w:rPr>
  </w:style>
  <w:style w:type="paragraph" w:styleId="NormalWeb">
    <w:name w:val="Normal (Web)"/>
    <w:basedOn w:val="Normal"/>
    <w:uiPriority w:val="99"/>
    <w:unhideWhenUsed/>
    <w:rsid w:val="0061653D"/>
    <w:pPr>
      <w:spacing w:before="100" w:beforeAutospacing="1" w:after="100" w:afterAutospacing="1"/>
    </w:pPr>
    <w:rPr>
      <w:rFonts w:ascii="Times New Roman" w:eastAsia="Times New Roman" w:hAnsi="Times New Roman" w:cs="Times New Roman"/>
      <w:lang w:eastAsia="en-GB"/>
    </w:rPr>
  </w:style>
  <w:style w:type="character" w:styleId="Strong">
    <w:name w:val="Strong"/>
    <w:basedOn w:val="DefaultParagraphFont"/>
    <w:uiPriority w:val="22"/>
    <w:qFormat/>
    <w:rsid w:val="00D90E6F"/>
    <w:rPr>
      <w:b/>
      <w:bCs/>
      <w:color w:val="000000" w:themeColor="text1"/>
    </w:rPr>
  </w:style>
  <w:style w:type="character" w:customStyle="1" w:styleId="apple-converted-space">
    <w:name w:val="apple-converted-space"/>
    <w:basedOn w:val="DefaultParagraphFont"/>
    <w:rsid w:val="0061653D"/>
  </w:style>
  <w:style w:type="paragraph" w:styleId="Caption">
    <w:name w:val="caption"/>
    <w:basedOn w:val="Normal"/>
    <w:next w:val="Normal"/>
    <w:uiPriority w:val="35"/>
    <w:unhideWhenUsed/>
    <w:qFormat/>
    <w:rsid w:val="00D90E6F"/>
    <w:pPr>
      <w:spacing w:after="200" w:line="240" w:lineRule="auto"/>
    </w:pPr>
    <w:rPr>
      <w:i/>
      <w:iCs/>
      <w:color w:val="44546A" w:themeColor="text2"/>
      <w:sz w:val="18"/>
      <w:szCs w:val="18"/>
    </w:rPr>
  </w:style>
  <w:style w:type="character" w:styleId="Hyperlink">
    <w:name w:val="Hyperlink"/>
    <w:basedOn w:val="DefaultParagraphFont"/>
    <w:uiPriority w:val="99"/>
    <w:unhideWhenUsed/>
    <w:rsid w:val="0061653D"/>
    <w:rPr>
      <w:color w:val="0000FF"/>
      <w:u w:val="single"/>
    </w:rPr>
  </w:style>
  <w:style w:type="paragraph" w:styleId="Title">
    <w:name w:val="Title"/>
    <w:basedOn w:val="Normal"/>
    <w:next w:val="Normal"/>
    <w:link w:val="TitleChar"/>
    <w:uiPriority w:val="10"/>
    <w:qFormat/>
    <w:rsid w:val="00D90E6F"/>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sid w:val="00D90E6F"/>
    <w:rPr>
      <w:rFonts w:asciiTheme="majorHAnsi" w:eastAsiaTheme="majorEastAsia" w:hAnsiTheme="majorHAnsi" w:cstheme="majorBidi"/>
      <w:color w:val="000000" w:themeColor="text1"/>
      <w:sz w:val="56"/>
      <w:szCs w:val="56"/>
    </w:rPr>
  </w:style>
  <w:style w:type="paragraph" w:styleId="Subtitle">
    <w:name w:val="Subtitle"/>
    <w:basedOn w:val="Normal"/>
    <w:next w:val="Normal"/>
    <w:link w:val="SubtitleChar"/>
    <w:uiPriority w:val="11"/>
    <w:qFormat/>
    <w:rsid w:val="00D90E6F"/>
    <w:pPr>
      <w:numPr>
        <w:ilvl w:val="1"/>
      </w:numPr>
    </w:pPr>
    <w:rPr>
      <w:color w:val="5A5A5A" w:themeColor="text1" w:themeTint="A5"/>
      <w:spacing w:val="10"/>
    </w:rPr>
  </w:style>
  <w:style w:type="character" w:customStyle="1" w:styleId="SubtitleChar">
    <w:name w:val="Subtitle Char"/>
    <w:basedOn w:val="DefaultParagraphFont"/>
    <w:link w:val="Subtitle"/>
    <w:uiPriority w:val="11"/>
    <w:rsid w:val="00D90E6F"/>
    <w:rPr>
      <w:color w:val="5A5A5A" w:themeColor="text1" w:themeTint="A5"/>
      <w:spacing w:val="10"/>
    </w:rPr>
  </w:style>
  <w:style w:type="character" w:styleId="Emphasis">
    <w:name w:val="Emphasis"/>
    <w:basedOn w:val="DefaultParagraphFont"/>
    <w:uiPriority w:val="20"/>
    <w:qFormat/>
    <w:rsid w:val="00D90E6F"/>
    <w:rPr>
      <w:i/>
      <w:iCs/>
      <w:color w:val="auto"/>
    </w:rPr>
  </w:style>
  <w:style w:type="paragraph" w:styleId="NoSpacing">
    <w:name w:val="No Spacing"/>
    <w:uiPriority w:val="1"/>
    <w:qFormat/>
    <w:rsid w:val="00D90E6F"/>
    <w:pPr>
      <w:spacing w:after="0" w:line="240" w:lineRule="auto"/>
    </w:pPr>
  </w:style>
  <w:style w:type="paragraph" w:styleId="Quote">
    <w:name w:val="Quote"/>
    <w:basedOn w:val="Normal"/>
    <w:next w:val="Normal"/>
    <w:link w:val="QuoteChar"/>
    <w:uiPriority w:val="29"/>
    <w:qFormat/>
    <w:rsid w:val="00D90E6F"/>
    <w:pPr>
      <w:spacing w:before="160"/>
      <w:ind w:left="720" w:right="720"/>
    </w:pPr>
    <w:rPr>
      <w:i/>
      <w:iCs/>
      <w:color w:val="000000" w:themeColor="text1"/>
    </w:rPr>
  </w:style>
  <w:style w:type="character" w:customStyle="1" w:styleId="QuoteChar">
    <w:name w:val="Quote Char"/>
    <w:basedOn w:val="DefaultParagraphFont"/>
    <w:link w:val="Quote"/>
    <w:uiPriority w:val="29"/>
    <w:rsid w:val="00D90E6F"/>
    <w:rPr>
      <w:i/>
      <w:iCs/>
      <w:color w:val="000000" w:themeColor="text1"/>
    </w:rPr>
  </w:style>
  <w:style w:type="paragraph" w:styleId="IntenseQuote">
    <w:name w:val="Intense Quote"/>
    <w:basedOn w:val="Normal"/>
    <w:next w:val="Normal"/>
    <w:link w:val="IntenseQuoteChar"/>
    <w:uiPriority w:val="30"/>
    <w:qFormat/>
    <w:rsid w:val="00D90E6F"/>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D90E6F"/>
    <w:rPr>
      <w:color w:val="000000" w:themeColor="text1"/>
      <w:shd w:val="clear" w:color="auto" w:fill="F2F2F2" w:themeFill="background1" w:themeFillShade="F2"/>
    </w:rPr>
  </w:style>
  <w:style w:type="character" w:styleId="SubtleEmphasis">
    <w:name w:val="Subtle Emphasis"/>
    <w:basedOn w:val="DefaultParagraphFont"/>
    <w:uiPriority w:val="19"/>
    <w:qFormat/>
    <w:rsid w:val="00D90E6F"/>
    <w:rPr>
      <w:i/>
      <w:iCs/>
      <w:color w:val="404040" w:themeColor="text1" w:themeTint="BF"/>
    </w:rPr>
  </w:style>
  <w:style w:type="character" w:styleId="IntenseEmphasis">
    <w:name w:val="Intense Emphasis"/>
    <w:basedOn w:val="DefaultParagraphFont"/>
    <w:uiPriority w:val="21"/>
    <w:qFormat/>
    <w:rsid w:val="00D90E6F"/>
    <w:rPr>
      <w:b/>
      <w:bCs/>
      <w:i/>
      <w:iCs/>
      <w:caps/>
    </w:rPr>
  </w:style>
  <w:style w:type="character" w:styleId="SubtleReference">
    <w:name w:val="Subtle Reference"/>
    <w:basedOn w:val="DefaultParagraphFont"/>
    <w:uiPriority w:val="31"/>
    <w:qFormat/>
    <w:rsid w:val="00D90E6F"/>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D90E6F"/>
    <w:rPr>
      <w:b/>
      <w:bCs/>
      <w:smallCaps/>
      <w:u w:val="single"/>
    </w:rPr>
  </w:style>
  <w:style w:type="character" w:styleId="BookTitle">
    <w:name w:val="Book Title"/>
    <w:basedOn w:val="DefaultParagraphFont"/>
    <w:uiPriority w:val="33"/>
    <w:qFormat/>
    <w:rsid w:val="00D90E6F"/>
    <w:rPr>
      <w:b w:val="0"/>
      <w:bCs w:val="0"/>
      <w:smallCaps/>
      <w:spacing w:val="5"/>
    </w:rPr>
  </w:style>
  <w:style w:type="paragraph" w:styleId="TOCHeading">
    <w:name w:val="TOC Heading"/>
    <w:basedOn w:val="Heading1"/>
    <w:next w:val="Normal"/>
    <w:uiPriority w:val="39"/>
    <w:unhideWhenUsed/>
    <w:qFormat/>
    <w:rsid w:val="00D90E6F"/>
    <w:pPr>
      <w:numPr>
        <w:numId w:val="3"/>
      </w:numPr>
      <w:outlineLvl w:val="9"/>
    </w:pPr>
  </w:style>
  <w:style w:type="character" w:customStyle="1" w:styleId="UnresolvedMention1">
    <w:name w:val="Unresolved Mention1"/>
    <w:basedOn w:val="DefaultParagraphFont"/>
    <w:uiPriority w:val="99"/>
    <w:semiHidden/>
    <w:unhideWhenUsed/>
    <w:rsid w:val="0061653D"/>
    <w:rPr>
      <w:color w:val="605E5C"/>
      <w:shd w:val="clear" w:color="auto" w:fill="E1DFDD"/>
    </w:rPr>
  </w:style>
  <w:style w:type="character" w:customStyle="1" w:styleId="FootnoteTextChar">
    <w:name w:val="Footnote Text Char"/>
    <w:basedOn w:val="DefaultParagraphFont"/>
    <w:uiPriority w:val="99"/>
    <w:semiHidden/>
    <w:rsid w:val="00E30483"/>
    <w:rPr>
      <w:rFonts w:ascii="Times New Roman" w:hAnsi="Times New Roman"/>
      <w:szCs w:val="20"/>
    </w:rPr>
  </w:style>
  <w:style w:type="character" w:styleId="FootnoteReference">
    <w:name w:val="footnote reference"/>
    <w:basedOn w:val="DefaultParagraphFont"/>
    <w:uiPriority w:val="99"/>
    <w:semiHidden/>
    <w:unhideWhenUsed/>
    <w:rsid w:val="00E30483"/>
    <w:rPr>
      <w:vertAlign w:val="superscript"/>
    </w:rPr>
  </w:style>
  <w:style w:type="character" w:customStyle="1" w:styleId="FootnoteCharacters">
    <w:name w:val="Footnote Characters"/>
    <w:rsid w:val="00E30483"/>
  </w:style>
  <w:style w:type="character" w:customStyle="1" w:styleId="FootnoteAnchor">
    <w:name w:val="Footnote Anchor"/>
    <w:rsid w:val="00E30483"/>
    <w:rPr>
      <w:vertAlign w:val="superscript"/>
    </w:rPr>
  </w:style>
  <w:style w:type="character" w:customStyle="1" w:styleId="EndnoteAnchor">
    <w:name w:val="Endnote Anchor"/>
    <w:rsid w:val="00E30483"/>
    <w:rPr>
      <w:vertAlign w:val="superscript"/>
    </w:rPr>
  </w:style>
  <w:style w:type="character" w:customStyle="1" w:styleId="EndnoteCharacters">
    <w:name w:val="Endnote Characters"/>
    <w:rsid w:val="00E30483"/>
  </w:style>
  <w:style w:type="character" w:customStyle="1" w:styleId="HeaderChar">
    <w:name w:val="Header Char"/>
    <w:basedOn w:val="DefaultParagraphFont"/>
    <w:link w:val="Header"/>
    <w:uiPriority w:val="99"/>
    <w:qFormat/>
    <w:rsid w:val="00E30483"/>
    <w:rPr>
      <w:rFonts w:ascii="Calibri" w:eastAsia="Calibri" w:hAnsi="Calibri"/>
      <w:color w:val="00000A"/>
    </w:rPr>
  </w:style>
  <w:style w:type="paragraph" w:styleId="Header">
    <w:name w:val="header"/>
    <w:basedOn w:val="Normal"/>
    <w:link w:val="HeaderChar"/>
    <w:uiPriority w:val="99"/>
    <w:unhideWhenUsed/>
    <w:rsid w:val="00E30483"/>
    <w:pPr>
      <w:tabs>
        <w:tab w:val="center" w:pos="4680"/>
        <w:tab w:val="right" w:pos="9360"/>
      </w:tabs>
      <w:spacing w:after="0" w:line="240" w:lineRule="auto"/>
    </w:pPr>
    <w:rPr>
      <w:rFonts w:ascii="Calibri" w:eastAsia="Calibri" w:hAnsi="Calibri"/>
      <w:color w:val="00000A"/>
      <w:lang w:val="en-US"/>
    </w:rPr>
  </w:style>
  <w:style w:type="character" w:customStyle="1" w:styleId="FooterChar">
    <w:name w:val="Footer Char"/>
    <w:basedOn w:val="DefaultParagraphFont"/>
    <w:link w:val="Footer"/>
    <w:uiPriority w:val="99"/>
    <w:qFormat/>
    <w:rsid w:val="00E30483"/>
    <w:rPr>
      <w:rFonts w:ascii="Calibri" w:eastAsia="Calibri" w:hAnsi="Calibri"/>
      <w:color w:val="00000A"/>
    </w:rPr>
  </w:style>
  <w:style w:type="paragraph" w:styleId="Footer">
    <w:name w:val="footer"/>
    <w:basedOn w:val="Normal"/>
    <w:link w:val="FooterChar"/>
    <w:uiPriority w:val="99"/>
    <w:unhideWhenUsed/>
    <w:rsid w:val="00E30483"/>
    <w:pPr>
      <w:tabs>
        <w:tab w:val="center" w:pos="4680"/>
        <w:tab w:val="right" w:pos="9360"/>
      </w:tabs>
      <w:spacing w:after="0" w:line="240" w:lineRule="auto"/>
    </w:pPr>
    <w:rPr>
      <w:rFonts w:ascii="Calibri" w:eastAsia="Calibri" w:hAnsi="Calibri"/>
      <w:color w:val="00000A"/>
      <w:lang w:val="en-US"/>
    </w:rPr>
  </w:style>
  <w:style w:type="character" w:customStyle="1" w:styleId="ListLabel1">
    <w:name w:val="ListLabel 1"/>
    <w:rsid w:val="00E30483"/>
    <w:rPr>
      <w:rFonts w:cs="Courier New"/>
    </w:rPr>
  </w:style>
  <w:style w:type="character" w:customStyle="1" w:styleId="ListLabel2">
    <w:name w:val="ListLabel 2"/>
    <w:rsid w:val="00E30483"/>
    <w:rPr>
      <w:rFonts w:cs="Courier New"/>
    </w:rPr>
  </w:style>
  <w:style w:type="character" w:customStyle="1" w:styleId="ListLabel3">
    <w:name w:val="ListLabel 3"/>
    <w:rsid w:val="00E30483"/>
    <w:rPr>
      <w:rFonts w:cs="Courier New"/>
    </w:rPr>
  </w:style>
  <w:style w:type="character" w:customStyle="1" w:styleId="InternetLink">
    <w:name w:val="Internet Link"/>
    <w:rsid w:val="00E30483"/>
    <w:rPr>
      <w:color w:val="000080"/>
      <w:u w:val="single"/>
    </w:rPr>
  </w:style>
  <w:style w:type="character" w:customStyle="1" w:styleId="ListLabel4">
    <w:name w:val="ListLabel 4"/>
    <w:rsid w:val="00E30483"/>
    <w:rPr>
      <w:rFonts w:cs="Symbol"/>
    </w:rPr>
  </w:style>
  <w:style w:type="character" w:customStyle="1" w:styleId="ListLabel5">
    <w:name w:val="ListLabel 5"/>
    <w:rsid w:val="00E30483"/>
    <w:rPr>
      <w:rFonts w:cs="Courier New"/>
    </w:rPr>
  </w:style>
  <w:style w:type="character" w:customStyle="1" w:styleId="ListLabel6">
    <w:name w:val="ListLabel 6"/>
    <w:rsid w:val="00E30483"/>
    <w:rPr>
      <w:rFonts w:cs="Wingdings"/>
    </w:rPr>
  </w:style>
  <w:style w:type="character" w:customStyle="1" w:styleId="ListLabel7">
    <w:name w:val="ListLabel 7"/>
    <w:rsid w:val="00E30483"/>
    <w:rPr>
      <w:rFonts w:cs="Symbol"/>
    </w:rPr>
  </w:style>
  <w:style w:type="character" w:customStyle="1" w:styleId="ListLabel8">
    <w:name w:val="ListLabel 8"/>
    <w:rsid w:val="00E30483"/>
    <w:rPr>
      <w:rFonts w:cs="Courier New"/>
    </w:rPr>
  </w:style>
  <w:style w:type="character" w:customStyle="1" w:styleId="ListLabel9">
    <w:name w:val="ListLabel 9"/>
    <w:rsid w:val="00E30483"/>
    <w:rPr>
      <w:rFonts w:cs="Wingdings"/>
    </w:rPr>
  </w:style>
  <w:style w:type="character" w:customStyle="1" w:styleId="ListLabel10">
    <w:name w:val="ListLabel 10"/>
    <w:rsid w:val="00E30483"/>
    <w:rPr>
      <w:rFonts w:cs="Symbol"/>
    </w:rPr>
  </w:style>
  <w:style w:type="character" w:customStyle="1" w:styleId="ListLabel11">
    <w:name w:val="ListLabel 11"/>
    <w:rsid w:val="00E30483"/>
    <w:rPr>
      <w:rFonts w:cs="Courier New"/>
    </w:rPr>
  </w:style>
  <w:style w:type="character" w:customStyle="1" w:styleId="ListLabel12">
    <w:name w:val="ListLabel 12"/>
    <w:rsid w:val="00E30483"/>
    <w:rPr>
      <w:rFonts w:cs="Wingdings"/>
    </w:rPr>
  </w:style>
  <w:style w:type="character" w:customStyle="1" w:styleId="ListLabel13">
    <w:name w:val="ListLabel 13"/>
    <w:rsid w:val="00E30483"/>
    <w:rPr>
      <w:rFonts w:cs="Symbol"/>
    </w:rPr>
  </w:style>
  <w:style w:type="character" w:customStyle="1" w:styleId="ListLabel14">
    <w:name w:val="ListLabel 14"/>
    <w:rsid w:val="00E30483"/>
    <w:rPr>
      <w:rFonts w:cs="Courier New"/>
    </w:rPr>
  </w:style>
  <w:style w:type="character" w:customStyle="1" w:styleId="ListLabel15">
    <w:name w:val="ListLabel 15"/>
    <w:rsid w:val="00E30483"/>
    <w:rPr>
      <w:rFonts w:cs="Wingdings"/>
    </w:rPr>
  </w:style>
  <w:style w:type="character" w:customStyle="1" w:styleId="ListLabel16">
    <w:name w:val="ListLabel 16"/>
    <w:rsid w:val="00E30483"/>
    <w:rPr>
      <w:rFonts w:cs="Symbol"/>
    </w:rPr>
  </w:style>
  <w:style w:type="character" w:customStyle="1" w:styleId="ListLabel17">
    <w:name w:val="ListLabel 17"/>
    <w:rsid w:val="00E30483"/>
    <w:rPr>
      <w:rFonts w:cs="Courier New"/>
    </w:rPr>
  </w:style>
  <w:style w:type="character" w:customStyle="1" w:styleId="ListLabel18">
    <w:name w:val="ListLabel 18"/>
    <w:rsid w:val="00E30483"/>
    <w:rPr>
      <w:rFonts w:cs="Wingdings"/>
    </w:rPr>
  </w:style>
  <w:style w:type="character" w:customStyle="1" w:styleId="ListLabel19">
    <w:name w:val="ListLabel 19"/>
    <w:rsid w:val="00E30483"/>
    <w:rPr>
      <w:rFonts w:cs="Symbol"/>
    </w:rPr>
  </w:style>
  <w:style w:type="character" w:customStyle="1" w:styleId="ListLabel20">
    <w:name w:val="ListLabel 20"/>
    <w:rsid w:val="00E30483"/>
    <w:rPr>
      <w:rFonts w:cs="Courier New"/>
    </w:rPr>
  </w:style>
  <w:style w:type="character" w:customStyle="1" w:styleId="ListLabel21">
    <w:name w:val="ListLabel 21"/>
    <w:rsid w:val="00E30483"/>
    <w:rPr>
      <w:rFonts w:cs="Wingdings"/>
    </w:rPr>
  </w:style>
  <w:style w:type="character" w:customStyle="1" w:styleId="ListLabel22">
    <w:name w:val="ListLabel 22"/>
    <w:rsid w:val="00E30483"/>
    <w:rPr>
      <w:rFonts w:cs="Symbol"/>
    </w:rPr>
  </w:style>
  <w:style w:type="character" w:customStyle="1" w:styleId="ListLabel23">
    <w:name w:val="ListLabel 23"/>
    <w:rsid w:val="00E30483"/>
    <w:rPr>
      <w:rFonts w:cs="Courier New"/>
    </w:rPr>
  </w:style>
  <w:style w:type="character" w:customStyle="1" w:styleId="ListLabel24">
    <w:name w:val="ListLabel 24"/>
    <w:rsid w:val="00E30483"/>
    <w:rPr>
      <w:rFonts w:cs="Wingdings"/>
    </w:rPr>
  </w:style>
  <w:style w:type="character" w:customStyle="1" w:styleId="ListLabel25">
    <w:name w:val="ListLabel 25"/>
    <w:rsid w:val="00E30483"/>
    <w:rPr>
      <w:rFonts w:cs="Symbol"/>
    </w:rPr>
  </w:style>
  <w:style w:type="character" w:customStyle="1" w:styleId="ListLabel26">
    <w:name w:val="ListLabel 26"/>
    <w:rsid w:val="00E30483"/>
    <w:rPr>
      <w:rFonts w:cs="Courier New"/>
    </w:rPr>
  </w:style>
  <w:style w:type="character" w:customStyle="1" w:styleId="ListLabel27">
    <w:name w:val="ListLabel 27"/>
    <w:rsid w:val="00E30483"/>
    <w:rPr>
      <w:rFonts w:cs="Wingdings"/>
    </w:rPr>
  </w:style>
  <w:style w:type="character" w:customStyle="1" w:styleId="ListLabel28">
    <w:name w:val="ListLabel 28"/>
    <w:rsid w:val="00E30483"/>
    <w:rPr>
      <w:rFonts w:cs="Symbol"/>
    </w:rPr>
  </w:style>
  <w:style w:type="character" w:customStyle="1" w:styleId="ListLabel29">
    <w:name w:val="ListLabel 29"/>
    <w:rsid w:val="00E30483"/>
    <w:rPr>
      <w:rFonts w:cs="Courier New"/>
    </w:rPr>
  </w:style>
  <w:style w:type="character" w:customStyle="1" w:styleId="ListLabel30">
    <w:name w:val="ListLabel 30"/>
    <w:rsid w:val="00E30483"/>
    <w:rPr>
      <w:rFonts w:cs="Wingdings"/>
    </w:rPr>
  </w:style>
  <w:style w:type="paragraph" w:customStyle="1" w:styleId="Heading">
    <w:name w:val="Heading"/>
    <w:basedOn w:val="Normal"/>
    <w:next w:val="BodyText"/>
    <w:rsid w:val="00E30483"/>
    <w:pPr>
      <w:keepNext/>
      <w:spacing w:before="240" w:after="120"/>
    </w:pPr>
    <w:rPr>
      <w:rFonts w:ascii="Liberation Sans" w:eastAsia="WenQuanYi Micro Hei" w:hAnsi="Liberation Sans" w:cs="Lohit Devanagari"/>
      <w:sz w:val="28"/>
      <w:szCs w:val="28"/>
    </w:rPr>
  </w:style>
  <w:style w:type="paragraph" w:styleId="BodyText">
    <w:name w:val="Body Text"/>
    <w:basedOn w:val="Normal"/>
    <w:link w:val="BodyTextChar"/>
    <w:rsid w:val="00E30483"/>
    <w:pPr>
      <w:spacing w:after="140" w:line="288" w:lineRule="auto"/>
    </w:pPr>
  </w:style>
  <w:style w:type="character" w:customStyle="1" w:styleId="BodyTextChar">
    <w:name w:val="Body Text Char"/>
    <w:basedOn w:val="DefaultParagraphFont"/>
    <w:link w:val="BodyText"/>
    <w:rsid w:val="00E30483"/>
    <w:rPr>
      <w:lang w:val="en-GB"/>
    </w:rPr>
  </w:style>
  <w:style w:type="paragraph" w:styleId="List">
    <w:name w:val="List"/>
    <w:basedOn w:val="BodyText"/>
    <w:rsid w:val="00E30483"/>
    <w:rPr>
      <w:rFonts w:cs="Lohit Devanagari"/>
    </w:rPr>
  </w:style>
  <w:style w:type="paragraph" w:customStyle="1" w:styleId="Index">
    <w:name w:val="Index"/>
    <w:basedOn w:val="Normal"/>
    <w:rsid w:val="00E30483"/>
    <w:pPr>
      <w:suppressLineNumbers/>
    </w:pPr>
    <w:rPr>
      <w:rFonts w:cs="Lohit Devanagari"/>
    </w:rPr>
  </w:style>
  <w:style w:type="paragraph" w:customStyle="1" w:styleId="TableContents">
    <w:name w:val="Table Contents"/>
    <w:basedOn w:val="Normal"/>
    <w:rsid w:val="00E30483"/>
  </w:style>
  <w:style w:type="paragraph" w:customStyle="1" w:styleId="TableHeading">
    <w:name w:val="Table Heading"/>
    <w:basedOn w:val="TableContents"/>
    <w:rsid w:val="00E30483"/>
  </w:style>
  <w:style w:type="paragraph" w:styleId="FootnoteText">
    <w:name w:val="footnote text"/>
    <w:basedOn w:val="Normal"/>
    <w:link w:val="FootnoteTextChar1"/>
    <w:uiPriority w:val="99"/>
    <w:rsid w:val="00E30483"/>
  </w:style>
  <w:style w:type="character" w:customStyle="1" w:styleId="FootnoteTextChar1">
    <w:name w:val="Footnote Text Char1"/>
    <w:basedOn w:val="DefaultParagraphFont"/>
    <w:link w:val="FootnoteText"/>
    <w:rsid w:val="00E30483"/>
    <w:rPr>
      <w:lang w:val="en-GB"/>
    </w:rPr>
  </w:style>
  <w:style w:type="character" w:customStyle="1" w:styleId="HeaderChar1">
    <w:name w:val="Header Char1"/>
    <w:basedOn w:val="DefaultParagraphFont"/>
    <w:uiPriority w:val="99"/>
    <w:semiHidden/>
    <w:rsid w:val="00E30483"/>
    <w:rPr>
      <w:lang w:val="en-GB"/>
    </w:rPr>
  </w:style>
  <w:style w:type="character" w:customStyle="1" w:styleId="FooterChar1">
    <w:name w:val="Footer Char1"/>
    <w:basedOn w:val="DefaultParagraphFont"/>
    <w:uiPriority w:val="99"/>
    <w:semiHidden/>
    <w:rsid w:val="00E30483"/>
    <w:rPr>
      <w:lang w:val="en-GB"/>
    </w:rPr>
  </w:style>
  <w:style w:type="table" w:styleId="TableGrid">
    <w:name w:val="Table Grid"/>
    <w:basedOn w:val="TableNormal"/>
    <w:uiPriority w:val="39"/>
    <w:rsid w:val="00E30483"/>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basedOn w:val="DefaultParagraphFont"/>
    <w:uiPriority w:val="99"/>
    <w:semiHidden/>
    <w:unhideWhenUsed/>
    <w:rsid w:val="00E30483"/>
    <w:rPr>
      <w:vertAlign w:val="superscript"/>
    </w:rPr>
  </w:style>
  <w:style w:type="paragraph" w:styleId="EndnoteText">
    <w:name w:val="endnote text"/>
    <w:basedOn w:val="Normal"/>
    <w:link w:val="EndnoteTextChar"/>
    <w:uiPriority w:val="99"/>
    <w:semiHidden/>
    <w:unhideWhenUsed/>
    <w:rsid w:val="00E3048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30483"/>
    <w:rPr>
      <w:sz w:val="20"/>
      <w:szCs w:val="20"/>
      <w:lang w:val="en-GB"/>
    </w:rPr>
  </w:style>
  <w:style w:type="character" w:customStyle="1" w:styleId="fn-label">
    <w:name w:val="fn-label"/>
    <w:basedOn w:val="DefaultParagraphFont"/>
    <w:rsid w:val="00E30483"/>
  </w:style>
  <w:style w:type="character" w:customStyle="1" w:styleId="normaltextrun">
    <w:name w:val="normaltextrun"/>
    <w:basedOn w:val="DefaultParagraphFont"/>
    <w:rsid w:val="00E30483"/>
  </w:style>
  <w:style w:type="character" w:customStyle="1" w:styleId="eop">
    <w:name w:val="eop"/>
    <w:basedOn w:val="DefaultParagraphFont"/>
    <w:rsid w:val="00E30483"/>
  </w:style>
  <w:style w:type="character" w:customStyle="1" w:styleId="HTMLPreformattedChar">
    <w:name w:val="HTML Preformatted Char"/>
    <w:basedOn w:val="DefaultParagraphFont"/>
    <w:link w:val="HTMLPreformatted"/>
    <w:uiPriority w:val="99"/>
    <w:semiHidden/>
    <w:rsid w:val="00646664"/>
    <w:rPr>
      <w:rFonts w:ascii="Courier New" w:eastAsia="Times New Roman" w:hAnsi="Courier New" w:cs="Courier New"/>
      <w:sz w:val="20"/>
      <w:szCs w:val="20"/>
      <w:lang w:val="en-GB" w:eastAsia="en-GB"/>
    </w:rPr>
  </w:style>
  <w:style w:type="paragraph" w:styleId="HTMLPreformatted">
    <w:name w:val="HTML Preformatted"/>
    <w:basedOn w:val="Normal"/>
    <w:link w:val="HTMLPreformattedChar"/>
    <w:uiPriority w:val="99"/>
    <w:semiHidden/>
    <w:unhideWhenUsed/>
    <w:rsid w:val="006466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paragraph" w:customStyle="1" w:styleId="Default">
    <w:name w:val="Default"/>
    <w:rsid w:val="006211D2"/>
    <w:pPr>
      <w:autoSpaceDE w:val="0"/>
      <w:autoSpaceDN w:val="0"/>
      <w:adjustRightInd w:val="0"/>
      <w:spacing w:after="0" w:line="240" w:lineRule="auto"/>
    </w:pPr>
    <w:rPr>
      <w:rFonts w:ascii="Arial" w:hAnsi="Arial" w:cs="Arial"/>
      <w:color w:val="000000"/>
      <w:sz w:val="24"/>
      <w:szCs w:val="24"/>
      <w:lang w:val="en-GB"/>
    </w:rPr>
  </w:style>
  <w:style w:type="character" w:styleId="FollowedHyperlink">
    <w:name w:val="FollowedHyperlink"/>
    <w:basedOn w:val="DefaultParagraphFont"/>
    <w:uiPriority w:val="99"/>
    <w:semiHidden/>
    <w:unhideWhenUsed/>
    <w:rsid w:val="006211D2"/>
    <w:rPr>
      <w:color w:val="954F72" w:themeColor="followedHyperlink"/>
      <w:u w:val="single"/>
    </w:rPr>
  </w:style>
  <w:style w:type="paragraph" w:customStyle="1" w:styleId="gen-content">
    <w:name w:val="gen-content"/>
    <w:basedOn w:val="Normal"/>
    <w:rsid w:val="00372D5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OC1">
    <w:name w:val="toc 1"/>
    <w:basedOn w:val="Normal"/>
    <w:next w:val="Normal"/>
    <w:autoRedefine/>
    <w:uiPriority w:val="39"/>
    <w:unhideWhenUsed/>
    <w:rsid w:val="00145A20"/>
    <w:pPr>
      <w:tabs>
        <w:tab w:val="right" w:leader="dot" w:pos="9905"/>
      </w:tabs>
      <w:spacing w:after="100"/>
    </w:pPr>
    <w:rPr>
      <w:rFonts w:asciiTheme="majorBidi" w:hAnsiTheme="majorBidi"/>
      <w:noProof/>
      <w:shd w:val="clear" w:color="auto" w:fill="FFFFFF"/>
    </w:rPr>
  </w:style>
  <w:style w:type="paragraph" w:styleId="TOC2">
    <w:name w:val="toc 2"/>
    <w:basedOn w:val="Normal"/>
    <w:next w:val="Normal"/>
    <w:autoRedefine/>
    <w:uiPriority w:val="39"/>
    <w:unhideWhenUsed/>
    <w:rsid w:val="00F712B2"/>
    <w:pPr>
      <w:spacing w:after="100"/>
      <w:ind w:left="220"/>
    </w:pPr>
  </w:style>
  <w:style w:type="paragraph" w:styleId="TOC3">
    <w:name w:val="toc 3"/>
    <w:basedOn w:val="Normal"/>
    <w:next w:val="Normal"/>
    <w:autoRedefine/>
    <w:uiPriority w:val="39"/>
    <w:unhideWhenUsed/>
    <w:rsid w:val="00F712B2"/>
    <w:pPr>
      <w:spacing w:after="100"/>
      <w:ind w:left="440"/>
    </w:pPr>
  </w:style>
  <w:style w:type="paragraph" w:styleId="TOC4">
    <w:name w:val="toc 4"/>
    <w:basedOn w:val="Normal"/>
    <w:next w:val="Normal"/>
    <w:autoRedefine/>
    <w:uiPriority w:val="39"/>
    <w:unhideWhenUsed/>
    <w:rsid w:val="00067319"/>
    <w:pPr>
      <w:spacing w:after="100" w:line="259" w:lineRule="auto"/>
      <w:ind w:left="660"/>
    </w:pPr>
    <w:rPr>
      <w:lang w:eastAsia="en-GB"/>
    </w:rPr>
  </w:style>
  <w:style w:type="paragraph" w:styleId="TOC5">
    <w:name w:val="toc 5"/>
    <w:basedOn w:val="Normal"/>
    <w:next w:val="Normal"/>
    <w:autoRedefine/>
    <w:uiPriority w:val="39"/>
    <w:unhideWhenUsed/>
    <w:rsid w:val="00067319"/>
    <w:pPr>
      <w:spacing w:after="100" w:line="259" w:lineRule="auto"/>
      <w:ind w:left="880"/>
    </w:pPr>
    <w:rPr>
      <w:lang w:eastAsia="en-GB"/>
    </w:rPr>
  </w:style>
  <w:style w:type="paragraph" w:styleId="TOC6">
    <w:name w:val="toc 6"/>
    <w:basedOn w:val="Normal"/>
    <w:next w:val="Normal"/>
    <w:autoRedefine/>
    <w:uiPriority w:val="39"/>
    <w:unhideWhenUsed/>
    <w:rsid w:val="00067319"/>
    <w:pPr>
      <w:spacing w:after="100" w:line="259" w:lineRule="auto"/>
      <w:ind w:left="1100"/>
    </w:pPr>
    <w:rPr>
      <w:lang w:eastAsia="en-GB"/>
    </w:rPr>
  </w:style>
  <w:style w:type="paragraph" w:styleId="TOC7">
    <w:name w:val="toc 7"/>
    <w:basedOn w:val="Normal"/>
    <w:next w:val="Normal"/>
    <w:autoRedefine/>
    <w:uiPriority w:val="39"/>
    <w:unhideWhenUsed/>
    <w:rsid w:val="00067319"/>
    <w:pPr>
      <w:spacing w:after="100" w:line="259" w:lineRule="auto"/>
      <w:ind w:left="1320"/>
    </w:pPr>
    <w:rPr>
      <w:lang w:eastAsia="en-GB"/>
    </w:rPr>
  </w:style>
  <w:style w:type="paragraph" w:styleId="TOC8">
    <w:name w:val="toc 8"/>
    <w:basedOn w:val="Normal"/>
    <w:next w:val="Normal"/>
    <w:autoRedefine/>
    <w:uiPriority w:val="39"/>
    <w:unhideWhenUsed/>
    <w:rsid w:val="00067319"/>
    <w:pPr>
      <w:spacing w:after="100" w:line="259" w:lineRule="auto"/>
      <w:ind w:left="1540"/>
    </w:pPr>
    <w:rPr>
      <w:lang w:eastAsia="en-GB"/>
    </w:rPr>
  </w:style>
  <w:style w:type="paragraph" w:styleId="TOC9">
    <w:name w:val="toc 9"/>
    <w:basedOn w:val="Normal"/>
    <w:next w:val="Normal"/>
    <w:autoRedefine/>
    <w:uiPriority w:val="39"/>
    <w:unhideWhenUsed/>
    <w:rsid w:val="00067319"/>
    <w:pPr>
      <w:spacing w:after="100" w:line="259" w:lineRule="auto"/>
      <w:ind w:left="1760"/>
    </w:pPr>
    <w:rPr>
      <w:lang w:eastAsia="en-GB"/>
    </w:rPr>
  </w:style>
  <w:style w:type="character" w:customStyle="1" w:styleId="UnresolvedMention">
    <w:name w:val="Unresolved Mention"/>
    <w:basedOn w:val="DefaultParagraphFont"/>
    <w:uiPriority w:val="99"/>
    <w:semiHidden/>
    <w:unhideWhenUsed/>
    <w:rsid w:val="00067319"/>
    <w:rPr>
      <w:color w:val="605E5C"/>
      <w:shd w:val="clear" w:color="auto" w:fill="E1DFDD"/>
    </w:rPr>
  </w:style>
  <w:style w:type="paragraph" w:styleId="TableofFigures">
    <w:name w:val="table of figures"/>
    <w:basedOn w:val="Normal"/>
    <w:next w:val="Normal"/>
    <w:uiPriority w:val="99"/>
    <w:unhideWhenUsed/>
    <w:rsid w:val="007F2AE9"/>
    <w:pPr>
      <w:spacing w:after="0"/>
    </w:pPr>
  </w:style>
  <w:style w:type="paragraph" w:customStyle="1" w:styleId="AppendixC">
    <w:name w:val="Appendix C"/>
    <w:basedOn w:val="AppendixA"/>
    <w:qFormat/>
    <w:rsid w:val="00663CD6"/>
    <w:pPr>
      <w:numPr>
        <w:numId w:val="14"/>
      </w:numPr>
    </w:pPr>
  </w:style>
  <w:style w:type="paragraph" w:customStyle="1" w:styleId="AppendixD">
    <w:name w:val="Appendix D"/>
    <w:basedOn w:val="AppendixA"/>
    <w:qFormat/>
    <w:rsid w:val="00706AE7"/>
    <w:pPr>
      <w:numPr>
        <w:numId w:val="15"/>
      </w:numPr>
    </w:pPr>
  </w:style>
  <w:style w:type="paragraph" w:customStyle="1" w:styleId="AppendixA">
    <w:name w:val="Appendix A"/>
    <w:basedOn w:val="Heading2"/>
    <w:qFormat/>
    <w:rsid w:val="005B6A5D"/>
    <w:pPr>
      <w:numPr>
        <w:ilvl w:val="0"/>
        <w:numId w:val="9"/>
      </w:numPr>
    </w:pPr>
  </w:style>
  <w:style w:type="paragraph" w:customStyle="1" w:styleId="AppendixB">
    <w:name w:val="Appendix B"/>
    <w:basedOn w:val="AppendixA"/>
    <w:qFormat/>
    <w:rsid w:val="005B6A5D"/>
    <w:pPr>
      <w:numPr>
        <w:numId w:val="10"/>
      </w:numPr>
    </w:pPr>
  </w:style>
  <w:style w:type="numbering" w:customStyle="1" w:styleId="Singlepunch">
    <w:name w:val="Single punch"/>
    <w:rsid w:val="003B7CCB"/>
    <w:pPr>
      <w:numPr>
        <w:numId w:val="11"/>
      </w:numPr>
    </w:pPr>
  </w:style>
  <w:style w:type="paragraph" w:customStyle="1" w:styleId="IntroductionHeader">
    <w:name w:val="Introduction Header"/>
    <w:basedOn w:val="Normal"/>
    <w:next w:val="Normal"/>
    <w:link w:val="IntroductionHeaderChar"/>
    <w:rsid w:val="003B7CCB"/>
    <w:pPr>
      <w:spacing w:before="100" w:beforeAutospacing="1" w:after="100" w:afterAutospacing="1" w:line="240" w:lineRule="auto"/>
    </w:pPr>
    <w:rPr>
      <w:rFonts w:ascii="Arial" w:eastAsia="Times New Roman" w:hAnsi="Arial" w:cs="Arial"/>
      <w:b/>
      <w:color w:val="FF0066"/>
      <w:kern w:val="36"/>
      <w:sz w:val="48"/>
      <w:szCs w:val="48"/>
      <w:lang w:eastAsia="en-GB"/>
    </w:rPr>
  </w:style>
  <w:style w:type="character" w:customStyle="1" w:styleId="IntroductionHeaderChar">
    <w:name w:val="Introduction Header Char"/>
    <w:basedOn w:val="Heading1Char"/>
    <w:link w:val="IntroductionHeader"/>
    <w:rsid w:val="003B7CCB"/>
    <w:rPr>
      <w:rFonts w:ascii="Arial" w:eastAsia="Times New Roman" w:hAnsi="Arial" w:cs="Arial"/>
      <w:b/>
      <w:bCs w:val="0"/>
      <w:smallCaps w:val="0"/>
      <w:color w:val="FF0066"/>
      <w:kern w:val="36"/>
      <w:sz w:val="48"/>
      <w:szCs w:val="48"/>
      <w:lang w:val="en-GB" w:eastAsia="en-GB"/>
    </w:rPr>
  </w:style>
  <w:style w:type="paragraph" w:styleId="PlainText">
    <w:name w:val="Plain Text"/>
    <w:basedOn w:val="Normal"/>
    <w:link w:val="PlainTextChar"/>
    <w:uiPriority w:val="99"/>
    <w:semiHidden/>
    <w:unhideWhenUsed/>
    <w:rsid w:val="003B7CCB"/>
    <w:pPr>
      <w:spacing w:after="0" w:line="240" w:lineRule="auto"/>
    </w:pPr>
    <w:rPr>
      <w:rFonts w:ascii="Calibri" w:eastAsiaTheme="minorHAnsi" w:hAnsi="Calibri"/>
      <w:szCs w:val="21"/>
    </w:rPr>
  </w:style>
  <w:style w:type="character" w:customStyle="1" w:styleId="PlainTextChar">
    <w:name w:val="Plain Text Char"/>
    <w:basedOn w:val="DefaultParagraphFont"/>
    <w:link w:val="PlainText"/>
    <w:uiPriority w:val="99"/>
    <w:semiHidden/>
    <w:rsid w:val="003B7CCB"/>
    <w:rPr>
      <w:rFonts w:ascii="Calibri" w:eastAsiaTheme="minorHAnsi" w:hAnsi="Calibri"/>
      <w:szCs w:val="21"/>
      <w:lang w:val="en-GB"/>
    </w:rPr>
  </w:style>
  <w:style w:type="paragraph" w:customStyle="1" w:styleId="bodytext0">
    <w:name w:val="bodytext"/>
    <w:basedOn w:val="Normal"/>
    <w:rsid w:val="00F1508E"/>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AppendixE">
    <w:name w:val="Appendix E"/>
    <w:basedOn w:val="AppendixD"/>
    <w:qFormat/>
    <w:rsid w:val="007A529B"/>
    <w:pPr>
      <w:numPr>
        <w:numId w:val="17"/>
      </w:numPr>
      <w:ind w:left="357" w:hanging="357"/>
    </w:pPr>
  </w:style>
  <w:style w:type="character" w:customStyle="1" w:styleId="ref-lnk">
    <w:name w:val="ref-lnk"/>
    <w:basedOn w:val="DefaultParagraphFont"/>
    <w:rsid w:val="007D1C43"/>
  </w:style>
  <w:style w:type="character" w:customStyle="1" w:styleId="ref-overlay">
    <w:name w:val="ref-overlay"/>
    <w:basedOn w:val="DefaultParagraphFont"/>
    <w:rsid w:val="007D1C43"/>
  </w:style>
  <w:style w:type="character" w:customStyle="1" w:styleId="nlmyear">
    <w:name w:val="nlm_year"/>
    <w:basedOn w:val="DefaultParagraphFont"/>
    <w:rsid w:val="007D1C43"/>
  </w:style>
  <w:style w:type="character" w:customStyle="1" w:styleId="nlmarticle-title">
    <w:name w:val="nlm_article-title"/>
    <w:basedOn w:val="DefaultParagraphFont"/>
    <w:rsid w:val="007D1C43"/>
  </w:style>
  <w:style w:type="character" w:customStyle="1" w:styleId="ref-links">
    <w:name w:val="ref-links"/>
    <w:basedOn w:val="DefaultParagraphFont"/>
    <w:rsid w:val="007D1C43"/>
  </w:style>
  <w:style w:type="character" w:customStyle="1" w:styleId="xlinks-container">
    <w:name w:val="xlinks-container"/>
    <w:basedOn w:val="DefaultParagraphFont"/>
    <w:rsid w:val="007D1C43"/>
  </w:style>
  <w:style w:type="character" w:customStyle="1" w:styleId="googlescholar-container">
    <w:name w:val="googlescholar-container"/>
    <w:basedOn w:val="DefaultParagraphFont"/>
    <w:rsid w:val="007D1C43"/>
  </w:style>
  <w:style w:type="character" w:customStyle="1" w:styleId="hlfld-contribauthor">
    <w:name w:val="hlfld-contribauthor"/>
    <w:basedOn w:val="DefaultParagraphFont"/>
    <w:rsid w:val="007D1C43"/>
  </w:style>
  <w:style w:type="character" w:customStyle="1" w:styleId="nlmgiven-names">
    <w:name w:val="nlm_given-names"/>
    <w:basedOn w:val="DefaultParagraphFont"/>
    <w:rsid w:val="007D1C43"/>
  </w:style>
  <w:style w:type="character" w:customStyle="1" w:styleId="nlmpublisher-name">
    <w:name w:val="nlm_publisher-name"/>
    <w:basedOn w:val="DefaultParagraphFont"/>
    <w:rsid w:val="007D1C43"/>
  </w:style>
  <w:style w:type="character" w:customStyle="1" w:styleId="nlmpublisher-loc">
    <w:name w:val="nlm_publisher-loc"/>
    <w:basedOn w:val="DefaultParagraphFont"/>
    <w:rsid w:val="007D1C43"/>
  </w:style>
  <w:style w:type="character" w:customStyle="1" w:styleId="nlmfpage">
    <w:name w:val="nlm_fpage"/>
    <w:basedOn w:val="DefaultParagraphFont"/>
    <w:rsid w:val="007D1C43"/>
  </w:style>
  <w:style w:type="character" w:customStyle="1" w:styleId="nlmlpage">
    <w:name w:val="nlm_lpage"/>
    <w:basedOn w:val="DefaultParagraphFont"/>
    <w:rsid w:val="007D1C4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7A27"/>
    <w:pPr>
      <w:spacing w:line="360" w:lineRule="auto"/>
    </w:pPr>
    <w:rPr>
      <w:lang w:val="en-GB"/>
    </w:rPr>
  </w:style>
  <w:style w:type="paragraph" w:styleId="Heading1">
    <w:name w:val="heading 1"/>
    <w:basedOn w:val="Normal"/>
    <w:next w:val="Normal"/>
    <w:link w:val="Heading1Char"/>
    <w:uiPriority w:val="9"/>
    <w:qFormat/>
    <w:rsid w:val="00D90E6F"/>
    <w:pPr>
      <w:keepNext/>
      <w:keepLines/>
      <w:numPr>
        <w:numId w:val="1"/>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Heading2">
    <w:name w:val="heading 2"/>
    <w:basedOn w:val="Normal"/>
    <w:next w:val="Normal"/>
    <w:link w:val="Heading2Char"/>
    <w:uiPriority w:val="9"/>
    <w:unhideWhenUsed/>
    <w:qFormat/>
    <w:rsid w:val="00D90E6F"/>
    <w:pPr>
      <w:keepNext/>
      <w:keepLines/>
      <w:numPr>
        <w:ilvl w:val="1"/>
        <w:numId w:val="1"/>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
    <w:uiPriority w:val="9"/>
    <w:unhideWhenUsed/>
    <w:qFormat/>
    <w:rsid w:val="00D90E6F"/>
    <w:pPr>
      <w:keepNext/>
      <w:keepLines/>
      <w:numPr>
        <w:ilvl w:val="2"/>
        <w:numId w:val="1"/>
      </w:numPr>
      <w:spacing w:before="200" w:after="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unhideWhenUsed/>
    <w:qFormat/>
    <w:rsid w:val="00D90E6F"/>
    <w:pPr>
      <w:keepNext/>
      <w:keepLines/>
      <w:numPr>
        <w:ilvl w:val="3"/>
        <w:numId w:val="1"/>
      </w:numPr>
      <w:spacing w:before="200" w:after="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iPriority w:val="9"/>
    <w:unhideWhenUsed/>
    <w:qFormat/>
    <w:rsid w:val="00D90E6F"/>
    <w:pPr>
      <w:keepNext/>
      <w:keepLines/>
      <w:numPr>
        <w:ilvl w:val="4"/>
        <w:numId w:val="1"/>
      </w:numPr>
      <w:spacing w:before="200" w:after="0"/>
      <w:outlineLvl w:val="4"/>
    </w:pPr>
    <w:rPr>
      <w:rFonts w:asciiTheme="majorHAnsi" w:eastAsiaTheme="majorEastAsia" w:hAnsiTheme="majorHAnsi" w:cstheme="majorBidi"/>
      <w:color w:val="323E4F" w:themeColor="text2" w:themeShade="BF"/>
    </w:rPr>
  </w:style>
  <w:style w:type="paragraph" w:styleId="Heading6">
    <w:name w:val="heading 6"/>
    <w:basedOn w:val="Normal"/>
    <w:next w:val="Normal"/>
    <w:link w:val="Heading6Char"/>
    <w:uiPriority w:val="9"/>
    <w:unhideWhenUsed/>
    <w:qFormat/>
    <w:rsid w:val="00D90E6F"/>
    <w:pPr>
      <w:keepNext/>
      <w:keepLines/>
      <w:numPr>
        <w:ilvl w:val="5"/>
        <w:numId w:val="1"/>
      </w:numPr>
      <w:spacing w:before="200" w:after="0"/>
      <w:outlineLvl w:val="5"/>
    </w:pPr>
    <w:rPr>
      <w:rFonts w:asciiTheme="majorHAnsi" w:eastAsiaTheme="majorEastAsia" w:hAnsiTheme="majorHAnsi" w:cstheme="majorBidi"/>
      <w:i/>
      <w:iCs/>
      <w:color w:val="323E4F" w:themeColor="text2" w:themeShade="BF"/>
    </w:rPr>
  </w:style>
  <w:style w:type="paragraph" w:styleId="Heading7">
    <w:name w:val="heading 7"/>
    <w:basedOn w:val="Normal"/>
    <w:next w:val="Normal"/>
    <w:link w:val="Heading7Char"/>
    <w:uiPriority w:val="9"/>
    <w:semiHidden/>
    <w:unhideWhenUsed/>
    <w:qFormat/>
    <w:rsid w:val="00D90E6F"/>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90E6F"/>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90E6F"/>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0E6F"/>
    <w:rPr>
      <w:rFonts w:asciiTheme="majorHAnsi" w:eastAsiaTheme="majorEastAsia" w:hAnsiTheme="majorHAnsi" w:cstheme="majorBidi"/>
      <w:b/>
      <w:bCs/>
      <w:smallCaps/>
      <w:color w:val="000000" w:themeColor="text1"/>
      <w:sz w:val="36"/>
      <w:szCs w:val="36"/>
      <w:lang w:val="en-GB"/>
    </w:rPr>
  </w:style>
  <w:style w:type="character" w:customStyle="1" w:styleId="Heading2Char">
    <w:name w:val="Heading 2 Char"/>
    <w:basedOn w:val="DefaultParagraphFont"/>
    <w:link w:val="Heading2"/>
    <w:uiPriority w:val="9"/>
    <w:rsid w:val="00D90E6F"/>
    <w:rPr>
      <w:rFonts w:asciiTheme="majorHAnsi" w:eastAsiaTheme="majorEastAsia" w:hAnsiTheme="majorHAnsi" w:cstheme="majorBidi"/>
      <w:b/>
      <w:bCs/>
      <w:smallCaps/>
      <w:color w:val="000000" w:themeColor="text1"/>
      <w:sz w:val="28"/>
      <w:szCs w:val="28"/>
      <w:lang w:val="en-GB"/>
    </w:rPr>
  </w:style>
  <w:style w:type="character" w:customStyle="1" w:styleId="Heading3Char">
    <w:name w:val="Heading 3 Char"/>
    <w:basedOn w:val="DefaultParagraphFont"/>
    <w:link w:val="Heading3"/>
    <w:uiPriority w:val="9"/>
    <w:rsid w:val="00D90E6F"/>
    <w:rPr>
      <w:rFonts w:asciiTheme="majorHAnsi" w:eastAsiaTheme="majorEastAsia" w:hAnsiTheme="majorHAnsi" w:cstheme="majorBidi"/>
      <w:b/>
      <w:bCs/>
      <w:color w:val="000000" w:themeColor="text1"/>
      <w:lang w:val="en-GB"/>
    </w:rPr>
  </w:style>
  <w:style w:type="character" w:customStyle="1" w:styleId="Heading4Char">
    <w:name w:val="Heading 4 Char"/>
    <w:basedOn w:val="DefaultParagraphFont"/>
    <w:link w:val="Heading4"/>
    <w:uiPriority w:val="9"/>
    <w:rsid w:val="00D90E6F"/>
    <w:rPr>
      <w:rFonts w:asciiTheme="majorHAnsi" w:eastAsiaTheme="majorEastAsia" w:hAnsiTheme="majorHAnsi" w:cstheme="majorBidi"/>
      <w:b/>
      <w:bCs/>
      <w:i/>
      <w:iCs/>
      <w:color w:val="000000" w:themeColor="text1"/>
      <w:lang w:val="en-GB"/>
    </w:rPr>
  </w:style>
  <w:style w:type="character" w:customStyle="1" w:styleId="Heading5Char">
    <w:name w:val="Heading 5 Char"/>
    <w:basedOn w:val="DefaultParagraphFont"/>
    <w:link w:val="Heading5"/>
    <w:uiPriority w:val="9"/>
    <w:rsid w:val="00D90E6F"/>
    <w:rPr>
      <w:rFonts w:asciiTheme="majorHAnsi" w:eastAsiaTheme="majorEastAsia" w:hAnsiTheme="majorHAnsi" w:cstheme="majorBidi"/>
      <w:color w:val="323E4F" w:themeColor="text2" w:themeShade="BF"/>
      <w:lang w:val="en-GB"/>
    </w:rPr>
  </w:style>
  <w:style w:type="character" w:customStyle="1" w:styleId="Heading6Char">
    <w:name w:val="Heading 6 Char"/>
    <w:basedOn w:val="DefaultParagraphFont"/>
    <w:link w:val="Heading6"/>
    <w:uiPriority w:val="9"/>
    <w:rsid w:val="00D90E6F"/>
    <w:rPr>
      <w:rFonts w:asciiTheme="majorHAnsi" w:eastAsiaTheme="majorEastAsia" w:hAnsiTheme="majorHAnsi" w:cstheme="majorBidi"/>
      <w:i/>
      <w:iCs/>
      <w:color w:val="323E4F" w:themeColor="text2" w:themeShade="BF"/>
      <w:lang w:val="en-GB"/>
    </w:rPr>
  </w:style>
  <w:style w:type="character" w:customStyle="1" w:styleId="Heading7Char">
    <w:name w:val="Heading 7 Char"/>
    <w:basedOn w:val="DefaultParagraphFont"/>
    <w:link w:val="Heading7"/>
    <w:uiPriority w:val="9"/>
    <w:semiHidden/>
    <w:rsid w:val="00D90E6F"/>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semiHidden/>
    <w:rsid w:val="00D90E6F"/>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D90E6F"/>
    <w:rPr>
      <w:rFonts w:asciiTheme="majorHAnsi" w:eastAsiaTheme="majorEastAsia" w:hAnsiTheme="majorHAnsi" w:cstheme="majorBidi"/>
      <w:i/>
      <w:iCs/>
      <w:color w:val="404040" w:themeColor="text1" w:themeTint="BF"/>
      <w:sz w:val="20"/>
      <w:szCs w:val="20"/>
      <w:lang w:val="en-GB"/>
    </w:rPr>
  </w:style>
  <w:style w:type="paragraph" w:styleId="ListParagraph">
    <w:name w:val="List Paragraph"/>
    <w:basedOn w:val="Normal"/>
    <w:uiPriority w:val="34"/>
    <w:qFormat/>
    <w:rsid w:val="0061653D"/>
    <w:pPr>
      <w:ind w:left="720"/>
      <w:contextualSpacing/>
    </w:pPr>
  </w:style>
  <w:style w:type="table" w:customStyle="1" w:styleId="GridTable6Colorful-Accent11">
    <w:name w:val="Grid Table 6 Colorful - Accent 11"/>
    <w:basedOn w:val="TableNormal"/>
    <w:uiPriority w:val="51"/>
    <w:rsid w:val="0061653D"/>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CommentReference">
    <w:name w:val="annotation reference"/>
    <w:basedOn w:val="DefaultParagraphFont"/>
    <w:uiPriority w:val="99"/>
    <w:semiHidden/>
    <w:unhideWhenUsed/>
    <w:rsid w:val="0061653D"/>
    <w:rPr>
      <w:sz w:val="16"/>
      <w:szCs w:val="16"/>
    </w:rPr>
  </w:style>
  <w:style w:type="paragraph" w:styleId="CommentText">
    <w:name w:val="annotation text"/>
    <w:basedOn w:val="Normal"/>
    <w:link w:val="CommentTextChar"/>
    <w:uiPriority w:val="99"/>
    <w:unhideWhenUsed/>
    <w:rsid w:val="0061653D"/>
    <w:rPr>
      <w:sz w:val="20"/>
      <w:szCs w:val="20"/>
    </w:rPr>
  </w:style>
  <w:style w:type="character" w:customStyle="1" w:styleId="CommentTextChar">
    <w:name w:val="Comment Text Char"/>
    <w:basedOn w:val="DefaultParagraphFont"/>
    <w:link w:val="CommentText"/>
    <w:uiPriority w:val="99"/>
    <w:rsid w:val="0061653D"/>
    <w:rPr>
      <w:rFonts w:eastAsiaTheme="minorEastAsia"/>
      <w:sz w:val="20"/>
      <w:szCs w:val="20"/>
      <w:lang w:val="en-GB"/>
    </w:rPr>
  </w:style>
  <w:style w:type="paragraph" w:styleId="BalloonText">
    <w:name w:val="Balloon Text"/>
    <w:basedOn w:val="Normal"/>
    <w:link w:val="BalloonTextChar"/>
    <w:uiPriority w:val="99"/>
    <w:semiHidden/>
    <w:unhideWhenUsed/>
    <w:rsid w:val="0061653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1653D"/>
    <w:rPr>
      <w:rFonts w:ascii="Segoe UI" w:eastAsiaTheme="minorEastAsia" w:hAnsi="Segoe UI" w:cs="Segoe UI"/>
      <w:sz w:val="18"/>
      <w:szCs w:val="18"/>
      <w:lang w:val="en-GB"/>
    </w:rPr>
  </w:style>
  <w:style w:type="paragraph" w:styleId="CommentSubject">
    <w:name w:val="annotation subject"/>
    <w:basedOn w:val="CommentText"/>
    <w:next w:val="CommentText"/>
    <w:link w:val="CommentSubjectChar"/>
    <w:uiPriority w:val="99"/>
    <w:semiHidden/>
    <w:unhideWhenUsed/>
    <w:rsid w:val="0061653D"/>
    <w:rPr>
      <w:rFonts w:ascii="Arial" w:hAnsi="Arial"/>
      <w:b/>
      <w:bCs/>
    </w:rPr>
  </w:style>
  <w:style w:type="character" w:customStyle="1" w:styleId="CommentSubjectChar">
    <w:name w:val="Comment Subject Char"/>
    <w:basedOn w:val="CommentTextChar"/>
    <w:link w:val="CommentSubject"/>
    <w:uiPriority w:val="99"/>
    <w:semiHidden/>
    <w:rsid w:val="0061653D"/>
    <w:rPr>
      <w:rFonts w:ascii="Arial" w:eastAsiaTheme="minorEastAsia" w:hAnsi="Arial"/>
      <w:b/>
      <w:bCs/>
      <w:sz w:val="20"/>
      <w:szCs w:val="20"/>
      <w:lang w:val="en-GB"/>
    </w:rPr>
  </w:style>
  <w:style w:type="paragraph" w:styleId="Revision">
    <w:name w:val="Revision"/>
    <w:hidden/>
    <w:uiPriority w:val="99"/>
    <w:semiHidden/>
    <w:rsid w:val="0061653D"/>
    <w:rPr>
      <w:rFonts w:ascii="Arial" w:hAnsi="Arial"/>
      <w:lang w:val="en-GB"/>
    </w:rPr>
  </w:style>
  <w:style w:type="paragraph" w:styleId="NormalWeb">
    <w:name w:val="Normal (Web)"/>
    <w:basedOn w:val="Normal"/>
    <w:uiPriority w:val="99"/>
    <w:unhideWhenUsed/>
    <w:rsid w:val="0061653D"/>
    <w:pPr>
      <w:spacing w:before="100" w:beforeAutospacing="1" w:after="100" w:afterAutospacing="1"/>
    </w:pPr>
    <w:rPr>
      <w:rFonts w:ascii="Times New Roman" w:eastAsia="Times New Roman" w:hAnsi="Times New Roman" w:cs="Times New Roman"/>
      <w:lang w:eastAsia="en-GB"/>
    </w:rPr>
  </w:style>
  <w:style w:type="character" w:styleId="Strong">
    <w:name w:val="Strong"/>
    <w:basedOn w:val="DefaultParagraphFont"/>
    <w:uiPriority w:val="22"/>
    <w:qFormat/>
    <w:rsid w:val="00D90E6F"/>
    <w:rPr>
      <w:b/>
      <w:bCs/>
      <w:color w:val="000000" w:themeColor="text1"/>
    </w:rPr>
  </w:style>
  <w:style w:type="character" w:customStyle="1" w:styleId="apple-converted-space">
    <w:name w:val="apple-converted-space"/>
    <w:basedOn w:val="DefaultParagraphFont"/>
    <w:rsid w:val="0061653D"/>
  </w:style>
  <w:style w:type="paragraph" w:styleId="Caption">
    <w:name w:val="caption"/>
    <w:basedOn w:val="Normal"/>
    <w:next w:val="Normal"/>
    <w:uiPriority w:val="35"/>
    <w:unhideWhenUsed/>
    <w:qFormat/>
    <w:rsid w:val="00D90E6F"/>
    <w:pPr>
      <w:spacing w:after="200" w:line="240" w:lineRule="auto"/>
    </w:pPr>
    <w:rPr>
      <w:i/>
      <w:iCs/>
      <w:color w:val="44546A" w:themeColor="text2"/>
      <w:sz w:val="18"/>
      <w:szCs w:val="18"/>
    </w:rPr>
  </w:style>
  <w:style w:type="character" w:styleId="Hyperlink">
    <w:name w:val="Hyperlink"/>
    <w:basedOn w:val="DefaultParagraphFont"/>
    <w:uiPriority w:val="99"/>
    <w:unhideWhenUsed/>
    <w:rsid w:val="0061653D"/>
    <w:rPr>
      <w:color w:val="0000FF"/>
      <w:u w:val="single"/>
    </w:rPr>
  </w:style>
  <w:style w:type="paragraph" w:styleId="Title">
    <w:name w:val="Title"/>
    <w:basedOn w:val="Normal"/>
    <w:next w:val="Normal"/>
    <w:link w:val="TitleChar"/>
    <w:uiPriority w:val="10"/>
    <w:qFormat/>
    <w:rsid w:val="00D90E6F"/>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sid w:val="00D90E6F"/>
    <w:rPr>
      <w:rFonts w:asciiTheme="majorHAnsi" w:eastAsiaTheme="majorEastAsia" w:hAnsiTheme="majorHAnsi" w:cstheme="majorBidi"/>
      <w:color w:val="000000" w:themeColor="text1"/>
      <w:sz w:val="56"/>
      <w:szCs w:val="56"/>
    </w:rPr>
  </w:style>
  <w:style w:type="paragraph" w:styleId="Subtitle">
    <w:name w:val="Subtitle"/>
    <w:basedOn w:val="Normal"/>
    <w:next w:val="Normal"/>
    <w:link w:val="SubtitleChar"/>
    <w:uiPriority w:val="11"/>
    <w:qFormat/>
    <w:rsid w:val="00D90E6F"/>
    <w:pPr>
      <w:numPr>
        <w:ilvl w:val="1"/>
      </w:numPr>
    </w:pPr>
    <w:rPr>
      <w:color w:val="5A5A5A" w:themeColor="text1" w:themeTint="A5"/>
      <w:spacing w:val="10"/>
    </w:rPr>
  </w:style>
  <w:style w:type="character" w:customStyle="1" w:styleId="SubtitleChar">
    <w:name w:val="Subtitle Char"/>
    <w:basedOn w:val="DefaultParagraphFont"/>
    <w:link w:val="Subtitle"/>
    <w:uiPriority w:val="11"/>
    <w:rsid w:val="00D90E6F"/>
    <w:rPr>
      <w:color w:val="5A5A5A" w:themeColor="text1" w:themeTint="A5"/>
      <w:spacing w:val="10"/>
    </w:rPr>
  </w:style>
  <w:style w:type="character" w:styleId="Emphasis">
    <w:name w:val="Emphasis"/>
    <w:basedOn w:val="DefaultParagraphFont"/>
    <w:uiPriority w:val="20"/>
    <w:qFormat/>
    <w:rsid w:val="00D90E6F"/>
    <w:rPr>
      <w:i/>
      <w:iCs/>
      <w:color w:val="auto"/>
    </w:rPr>
  </w:style>
  <w:style w:type="paragraph" w:styleId="NoSpacing">
    <w:name w:val="No Spacing"/>
    <w:uiPriority w:val="1"/>
    <w:qFormat/>
    <w:rsid w:val="00D90E6F"/>
    <w:pPr>
      <w:spacing w:after="0" w:line="240" w:lineRule="auto"/>
    </w:pPr>
  </w:style>
  <w:style w:type="paragraph" w:styleId="Quote">
    <w:name w:val="Quote"/>
    <w:basedOn w:val="Normal"/>
    <w:next w:val="Normal"/>
    <w:link w:val="QuoteChar"/>
    <w:uiPriority w:val="29"/>
    <w:qFormat/>
    <w:rsid w:val="00D90E6F"/>
    <w:pPr>
      <w:spacing w:before="160"/>
      <w:ind w:left="720" w:right="720"/>
    </w:pPr>
    <w:rPr>
      <w:i/>
      <w:iCs/>
      <w:color w:val="000000" w:themeColor="text1"/>
    </w:rPr>
  </w:style>
  <w:style w:type="character" w:customStyle="1" w:styleId="QuoteChar">
    <w:name w:val="Quote Char"/>
    <w:basedOn w:val="DefaultParagraphFont"/>
    <w:link w:val="Quote"/>
    <w:uiPriority w:val="29"/>
    <w:rsid w:val="00D90E6F"/>
    <w:rPr>
      <w:i/>
      <w:iCs/>
      <w:color w:val="000000" w:themeColor="text1"/>
    </w:rPr>
  </w:style>
  <w:style w:type="paragraph" w:styleId="IntenseQuote">
    <w:name w:val="Intense Quote"/>
    <w:basedOn w:val="Normal"/>
    <w:next w:val="Normal"/>
    <w:link w:val="IntenseQuoteChar"/>
    <w:uiPriority w:val="30"/>
    <w:qFormat/>
    <w:rsid w:val="00D90E6F"/>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D90E6F"/>
    <w:rPr>
      <w:color w:val="000000" w:themeColor="text1"/>
      <w:shd w:val="clear" w:color="auto" w:fill="F2F2F2" w:themeFill="background1" w:themeFillShade="F2"/>
    </w:rPr>
  </w:style>
  <w:style w:type="character" w:styleId="SubtleEmphasis">
    <w:name w:val="Subtle Emphasis"/>
    <w:basedOn w:val="DefaultParagraphFont"/>
    <w:uiPriority w:val="19"/>
    <w:qFormat/>
    <w:rsid w:val="00D90E6F"/>
    <w:rPr>
      <w:i/>
      <w:iCs/>
      <w:color w:val="404040" w:themeColor="text1" w:themeTint="BF"/>
    </w:rPr>
  </w:style>
  <w:style w:type="character" w:styleId="IntenseEmphasis">
    <w:name w:val="Intense Emphasis"/>
    <w:basedOn w:val="DefaultParagraphFont"/>
    <w:uiPriority w:val="21"/>
    <w:qFormat/>
    <w:rsid w:val="00D90E6F"/>
    <w:rPr>
      <w:b/>
      <w:bCs/>
      <w:i/>
      <w:iCs/>
      <w:caps/>
    </w:rPr>
  </w:style>
  <w:style w:type="character" w:styleId="SubtleReference">
    <w:name w:val="Subtle Reference"/>
    <w:basedOn w:val="DefaultParagraphFont"/>
    <w:uiPriority w:val="31"/>
    <w:qFormat/>
    <w:rsid w:val="00D90E6F"/>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D90E6F"/>
    <w:rPr>
      <w:b/>
      <w:bCs/>
      <w:smallCaps/>
      <w:u w:val="single"/>
    </w:rPr>
  </w:style>
  <w:style w:type="character" w:styleId="BookTitle">
    <w:name w:val="Book Title"/>
    <w:basedOn w:val="DefaultParagraphFont"/>
    <w:uiPriority w:val="33"/>
    <w:qFormat/>
    <w:rsid w:val="00D90E6F"/>
    <w:rPr>
      <w:b w:val="0"/>
      <w:bCs w:val="0"/>
      <w:smallCaps/>
      <w:spacing w:val="5"/>
    </w:rPr>
  </w:style>
  <w:style w:type="paragraph" w:styleId="TOCHeading">
    <w:name w:val="TOC Heading"/>
    <w:basedOn w:val="Heading1"/>
    <w:next w:val="Normal"/>
    <w:uiPriority w:val="39"/>
    <w:unhideWhenUsed/>
    <w:qFormat/>
    <w:rsid w:val="00D90E6F"/>
    <w:pPr>
      <w:numPr>
        <w:numId w:val="3"/>
      </w:numPr>
      <w:outlineLvl w:val="9"/>
    </w:pPr>
  </w:style>
  <w:style w:type="character" w:customStyle="1" w:styleId="UnresolvedMention1">
    <w:name w:val="Unresolved Mention1"/>
    <w:basedOn w:val="DefaultParagraphFont"/>
    <w:uiPriority w:val="99"/>
    <w:semiHidden/>
    <w:unhideWhenUsed/>
    <w:rsid w:val="0061653D"/>
    <w:rPr>
      <w:color w:val="605E5C"/>
      <w:shd w:val="clear" w:color="auto" w:fill="E1DFDD"/>
    </w:rPr>
  </w:style>
  <w:style w:type="character" w:customStyle="1" w:styleId="FootnoteTextChar">
    <w:name w:val="Footnote Text Char"/>
    <w:basedOn w:val="DefaultParagraphFont"/>
    <w:uiPriority w:val="99"/>
    <w:semiHidden/>
    <w:rsid w:val="00E30483"/>
    <w:rPr>
      <w:rFonts w:ascii="Times New Roman" w:hAnsi="Times New Roman"/>
      <w:szCs w:val="20"/>
    </w:rPr>
  </w:style>
  <w:style w:type="character" w:styleId="FootnoteReference">
    <w:name w:val="footnote reference"/>
    <w:basedOn w:val="DefaultParagraphFont"/>
    <w:uiPriority w:val="99"/>
    <w:semiHidden/>
    <w:unhideWhenUsed/>
    <w:rsid w:val="00E30483"/>
    <w:rPr>
      <w:vertAlign w:val="superscript"/>
    </w:rPr>
  </w:style>
  <w:style w:type="character" w:customStyle="1" w:styleId="FootnoteCharacters">
    <w:name w:val="Footnote Characters"/>
    <w:rsid w:val="00E30483"/>
  </w:style>
  <w:style w:type="character" w:customStyle="1" w:styleId="FootnoteAnchor">
    <w:name w:val="Footnote Anchor"/>
    <w:rsid w:val="00E30483"/>
    <w:rPr>
      <w:vertAlign w:val="superscript"/>
    </w:rPr>
  </w:style>
  <w:style w:type="character" w:customStyle="1" w:styleId="EndnoteAnchor">
    <w:name w:val="Endnote Anchor"/>
    <w:rsid w:val="00E30483"/>
    <w:rPr>
      <w:vertAlign w:val="superscript"/>
    </w:rPr>
  </w:style>
  <w:style w:type="character" w:customStyle="1" w:styleId="EndnoteCharacters">
    <w:name w:val="Endnote Characters"/>
    <w:rsid w:val="00E30483"/>
  </w:style>
  <w:style w:type="character" w:customStyle="1" w:styleId="HeaderChar">
    <w:name w:val="Header Char"/>
    <w:basedOn w:val="DefaultParagraphFont"/>
    <w:link w:val="Header"/>
    <w:uiPriority w:val="99"/>
    <w:qFormat/>
    <w:rsid w:val="00E30483"/>
    <w:rPr>
      <w:rFonts w:ascii="Calibri" w:eastAsia="Calibri" w:hAnsi="Calibri"/>
      <w:color w:val="00000A"/>
    </w:rPr>
  </w:style>
  <w:style w:type="paragraph" w:styleId="Header">
    <w:name w:val="header"/>
    <w:basedOn w:val="Normal"/>
    <w:link w:val="HeaderChar"/>
    <w:uiPriority w:val="99"/>
    <w:unhideWhenUsed/>
    <w:rsid w:val="00E30483"/>
    <w:pPr>
      <w:tabs>
        <w:tab w:val="center" w:pos="4680"/>
        <w:tab w:val="right" w:pos="9360"/>
      </w:tabs>
      <w:spacing w:after="0" w:line="240" w:lineRule="auto"/>
    </w:pPr>
    <w:rPr>
      <w:rFonts w:ascii="Calibri" w:eastAsia="Calibri" w:hAnsi="Calibri"/>
      <w:color w:val="00000A"/>
      <w:lang w:val="en-US"/>
    </w:rPr>
  </w:style>
  <w:style w:type="character" w:customStyle="1" w:styleId="FooterChar">
    <w:name w:val="Footer Char"/>
    <w:basedOn w:val="DefaultParagraphFont"/>
    <w:link w:val="Footer"/>
    <w:uiPriority w:val="99"/>
    <w:qFormat/>
    <w:rsid w:val="00E30483"/>
    <w:rPr>
      <w:rFonts w:ascii="Calibri" w:eastAsia="Calibri" w:hAnsi="Calibri"/>
      <w:color w:val="00000A"/>
    </w:rPr>
  </w:style>
  <w:style w:type="paragraph" w:styleId="Footer">
    <w:name w:val="footer"/>
    <w:basedOn w:val="Normal"/>
    <w:link w:val="FooterChar"/>
    <w:uiPriority w:val="99"/>
    <w:unhideWhenUsed/>
    <w:rsid w:val="00E30483"/>
    <w:pPr>
      <w:tabs>
        <w:tab w:val="center" w:pos="4680"/>
        <w:tab w:val="right" w:pos="9360"/>
      </w:tabs>
      <w:spacing w:after="0" w:line="240" w:lineRule="auto"/>
    </w:pPr>
    <w:rPr>
      <w:rFonts w:ascii="Calibri" w:eastAsia="Calibri" w:hAnsi="Calibri"/>
      <w:color w:val="00000A"/>
      <w:lang w:val="en-US"/>
    </w:rPr>
  </w:style>
  <w:style w:type="character" w:customStyle="1" w:styleId="ListLabel1">
    <w:name w:val="ListLabel 1"/>
    <w:rsid w:val="00E30483"/>
    <w:rPr>
      <w:rFonts w:cs="Courier New"/>
    </w:rPr>
  </w:style>
  <w:style w:type="character" w:customStyle="1" w:styleId="ListLabel2">
    <w:name w:val="ListLabel 2"/>
    <w:rsid w:val="00E30483"/>
    <w:rPr>
      <w:rFonts w:cs="Courier New"/>
    </w:rPr>
  </w:style>
  <w:style w:type="character" w:customStyle="1" w:styleId="ListLabel3">
    <w:name w:val="ListLabel 3"/>
    <w:rsid w:val="00E30483"/>
    <w:rPr>
      <w:rFonts w:cs="Courier New"/>
    </w:rPr>
  </w:style>
  <w:style w:type="character" w:customStyle="1" w:styleId="InternetLink">
    <w:name w:val="Internet Link"/>
    <w:rsid w:val="00E30483"/>
    <w:rPr>
      <w:color w:val="000080"/>
      <w:u w:val="single"/>
    </w:rPr>
  </w:style>
  <w:style w:type="character" w:customStyle="1" w:styleId="ListLabel4">
    <w:name w:val="ListLabel 4"/>
    <w:rsid w:val="00E30483"/>
    <w:rPr>
      <w:rFonts w:cs="Symbol"/>
    </w:rPr>
  </w:style>
  <w:style w:type="character" w:customStyle="1" w:styleId="ListLabel5">
    <w:name w:val="ListLabel 5"/>
    <w:rsid w:val="00E30483"/>
    <w:rPr>
      <w:rFonts w:cs="Courier New"/>
    </w:rPr>
  </w:style>
  <w:style w:type="character" w:customStyle="1" w:styleId="ListLabel6">
    <w:name w:val="ListLabel 6"/>
    <w:rsid w:val="00E30483"/>
    <w:rPr>
      <w:rFonts w:cs="Wingdings"/>
    </w:rPr>
  </w:style>
  <w:style w:type="character" w:customStyle="1" w:styleId="ListLabel7">
    <w:name w:val="ListLabel 7"/>
    <w:rsid w:val="00E30483"/>
    <w:rPr>
      <w:rFonts w:cs="Symbol"/>
    </w:rPr>
  </w:style>
  <w:style w:type="character" w:customStyle="1" w:styleId="ListLabel8">
    <w:name w:val="ListLabel 8"/>
    <w:rsid w:val="00E30483"/>
    <w:rPr>
      <w:rFonts w:cs="Courier New"/>
    </w:rPr>
  </w:style>
  <w:style w:type="character" w:customStyle="1" w:styleId="ListLabel9">
    <w:name w:val="ListLabel 9"/>
    <w:rsid w:val="00E30483"/>
    <w:rPr>
      <w:rFonts w:cs="Wingdings"/>
    </w:rPr>
  </w:style>
  <w:style w:type="character" w:customStyle="1" w:styleId="ListLabel10">
    <w:name w:val="ListLabel 10"/>
    <w:rsid w:val="00E30483"/>
    <w:rPr>
      <w:rFonts w:cs="Symbol"/>
    </w:rPr>
  </w:style>
  <w:style w:type="character" w:customStyle="1" w:styleId="ListLabel11">
    <w:name w:val="ListLabel 11"/>
    <w:rsid w:val="00E30483"/>
    <w:rPr>
      <w:rFonts w:cs="Courier New"/>
    </w:rPr>
  </w:style>
  <w:style w:type="character" w:customStyle="1" w:styleId="ListLabel12">
    <w:name w:val="ListLabel 12"/>
    <w:rsid w:val="00E30483"/>
    <w:rPr>
      <w:rFonts w:cs="Wingdings"/>
    </w:rPr>
  </w:style>
  <w:style w:type="character" w:customStyle="1" w:styleId="ListLabel13">
    <w:name w:val="ListLabel 13"/>
    <w:rsid w:val="00E30483"/>
    <w:rPr>
      <w:rFonts w:cs="Symbol"/>
    </w:rPr>
  </w:style>
  <w:style w:type="character" w:customStyle="1" w:styleId="ListLabel14">
    <w:name w:val="ListLabel 14"/>
    <w:rsid w:val="00E30483"/>
    <w:rPr>
      <w:rFonts w:cs="Courier New"/>
    </w:rPr>
  </w:style>
  <w:style w:type="character" w:customStyle="1" w:styleId="ListLabel15">
    <w:name w:val="ListLabel 15"/>
    <w:rsid w:val="00E30483"/>
    <w:rPr>
      <w:rFonts w:cs="Wingdings"/>
    </w:rPr>
  </w:style>
  <w:style w:type="character" w:customStyle="1" w:styleId="ListLabel16">
    <w:name w:val="ListLabel 16"/>
    <w:rsid w:val="00E30483"/>
    <w:rPr>
      <w:rFonts w:cs="Symbol"/>
    </w:rPr>
  </w:style>
  <w:style w:type="character" w:customStyle="1" w:styleId="ListLabel17">
    <w:name w:val="ListLabel 17"/>
    <w:rsid w:val="00E30483"/>
    <w:rPr>
      <w:rFonts w:cs="Courier New"/>
    </w:rPr>
  </w:style>
  <w:style w:type="character" w:customStyle="1" w:styleId="ListLabel18">
    <w:name w:val="ListLabel 18"/>
    <w:rsid w:val="00E30483"/>
    <w:rPr>
      <w:rFonts w:cs="Wingdings"/>
    </w:rPr>
  </w:style>
  <w:style w:type="character" w:customStyle="1" w:styleId="ListLabel19">
    <w:name w:val="ListLabel 19"/>
    <w:rsid w:val="00E30483"/>
    <w:rPr>
      <w:rFonts w:cs="Symbol"/>
    </w:rPr>
  </w:style>
  <w:style w:type="character" w:customStyle="1" w:styleId="ListLabel20">
    <w:name w:val="ListLabel 20"/>
    <w:rsid w:val="00E30483"/>
    <w:rPr>
      <w:rFonts w:cs="Courier New"/>
    </w:rPr>
  </w:style>
  <w:style w:type="character" w:customStyle="1" w:styleId="ListLabel21">
    <w:name w:val="ListLabel 21"/>
    <w:rsid w:val="00E30483"/>
    <w:rPr>
      <w:rFonts w:cs="Wingdings"/>
    </w:rPr>
  </w:style>
  <w:style w:type="character" w:customStyle="1" w:styleId="ListLabel22">
    <w:name w:val="ListLabel 22"/>
    <w:rsid w:val="00E30483"/>
    <w:rPr>
      <w:rFonts w:cs="Symbol"/>
    </w:rPr>
  </w:style>
  <w:style w:type="character" w:customStyle="1" w:styleId="ListLabel23">
    <w:name w:val="ListLabel 23"/>
    <w:rsid w:val="00E30483"/>
    <w:rPr>
      <w:rFonts w:cs="Courier New"/>
    </w:rPr>
  </w:style>
  <w:style w:type="character" w:customStyle="1" w:styleId="ListLabel24">
    <w:name w:val="ListLabel 24"/>
    <w:rsid w:val="00E30483"/>
    <w:rPr>
      <w:rFonts w:cs="Wingdings"/>
    </w:rPr>
  </w:style>
  <w:style w:type="character" w:customStyle="1" w:styleId="ListLabel25">
    <w:name w:val="ListLabel 25"/>
    <w:rsid w:val="00E30483"/>
    <w:rPr>
      <w:rFonts w:cs="Symbol"/>
    </w:rPr>
  </w:style>
  <w:style w:type="character" w:customStyle="1" w:styleId="ListLabel26">
    <w:name w:val="ListLabel 26"/>
    <w:rsid w:val="00E30483"/>
    <w:rPr>
      <w:rFonts w:cs="Courier New"/>
    </w:rPr>
  </w:style>
  <w:style w:type="character" w:customStyle="1" w:styleId="ListLabel27">
    <w:name w:val="ListLabel 27"/>
    <w:rsid w:val="00E30483"/>
    <w:rPr>
      <w:rFonts w:cs="Wingdings"/>
    </w:rPr>
  </w:style>
  <w:style w:type="character" w:customStyle="1" w:styleId="ListLabel28">
    <w:name w:val="ListLabel 28"/>
    <w:rsid w:val="00E30483"/>
    <w:rPr>
      <w:rFonts w:cs="Symbol"/>
    </w:rPr>
  </w:style>
  <w:style w:type="character" w:customStyle="1" w:styleId="ListLabel29">
    <w:name w:val="ListLabel 29"/>
    <w:rsid w:val="00E30483"/>
    <w:rPr>
      <w:rFonts w:cs="Courier New"/>
    </w:rPr>
  </w:style>
  <w:style w:type="character" w:customStyle="1" w:styleId="ListLabel30">
    <w:name w:val="ListLabel 30"/>
    <w:rsid w:val="00E30483"/>
    <w:rPr>
      <w:rFonts w:cs="Wingdings"/>
    </w:rPr>
  </w:style>
  <w:style w:type="paragraph" w:customStyle="1" w:styleId="Heading">
    <w:name w:val="Heading"/>
    <w:basedOn w:val="Normal"/>
    <w:next w:val="BodyText"/>
    <w:rsid w:val="00E30483"/>
    <w:pPr>
      <w:keepNext/>
      <w:spacing w:before="240" w:after="120"/>
    </w:pPr>
    <w:rPr>
      <w:rFonts w:ascii="Liberation Sans" w:eastAsia="WenQuanYi Micro Hei" w:hAnsi="Liberation Sans" w:cs="Lohit Devanagari"/>
      <w:sz w:val="28"/>
      <w:szCs w:val="28"/>
    </w:rPr>
  </w:style>
  <w:style w:type="paragraph" w:styleId="BodyText">
    <w:name w:val="Body Text"/>
    <w:basedOn w:val="Normal"/>
    <w:link w:val="BodyTextChar"/>
    <w:rsid w:val="00E30483"/>
    <w:pPr>
      <w:spacing w:after="140" w:line="288" w:lineRule="auto"/>
    </w:pPr>
  </w:style>
  <w:style w:type="character" w:customStyle="1" w:styleId="BodyTextChar">
    <w:name w:val="Body Text Char"/>
    <w:basedOn w:val="DefaultParagraphFont"/>
    <w:link w:val="BodyText"/>
    <w:rsid w:val="00E30483"/>
    <w:rPr>
      <w:lang w:val="en-GB"/>
    </w:rPr>
  </w:style>
  <w:style w:type="paragraph" w:styleId="List">
    <w:name w:val="List"/>
    <w:basedOn w:val="BodyText"/>
    <w:rsid w:val="00E30483"/>
    <w:rPr>
      <w:rFonts w:cs="Lohit Devanagari"/>
    </w:rPr>
  </w:style>
  <w:style w:type="paragraph" w:customStyle="1" w:styleId="Index">
    <w:name w:val="Index"/>
    <w:basedOn w:val="Normal"/>
    <w:rsid w:val="00E30483"/>
    <w:pPr>
      <w:suppressLineNumbers/>
    </w:pPr>
    <w:rPr>
      <w:rFonts w:cs="Lohit Devanagari"/>
    </w:rPr>
  </w:style>
  <w:style w:type="paragraph" w:customStyle="1" w:styleId="TableContents">
    <w:name w:val="Table Contents"/>
    <w:basedOn w:val="Normal"/>
    <w:rsid w:val="00E30483"/>
  </w:style>
  <w:style w:type="paragraph" w:customStyle="1" w:styleId="TableHeading">
    <w:name w:val="Table Heading"/>
    <w:basedOn w:val="TableContents"/>
    <w:rsid w:val="00E30483"/>
  </w:style>
  <w:style w:type="paragraph" w:styleId="FootnoteText">
    <w:name w:val="footnote text"/>
    <w:basedOn w:val="Normal"/>
    <w:link w:val="FootnoteTextChar1"/>
    <w:uiPriority w:val="99"/>
    <w:rsid w:val="00E30483"/>
  </w:style>
  <w:style w:type="character" w:customStyle="1" w:styleId="FootnoteTextChar1">
    <w:name w:val="Footnote Text Char1"/>
    <w:basedOn w:val="DefaultParagraphFont"/>
    <w:link w:val="FootnoteText"/>
    <w:rsid w:val="00E30483"/>
    <w:rPr>
      <w:lang w:val="en-GB"/>
    </w:rPr>
  </w:style>
  <w:style w:type="character" w:customStyle="1" w:styleId="HeaderChar1">
    <w:name w:val="Header Char1"/>
    <w:basedOn w:val="DefaultParagraphFont"/>
    <w:uiPriority w:val="99"/>
    <w:semiHidden/>
    <w:rsid w:val="00E30483"/>
    <w:rPr>
      <w:lang w:val="en-GB"/>
    </w:rPr>
  </w:style>
  <w:style w:type="character" w:customStyle="1" w:styleId="FooterChar1">
    <w:name w:val="Footer Char1"/>
    <w:basedOn w:val="DefaultParagraphFont"/>
    <w:uiPriority w:val="99"/>
    <w:semiHidden/>
    <w:rsid w:val="00E30483"/>
    <w:rPr>
      <w:lang w:val="en-GB"/>
    </w:rPr>
  </w:style>
  <w:style w:type="table" w:styleId="TableGrid">
    <w:name w:val="Table Grid"/>
    <w:basedOn w:val="TableNormal"/>
    <w:uiPriority w:val="39"/>
    <w:rsid w:val="00E30483"/>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basedOn w:val="DefaultParagraphFont"/>
    <w:uiPriority w:val="99"/>
    <w:semiHidden/>
    <w:unhideWhenUsed/>
    <w:rsid w:val="00E30483"/>
    <w:rPr>
      <w:vertAlign w:val="superscript"/>
    </w:rPr>
  </w:style>
  <w:style w:type="paragraph" w:styleId="EndnoteText">
    <w:name w:val="endnote text"/>
    <w:basedOn w:val="Normal"/>
    <w:link w:val="EndnoteTextChar"/>
    <w:uiPriority w:val="99"/>
    <w:semiHidden/>
    <w:unhideWhenUsed/>
    <w:rsid w:val="00E3048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30483"/>
    <w:rPr>
      <w:sz w:val="20"/>
      <w:szCs w:val="20"/>
      <w:lang w:val="en-GB"/>
    </w:rPr>
  </w:style>
  <w:style w:type="character" w:customStyle="1" w:styleId="fn-label">
    <w:name w:val="fn-label"/>
    <w:basedOn w:val="DefaultParagraphFont"/>
    <w:rsid w:val="00E30483"/>
  </w:style>
  <w:style w:type="character" w:customStyle="1" w:styleId="normaltextrun">
    <w:name w:val="normaltextrun"/>
    <w:basedOn w:val="DefaultParagraphFont"/>
    <w:rsid w:val="00E30483"/>
  </w:style>
  <w:style w:type="character" w:customStyle="1" w:styleId="eop">
    <w:name w:val="eop"/>
    <w:basedOn w:val="DefaultParagraphFont"/>
    <w:rsid w:val="00E30483"/>
  </w:style>
  <w:style w:type="character" w:customStyle="1" w:styleId="HTMLPreformattedChar">
    <w:name w:val="HTML Preformatted Char"/>
    <w:basedOn w:val="DefaultParagraphFont"/>
    <w:link w:val="HTMLPreformatted"/>
    <w:uiPriority w:val="99"/>
    <w:semiHidden/>
    <w:rsid w:val="00646664"/>
    <w:rPr>
      <w:rFonts w:ascii="Courier New" w:eastAsia="Times New Roman" w:hAnsi="Courier New" w:cs="Courier New"/>
      <w:sz w:val="20"/>
      <w:szCs w:val="20"/>
      <w:lang w:val="en-GB" w:eastAsia="en-GB"/>
    </w:rPr>
  </w:style>
  <w:style w:type="paragraph" w:styleId="HTMLPreformatted">
    <w:name w:val="HTML Preformatted"/>
    <w:basedOn w:val="Normal"/>
    <w:link w:val="HTMLPreformattedChar"/>
    <w:uiPriority w:val="99"/>
    <w:semiHidden/>
    <w:unhideWhenUsed/>
    <w:rsid w:val="006466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paragraph" w:customStyle="1" w:styleId="Default">
    <w:name w:val="Default"/>
    <w:rsid w:val="006211D2"/>
    <w:pPr>
      <w:autoSpaceDE w:val="0"/>
      <w:autoSpaceDN w:val="0"/>
      <w:adjustRightInd w:val="0"/>
      <w:spacing w:after="0" w:line="240" w:lineRule="auto"/>
    </w:pPr>
    <w:rPr>
      <w:rFonts w:ascii="Arial" w:hAnsi="Arial" w:cs="Arial"/>
      <w:color w:val="000000"/>
      <w:sz w:val="24"/>
      <w:szCs w:val="24"/>
      <w:lang w:val="en-GB"/>
    </w:rPr>
  </w:style>
  <w:style w:type="character" w:styleId="FollowedHyperlink">
    <w:name w:val="FollowedHyperlink"/>
    <w:basedOn w:val="DefaultParagraphFont"/>
    <w:uiPriority w:val="99"/>
    <w:semiHidden/>
    <w:unhideWhenUsed/>
    <w:rsid w:val="006211D2"/>
    <w:rPr>
      <w:color w:val="954F72" w:themeColor="followedHyperlink"/>
      <w:u w:val="single"/>
    </w:rPr>
  </w:style>
  <w:style w:type="paragraph" w:customStyle="1" w:styleId="gen-content">
    <w:name w:val="gen-content"/>
    <w:basedOn w:val="Normal"/>
    <w:rsid w:val="00372D5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OC1">
    <w:name w:val="toc 1"/>
    <w:basedOn w:val="Normal"/>
    <w:next w:val="Normal"/>
    <w:autoRedefine/>
    <w:uiPriority w:val="39"/>
    <w:unhideWhenUsed/>
    <w:rsid w:val="00145A20"/>
    <w:pPr>
      <w:tabs>
        <w:tab w:val="right" w:leader="dot" w:pos="9905"/>
      </w:tabs>
      <w:spacing w:after="100"/>
    </w:pPr>
    <w:rPr>
      <w:rFonts w:asciiTheme="majorBidi" w:hAnsiTheme="majorBidi"/>
      <w:noProof/>
      <w:shd w:val="clear" w:color="auto" w:fill="FFFFFF"/>
    </w:rPr>
  </w:style>
  <w:style w:type="paragraph" w:styleId="TOC2">
    <w:name w:val="toc 2"/>
    <w:basedOn w:val="Normal"/>
    <w:next w:val="Normal"/>
    <w:autoRedefine/>
    <w:uiPriority w:val="39"/>
    <w:unhideWhenUsed/>
    <w:rsid w:val="00F712B2"/>
    <w:pPr>
      <w:spacing w:after="100"/>
      <w:ind w:left="220"/>
    </w:pPr>
  </w:style>
  <w:style w:type="paragraph" w:styleId="TOC3">
    <w:name w:val="toc 3"/>
    <w:basedOn w:val="Normal"/>
    <w:next w:val="Normal"/>
    <w:autoRedefine/>
    <w:uiPriority w:val="39"/>
    <w:unhideWhenUsed/>
    <w:rsid w:val="00F712B2"/>
    <w:pPr>
      <w:spacing w:after="100"/>
      <w:ind w:left="440"/>
    </w:pPr>
  </w:style>
  <w:style w:type="paragraph" w:styleId="TOC4">
    <w:name w:val="toc 4"/>
    <w:basedOn w:val="Normal"/>
    <w:next w:val="Normal"/>
    <w:autoRedefine/>
    <w:uiPriority w:val="39"/>
    <w:unhideWhenUsed/>
    <w:rsid w:val="00067319"/>
    <w:pPr>
      <w:spacing w:after="100" w:line="259" w:lineRule="auto"/>
      <w:ind w:left="660"/>
    </w:pPr>
    <w:rPr>
      <w:lang w:eastAsia="en-GB"/>
    </w:rPr>
  </w:style>
  <w:style w:type="paragraph" w:styleId="TOC5">
    <w:name w:val="toc 5"/>
    <w:basedOn w:val="Normal"/>
    <w:next w:val="Normal"/>
    <w:autoRedefine/>
    <w:uiPriority w:val="39"/>
    <w:unhideWhenUsed/>
    <w:rsid w:val="00067319"/>
    <w:pPr>
      <w:spacing w:after="100" w:line="259" w:lineRule="auto"/>
      <w:ind w:left="880"/>
    </w:pPr>
    <w:rPr>
      <w:lang w:eastAsia="en-GB"/>
    </w:rPr>
  </w:style>
  <w:style w:type="paragraph" w:styleId="TOC6">
    <w:name w:val="toc 6"/>
    <w:basedOn w:val="Normal"/>
    <w:next w:val="Normal"/>
    <w:autoRedefine/>
    <w:uiPriority w:val="39"/>
    <w:unhideWhenUsed/>
    <w:rsid w:val="00067319"/>
    <w:pPr>
      <w:spacing w:after="100" w:line="259" w:lineRule="auto"/>
      <w:ind w:left="1100"/>
    </w:pPr>
    <w:rPr>
      <w:lang w:eastAsia="en-GB"/>
    </w:rPr>
  </w:style>
  <w:style w:type="paragraph" w:styleId="TOC7">
    <w:name w:val="toc 7"/>
    <w:basedOn w:val="Normal"/>
    <w:next w:val="Normal"/>
    <w:autoRedefine/>
    <w:uiPriority w:val="39"/>
    <w:unhideWhenUsed/>
    <w:rsid w:val="00067319"/>
    <w:pPr>
      <w:spacing w:after="100" w:line="259" w:lineRule="auto"/>
      <w:ind w:left="1320"/>
    </w:pPr>
    <w:rPr>
      <w:lang w:eastAsia="en-GB"/>
    </w:rPr>
  </w:style>
  <w:style w:type="paragraph" w:styleId="TOC8">
    <w:name w:val="toc 8"/>
    <w:basedOn w:val="Normal"/>
    <w:next w:val="Normal"/>
    <w:autoRedefine/>
    <w:uiPriority w:val="39"/>
    <w:unhideWhenUsed/>
    <w:rsid w:val="00067319"/>
    <w:pPr>
      <w:spacing w:after="100" w:line="259" w:lineRule="auto"/>
      <w:ind w:left="1540"/>
    </w:pPr>
    <w:rPr>
      <w:lang w:eastAsia="en-GB"/>
    </w:rPr>
  </w:style>
  <w:style w:type="paragraph" w:styleId="TOC9">
    <w:name w:val="toc 9"/>
    <w:basedOn w:val="Normal"/>
    <w:next w:val="Normal"/>
    <w:autoRedefine/>
    <w:uiPriority w:val="39"/>
    <w:unhideWhenUsed/>
    <w:rsid w:val="00067319"/>
    <w:pPr>
      <w:spacing w:after="100" w:line="259" w:lineRule="auto"/>
      <w:ind w:left="1760"/>
    </w:pPr>
    <w:rPr>
      <w:lang w:eastAsia="en-GB"/>
    </w:rPr>
  </w:style>
  <w:style w:type="character" w:customStyle="1" w:styleId="UnresolvedMention">
    <w:name w:val="Unresolved Mention"/>
    <w:basedOn w:val="DefaultParagraphFont"/>
    <w:uiPriority w:val="99"/>
    <w:semiHidden/>
    <w:unhideWhenUsed/>
    <w:rsid w:val="00067319"/>
    <w:rPr>
      <w:color w:val="605E5C"/>
      <w:shd w:val="clear" w:color="auto" w:fill="E1DFDD"/>
    </w:rPr>
  </w:style>
  <w:style w:type="paragraph" w:styleId="TableofFigures">
    <w:name w:val="table of figures"/>
    <w:basedOn w:val="Normal"/>
    <w:next w:val="Normal"/>
    <w:uiPriority w:val="99"/>
    <w:unhideWhenUsed/>
    <w:rsid w:val="007F2AE9"/>
    <w:pPr>
      <w:spacing w:after="0"/>
    </w:pPr>
  </w:style>
  <w:style w:type="paragraph" w:customStyle="1" w:styleId="AppendixC">
    <w:name w:val="Appendix C"/>
    <w:basedOn w:val="AppendixA"/>
    <w:qFormat/>
    <w:rsid w:val="00663CD6"/>
    <w:pPr>
      <w:numPr>
        <w:numId w:val="14"/>
      </w:numPr>
    </w:pPr>
  </w:style>
  <w:style w:type="paragraph" w:customStyle="1" w:styleId="AppendixD">
    <w:name w:val="Appendix D"/>
    <w:basedOn w:val="AppendixA"/>
    <w:qFormat/>
    <w:rsid w:val="00706AE7"/>
    <w:pPr>
      <w:numPr>
        <w:numId w:val="15"/>
      </w:numPr>
    </w:pPr>
  </w:style>
  <w:style w:type="paragraph" w:customStyle="1" w:styleId="AppendixA">
    <w:name w:val="Appendix A"/>
    <w:basedOn w:val="Heading2"/>
    <w:qFormat/>
    <w:rsid w:val="005B6A5D"/>
    <w:pPr>
      <w:numPr>
        <w:ilvl w:val="0"/>
        <w:numId w:val="9"/>
      </w:numPr>
    </w:pPr>
  </w:style>
  <w:style w:type="paragraph" w:customStyle="1" w:styleId="AppendixB">
    <w:name w:val="Appendix B"/>
    <w:basedOn w:val="AppendixA"/>
    <w:qFormat/>
    <w:rsid w:val="005B6A5D"/>
    <w:pPr>
      <w:numPr>
        <w:numId w:val="10"/>
      </w:numPr>
    </w:pPr>
  </w:style>
  <w:style w:type="numbering" w:customStyle="1" w:styleId="Singlepunch">
    <w:name w:val="Single punch"/>
    <w:rsid w:val="003B7CCB"/>
    <w:pPr>
      <w:numPr>
        <w:numId w:val="11"/>
      </w:numPr>
    </w:pPr>
  </w:style>
  <w:style w:type="paragraph" w:customStyle="1" w:styleId="IntroductionHeader">
    <w:name w:val="Introduction Header"/>
    <w:basedOn w:val="Normal"/>
    <w:next w:val="Normal"/>
    <w:link w:val="IntroductionHeaderChar"/>
    <w:rsid w:val="003B7CCB"/>
    <w:pPr>
      <w:spacing w:before="100" w:beforeAutospacing="1" w:after="100" w:afterAutospacing="1" w:line="240" w:lineRule="auto"/>
    </w:pPr>
    <w:rPr>
      <w:rFonts w:ascii="Arial" w:eastAsia="Times New Roman" w:hAnsi="Arial" w:cs="Arial"/>
      <w:b/>
      <w:color w:val="FF0066"/>
      <w:kern w:val="36"/>
      <w:sz w:val="48"/>
      <w:szCs w:val="48"/>
      <w:lang w:eastAsia="en-GB"/>
    </w:rPr>
  </w:style>
  <w:style w:type="character" w:customStyle="1" w:styleId="IntroductionHeaderChar">
    <w:name w:val="Introduction Header Char"/>
    <w:basedOn w:val="Heading1Char"/>
    <w:link w:val="IntroductionHeader"/>
    <w:rsid w:val="003B7CCB"/>
    <w:rPr>
      <w:rFonts w:ascii="Arial" w:eastAsia="Times New Roman" w:hAnsi="Arial" w:cs="Arial"/>
      <w:b/>
      <w:bCs w:val="0"/>
      <w:smallCaps w:val="0"/>
      <w:color w:val="FF0066"/>
      <w:kern w:val="36"/>
      <w:sz w:val="48"/>
      <w:szCs w:val="48"/>
      <w:lang w:val="en-GB" w:eastAsia="en-GB"/>
    </w:rPr>
  </w:style>
  <w:style w:type="paragraph" w:styleId="PlainText">
    <w:name w:val="Plain Text"/>
    <w:basedOn w:val="Normal"/>
    <w:link w:val="PlainTextChar"/>
    <w:uiPriority w:val="99"/>
    <w:semiHidden/>
    <w:unhideWhenUsed/>
    <w:rsid w:val="003B7CCB"/>
    <w:pPr>
      <w:spacing w:after="0" w:line="240" w:lineRule="auto"/>
    </w:pPr>
    <w:rPr>
      <w:rFonts w:ascii="Calibri" w:eastAsiaTheme="minorHAnsi" w:hAnsi="Calibri"/>
      <w:szCs w:val="21"/>
    </w:rPr>
  </w:style>
  <w:style w:type="character" w:customStyle="1" w:styleId="PlainTextChar">
    <w:name w:val="Plain Text Char"/>
    <w:basedOn w:val="DefaultParagraphFont"/>
    <w:link w:val="PlainText"/>
    <w:uiPriority w:val="99"/>
    <w:semiHidden/>
    <w:rsid w:val="003B7CCB"/>
    <w:rPr>
      <w:rFonts w:ascii="Calibri" w:eastAsiaTheme="minorHAnsi" w:hAnsi="Calibri"/>
      <w:szCs w:val="21"/>
      <w:lang w:val="en-GB"/>
    </w:rPr>
  </w:style>
  <w:style w:type="paragraph" w:customStyle="1" w:styleId="bodytext0">
    <w:name w:val="bodytext"/>
    <w:basedOn w:val="Normal"/>
    <w:rsid w:val="00F1508E"/>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AppendixE">
    <w:name w:val="Appendix E"/>
    <w:basedOn w:val="AppendixD"/>
    <w:qFormat/>
    <w:rsid w:val="007A529B"/>
    <w:pPr>
      <w:numPr>
        <w:numId w:val="17"/>
      </w:numPr>
      <w:ind w:left="357" w:hanging="357"/>
    </w:pPr>
  </w:style>
  <w:style w:type="character" w:customStyle="1" w:styleId="ref-lnk">
    <w:name w:val="ref-lnk"/>
    <w:basedOn w:val="DefaultParagraphFont"/>
    <w:rsid w:val="007D1C43"/>
  </w:style>
  <w:style w:type="character" w:customStyle="1" w:styleId="ref-overlay">
    <w:name w:val="ref-overlay"/>
    <w:basedOn w:val="DefaultParagraphFont"/>
    <w:rsid w:val="007D1C43"/>
  </w:style>
  <w:style w:type="character" w:customStyle="1" w:styleId="nlmyear">
    <w:name w:val="nlm_year"/>
    <w:basedOn w:val="DefaultParagraphFont"/>
    <w:rsid w:val="007D1C43"/>
  </w:style>
  <w:style w:type="character" w:customStyle="1" w:styleId="nlmarticle-title">
    <w:name w:val="nlm_article-title"/>
    <w:basedOn w:val="DefaultParagraphFont"/>
    <w:rsid w:val="007D1C43"/>
  </w:style>
  <w:style w:type="character" w:customStyle="1" w:styleId="ref-links">
    <w:name w:val="ref-links"/>
    <w:basedOn w:val="DefaultParagraphFont"/>
    <w:rsid w:val="007D1C43"/>
  </w:style>
  <w:style w:type="character" w:customStyle="1" w:styleId="xlinks-container">
    <w:name w:val="xlinks-container"/>
    <w:basedOn w:val="DefaultParagraphFont"/>
    <w:rsid w:val="007D1C43"/>
  </w:style>
  <w:style w:type="character" w:customStyle="1" w:styleId="googlescholar-container">
    <w:name w:val="googlescholar-container"/>
    <w:basedOn w:val="DefaultParagraphFont"/>
    <w:rsid w:val="007D1C43"/>
  </w:style>
  <w:style w:type="character" w:customStyle="1" w:styleId="hlfld-contribauthor">
    <w:name w:val="hlfld-contribauthor"/>
    <w:basedOn w:val="DefaultParagraphFont"/>
    <w:rsid w:val="007D1C43"/>
  </w:style>
  <w:style w:type="character" w:customStyle="1" w:styleId="nlmgiven-names">
    <w:name w:val="nlm_given-names"/>
    <w:basedOn w:val="DefaultParagraphFont"/>
    <w:rsid w:val="007D1C43"/>
  </w:style>
  <w:style w:type="character" w:customStyle="1" w:styleId="nlmpublisher-name">
    <w:name w:val="nlm_publisher-name"/>
    <w:basedOn w:val="DefaultParagraphFont"/>
    <w:rsid w:val="007D1C43"/>
  </w:style>
  <w:style w:type="character" w:customStyle="1" w:styleId="nlmpublisher-loc">
    <w:name w:val="nlm_publisher-loc"/>
    <w:basedOn w:val="DefaultParagraphFont"/>
    <w:rsid w:val="007D1C43"/>
  </w:style>
  <w:style w:type="character" w:customStyle="1" w:styleId="nlmfpage">
    <w:name w:val="nlm_fpage"/>
    <w:basedOn w:val="DefaultParagraphFont"/>
    <w:rsid w:val="007D1C43"/>
  </w:style>
  <w:style w:type="character" w:customStyle="1" w:styleId="nlmlpage">
    <w:name w:val="nlm_lpage"/>
    <w:basedOn w:val="DefaultParagraphFont"/>
    <w:rsid w:val="007D1C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0251908">
      <w:bodyDiv w:val="1"/>
      <w:marLeft w:val="0"/>
      <w:marRight w:val="0"/>
      <w:marTop w:val="0"/>
      <w:marBottom w:val="0"/>
      <w:divBdr>
        <w:top w:val="none" w:sz="0" w:space="0" w:color="auto"/>
        <w:left w:val="none" w:sz="0" w:space="0" w:color="auto"/>
        <w:bottom w:val="none" w:sz="0" w:space="0" w:color="auto"/>
        <w:right w:val="none" w:sz="0" w:space="0" w:color="auto"/>
      </w:divBdr>
    </w:div>
    <w:div w:id="777019409">
      <w:bodyDiv w:val="1"/>
      <w:marLeft w:val="0"/>
      <w:marRight w:val="0"/>
      <w:marTop w:val="0"/>
      <w:marBottom w:val="0"/>
      <w:divBdr>
        <w:top w:val="none" w:sz="0" w:space="0" w:color="auto"/>
        <w:left w:val="none" w:sz="0" w:space="0" w:color="auto"/>
        <w:bottom w:val="none" w:sz="0" w:space="0" w:color="auto"/>
        <w:right w:val="none" w:sz="0" w:space="0" w:color="auto"/>
      </w:divBdr>
    </w:div>
    <w:div w:id="1092628369">
      <w:bodyDiv w:val="1"/>
      <w:marLeft w:val="0"/>
      <w:marRight w:val="0"/>
      <w:marTop w:val="0"/>
      <w:marBottom w:val="0"/>
      <w:divBdr>
        <w:top w:val="none" w:sz="0" w:space="0" w:color="auto"/>
        <w:left w:val="none" w:sz="0" w:space="0" w:color="auto"/>
        <w:bottom w:val="none" w:sz="0" w:space="0" w:color="auto"/>
        <w:right w:val="none" w:sz="0" w:space="0" w:color="auto"/>
      </w:divBdr>
    </w:div>
    <w:div w:id="1414661048">
      <w:bodyDiv w:val="1"/>
      <w:marLeft w:val="0"/>
      <w:marRight w:val="0"/>
      <w:marTop w:val="0"/>
      <w:marBottom w:val="0"/>
      <w:divBdr>
        <w:top w:val="none" w:sz="0" w:space="0" w:color="auto"/>
        <w:left w:val="none" w:sz="0" w:space="0" w:color="auto"/>
        <w:bottom w:val="none" w:sz="0" w:space="0" w:color="auto"/>
        <w:right w:val="none" w:sz="0" w:space="0" w:color="auto"/>
      </w:divBdr>
    </w:div>
    <w:div w:id="1842503353">
      <w:bodyDiv w:val="1"/>
      <w:marLeft w:val="0"/>
      <w:marRight w:val="0"/>
      <w:marTop w:val="0"/>
      <w:marBottom w:val="0"/>
      <w:divBdr>
        <w:top w:val="none" w:sz="0" w:space="0" w:color="auto"/>
        <w:left w:val="none" w:sz="0" w:space="0" w:color="auto"/>
        <w:bottom w:val="none" w:sz="0" w:space="0" w:color="auto"/>
        <w:right w:val="none" w:sz="0" w:space="0" w:color="auto"/>
      </w:divBdr>
    </w:div>
    <w:div w:id="2025282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1.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hyperlink" Target="http://www.samaritans.org/" TargetMode="External"/><Relationship Id="rId16" Type="http://schemas.openxmlformats.org/officeDocument/2006/relationships/image" Target="media/image7.png"/><Relationship Id="rId107" Type="http://schemas.openxmlformats.org/officeDocument/2006/relationships/image" Target="media/image88.png"/><Relationship Id="rId11" Type="http://schemas.openxmlformats.org/officeDocument/2006/relationships/image" Target="media/image2.png"/><Relationship Id="rId32" Type="http://schemas.openxmlformats.org/officeDocument/2006/relationships/hyperlink" Target="http://www.cyberpsych.org/eliza" TargetMode="External"/><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3.png"/><Relationship Id="rId123" Type="http://schemas.openxmlformats.org/officeDocument/2006/relationships/image" Target="media/image104.png"/><Relationship Id="rId128" Type="http://schemas.openxmlformats.org/officeDocument/2006/relationships/hyperlink" Target="https://youtu.be/djTNx0-z8QI" TargetMode="External"/><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image" Target="media/image12.png"/><Relationship Id="rId27" Type="http://schemas.openxmlformats.org/officeDocument/2006/relationships/chart" Target="charts/chart3.xml"/><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4.png"/><Relationship Id="rId118" Type="http://schemas.openxmlformats.org/officeDocument/2006/relationships/image" Target="media/image99.png"/><Relationship Id="rId134" Type="http://schemas.microsoft.com/office/2016/09/relationships/commentsIds" Target="commentsIds.xml"/><Relationship Id="rId80" Type="http://schemas.openxmlformats.org/officeDocument/2006/relationships/image" Target="media/image66.png"/><Relationship Id="rId85" Type="http://schemas.openxmlformats.org/officeDocument/2006/relationships/hyperlink" Target="http://www.mind.org.uk/" TargetMode="External"/><Relationship Id="rId12" Type="http://schemas.openxmlformats.org/officeDocument/2006/relationships/image" Target="media/image3.jpeg"/><Relationship Id="rId17" Type="http://schemas.openxmlformats.org/officeDocument/2006/relationships/chart" Target="charts/chart1.xml"/><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5.png"/><Relationship Id="rId129" Type="http://schemas.openxmlformats.org/officeDocument/2006/relationships/hyperlink" Target="mailto:m.bennion@sheffield.ac.uk" TargetMode="External"/><Relationship Id="rId54" Type="http://schemas.openxmlformats.org/officeDocument/2006/relationships/image" Target="media/image41.png"/><Relationship Id="rId70" Type="http://schemas.openxmlformats.org/officeDocument/2006/relationships/hyperlink" Target="mailto:m.bennion@sheffield.ac.uk" TargetMode="External"/><Relationship Id="rId75" Type="http://schemas.openxmlformats.org/officeDocument/2006/relationships/image" Target="media/image61.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95.png"/><Relationship Id="rId119" Type="http://schemas.openxmlformats.org/officeDocument/2006/relationships/image" Target="media/image100.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7.png"/><Relationship Id="rId86" Type="http://schemas.openxmlformats.org/officeDocument/2006/relationships/hyperlink" Target="https://youtu.be/djTNx0-z8QI" TargetMode="External"/><Relationship Id="rId130" Type="http://schemas.openxmlformats.org/officeDocument/2006/relationships/hyperlink" Target="mailto:s.kellet@sheffield.ac.uk" TargetMode="External"/><Relationship Id="rId135" Type="http://schemas.microsoft.com/office/2011/relationships/commentsExtended" Target="commentsExtended.xm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6.png"/><Relationship Id="rId109" Type="http://schemas.openxmlformats.org/officeDocument/2006/relationships/image" Target="media/image90.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hyperlink" Target="mailto:m.bennion@sheffield.ac.uk" TargetMode="External"/><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fontTable" Target="fontTable.xml"/><Relationship Id="rId61" Type="http://schemas.openxmlformats.org/officeDocument/2006/relationships/image" Target="media/image48.png"/><Relationship Id="rId82" Type="http://schemas.openxmlformats.org/officeDocument/2006/relationships/image" Target="media/image68.png"/><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3.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hyperlink" Target="http://www.samaritans.org/" TargetMode="Externa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97.png"/><Relationship Id="rId20" Type="http://schemas.openxmlformats.org/officeDocument/2006/relationships/image" Target="media/image10.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9.png"/><Relationship Id="rId88" Type="http://schemas.openxmlformats.org/officeDocument/2006/relationships/hyperlink" Target="mailto:a.millings@sheffield.ac.uk" TargetMode="External"/><Relationship Id="rId111" Type="http://schemas.openxmlformats.org/officeDocument/2006/relationships/image" Target="media/image92.png"/><Relationship Id="rId132"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87.png"/><Relationship Id="rId127" Type="http://schemas.openxmlformats.org/officeDocument/2006/relationships/hyperlink" Target="http://www.mind.org.uk/" TargetMode="External"/><Relationship Id="rId10" Type="http://schemas.openxmlformats.org/officeDocument/2006/relationships/footer" Target="footer1.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chart" Target="charts/chart2.xml"/><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0.png"/><Relationship Id="rId112" Type="http://schemas.openxmlformats.org/officeDocument/2006/relationships/image" Target="media/image93.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matth\Desktop\Thesis\Chapter%204%20-%20NHS%20Service%20Provision%20Panorama%20Part%203%20(Meta-Analysis%20of%20NHS%20e-therapies)\Study%20Data\Meta%20Analysis\1%20Meta-Essentials%20Effect%20size%20data%201.1%20-%20Control%20Post.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9831583552056E-2"/>
          <c:y val="0.209325396825397"/>
          <c:w val="0.32291666666666702"/>
          <c:h val="0.55357142857142905"/>
        </c:manualLayout>
      </c:layout>
      <c:pieChart>
        <c:varyColors val="1"/>
        <c:ser>
          <c:idx val="0"/>
          <c:order val="0"/>
          <c:tx>
            <c:strRef>
              <c:f>Sheet1!$B$1</c:f>
              <c:strCache>
                <c:ptCount val="1"/>
                <c:pt idx="0">
                  <c:v>Column1</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247-4D2C-8AE9-5FF287D0C79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247-4D2C-8AE9-5FF287D0C797}"/>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247-4D2C-8AE9-5FF287D0C797}"/>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247-4D2C-8AE9-5FF287D0C797}"/>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2247-4D2C-8AE9-5FF287D0C797}"/>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2247-4D2C-8AE9-5FF287D0C797}"/>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2247-4D2C-8AE9-5FF287D0C797}"/>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2247-4D2C-8AE9-5FF287D0C797}"/>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2247-4D2C-8AE9-5FF287D0C797}"/>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2247-4D2C-8AE9-5FF287D0C797}"/>
              </c:ext>
            </c:extLst>
          </c:dPt>
          <c:dLbls>
            <c:dLbl>
              <c:idx val="0"/>
              <c:layout>
                <c:manualLayout>
                  <c:x val="-6.0185185185185203E-2"/>
                  <c:y val="-0.24206349206349201"/>
                </c:manualLayout>
              </c:layout>
              <c:dLblPos val="bestFit"/>
              <c:showLegendKey val="0"/>
              <c:showVal val="1"/>
              <c:showCatName val="0"/>
              <c:showSerName val="0"/>
              <c:showPercent val="1"/>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247-4D2C-8AE9-5FF287D0C79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1"/>
            <c:showBubbleSize val="0"/>
            <c:separator>, </c:separator>
            <c:showLeaderLines val="0"/>
            <c:extLst xmlns:c16r2="http://schemas.microsoft.com/office/drawing/2015/06/chart">
              <c:ext xmlns:c15="http://schemas.microsoft.com/office/drawing/2012/chart" uri="{CE6537A1-D6FC-4f65-9D91-7224C49458BB}"/>
            </c:extLst>
          </c:dLbls>
          <c:cat>
            <c:strRef>
              <c:f>Sheet1!$A$2:$A$11</c:f>
              <c:strCache>
                <c:ptCount val="10"/>
                <c:pt idx="0">
                  <c:v>CBT</c:v>
                </c:pt>
                <c:pt idx="1">
                  <c:v>CBT + Counselling + Peer Support</c:v>
                </c:pt>
                <c:pt idx="2">
                  <c:v>CBT + Mindfulness/Meditation/Relaxation</c:v>
                </c:pt>
                <c:pt idx="3">
                  <c:v>CBT + Mindfulness/Meditation/Relaxation + Time Management Skills + Other</c:v>
                </c:pt>
                <c:pt idx="4">
                  <c:v>CBT + Mindfulness/Meditation/Relaxation + Other</c:v>
                </c:pt>
                <c:pt idx="5">
                  <c:v>CBT + Other</c:v>
                </c:pt>
                <c:pt idx="6">
                  <c:v>Mindfulness/Meditation/Relaxation</c:v>
                </c:pt>
                <c:pt idx="7">
                  <c:v>Mindfulness/Meditation/Relaxation + Other</c:v>
                </c:pt>
                <c:pt idx="8">
                  <c:v>Mood Tracking</c:v>
                </c:pt>
                <c:pt idx="9">
                  <c:v>Other</c:v>
                </c:pt>
              </c:strCache>
            </c:strRef>
          </c:cat>
          <c:val>
            <c:numRef>
              <c:f>Sheet1!$B$2:$B$11</c:f>
              <c:numCache>
                <c:formatCode>General</c:formatCode>
                <c:ptCount val="10"/>
                <c:pt idx="0">
                  <c:v>12</c:v>
                </c:pt>
                <c:pt idx="1">
                  <c:v>1</c:v>
                </c:pt>
                <c:pt idx="2">
                  <c:v>2</c:v>
                </c:pt>
                <c:pt idx="3">
                  <c:v>1</c:v>
                </c:pt>
                <c:pt idx="4">
                  <c:v>1</c:v>
                </c:pt>
                <c:pt idx="5">
                  <c:v>2</c:v>
                </c:pt>
                <c:pt idx="6">
                  <c:v>1</c:v>
                </c:pt>
                <c:pt idx="7">
                  <c:v>1</c:v>
                </c:pt>
                <c:pt idx="8">
                  <c:v>1</c:v>
                </c:pt>
                <c:pt idx="9">
                  <c:v>3</c:v>
                </c:pt>
              </c:numCache>
            </c:numRef>
          </c:val>
          <c:extLst xmlns:c16r2="http://schemas.microsoft.com/office/drawing/2015/06/chart">
            <c:ext xmlns:c16="http://schemas.microsoft.com/office/drawing/2014/chart" uri="{C3380CC4-5D6E-409C-BE32-E72D297353CC}">
              <c16:uniqueId val="{00000014-2247-4D2C-8AE9-5FF287D0C797}"/>
            </c:ext>
          </c:extLst>
        </c:ser>
        <c:dLbls>
          <c:dLblPos val="inEnd"/>
          <c:showLegendKey val="0"/>
          <c:showVal val="0"/>
          <c:showCatName val="0"/>
          <c:showSerName val="0"/>
          <c:showPercent val="1"/>
          <c:showBubbleSize val="0"/>
          <c:showLeaderLines val="0"/>
        </c:dLbls>
        <c:firstSliceAng val="0"/>
      </c:pieChart>
      <c:spPr>
        <a:noFill/>
        <a:ln>
          <a:noFill/>
        </a:ln>
        <a:effectLst/>
      </c:spPr>
    </c:plotArea>
    <c:legend>
      <c:legendPos val="r"/>
      <c:layout>
        <c:manualLayout>
          <c:xMode val="edge"/>
          <c:yMode val="edge"/>
          <c:x val="0.498679279673374"/>
          <c:y val="5.5556805399325102E-2"/>
          <c:w val="0.487431831437737"/>
          <c:h val="0.88888638920134999"/>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35810270226901"/>
          <c:y val="0.103721750317315"/>
          <c:w val="0.81221727912304698"/>
          <c:h val="0.80846786930627101"/>
        </c:manualLayout>
      </c:layout>
      <c:scatterChart>
        <c:scatterStyle val="lineMarker"/>
        <c:varyColors val="0"/>
        <c:ser>
          <c:idx val="0"/>
          <c:order val="0"/>
          <c:tx>
            <c:v>Studies</c:v>
          </c:tx>
          <c:spPr>
            <a:ln w="25400" cap="rnd">
              <a:noFill/>
              <a:round/>
            </a:ln>
            <a:effectLst/>
          </c:spPr>
          <c:marker>
            <c:symbol val="circle"/>
            <c:size val="5"/>
            <c:spPr>
              <a:solidFill>
                <a:schemeClr val="accent1"/>
              </a:solidFill>
              <a:ln w="9525">
                <a:solidFill>
                  <a:schemeClr val="accent1"/>
                </a:solidFill>
              </a:ln>
              <a:effectLst/>
            </c:spPr>
          </c:marker>
          <c:xVal>
            <c:numRef>
              <c:f>Calculations!$CU$2:$CU$201</c:f>
              <c:numCache>
                <c:formatCode>0.00</c:formatCode>
                <c:ptCount val="200"/>
                <c:pt idx="0">
                  <c:v>-0.17799999999999999</c:v>
                </c:pt>
                <c:pt idx="1">
                  <c:v>0.623</c:v>
                </c:pt>
                <c:pt idx="2">
                  <c:v>0.81599999999999995</c:v>
                </c:pt>
                <c:pt idx="3">
                  <c:v>-0.53900000000000003</c:v>
                </c:pt>
                <c:pt idx="4">
                  <c:v>-0.24</c:v>
                </c:pt>
                <c:pt idx="5">
                  <c:v>0.35499999999999998</c:v>
                </c:pt>
                <c:pt idx="6">
                  <c:v>0.60299999999999998</c:v>
                </c:pt>
                <c:pt idx="7">
                  <c:v>0.13900000000000001</c:v>
                </c:pt>
                <c:pt idx="8">
                  <c:v>-0.21199999999999999</c:v>
                </c:pt>
                <c:pt idx="9">
                  <c:v>0.309</c:v>
                </c:pt>
                <c:pt idx="10">
                  <c:v>0.52300000000000002</c:v>
                </c:pt>
                <c:pt idx="11">
                  <c:v>1.8240000000000001</c:v>
                </c:pt>
                <c:pt idx="12">
                  <c:v>0.72</c:v>
                </c:pt>
                <c:pt idx="13">
                  <c:v>0.33200000000000002</c:v>
                </c:pt>
                <c:pt idx="14">
                  <c:v>0.64700000000000002</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numCache>
            </c:numRef>
          </c:xVal>
          <c:yVal>
            <c:numRef>
              <c:f>Calculations!$CV$2:$CV$201</c:f>
              <c:numCache>
                <c:formatCode>0.00</c:formatCode>
                <c:ptCount val="200"/>
                <c:pt idx="0">
                  <c:v>0.11462794219066</c:v>
                </c:pt>
                <c:pt idx="1">
                  <c:v>0.123754243167011</c:v>
                </c:pt>
                <c:pt idx="2">
                  <c:v>0.29590050406212398</c:v>
                </c:pt>
                <c:pt idx="3">
                  <c:v>0.157078989343961</c:v>
                </c:pt>
                <c:pt idx="4">
                  <c:v>0.22809097203840301</c:v>
                </c:pt>
                <c:pt idx="5">
                  <c:v>0.144002866665292</c:v>
                </c:pt>
                <c:pt idx="6">
                  <c:v>0.118441274761294</c:v>
                </c:pt>
                <c:pt idx="7">
                  <c:v>0.14053503013704899</c:v>
                </c:pt>
                <c:pt idx="8">
                  <c:v>3.6046697944252498E-2</c:v>
                </c:pt>
                <c:pt idx="9">
                  <c:v>0.15674541335513401</c:v>
                </c:pt>
                <c:pt idx="10">
                  <c:v>0.19630777379550601</c:v>
                </c:pt>
                <c:pt idx="11">
                  <c:v>0.34665749019775099</c:v>
                </c:pt>
                <c:pt idx="12">
                  <c:v>0.16533758502267601</c:v>
                </c:pt>
                <c:pt idx="13">
                  <c:v>0.106078603917436</c:v>
                </c:pt>
                <c:pt idx="14">
                  <c:v>0.12651940646685</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numCache>
            </c:numRef>
          </c:yVal>
          <c:smooth val="0"/>
          <c:extLst xmlns:c16r2="http://schemas.microsoft.com/office/drawing/2015/06/chart">
            <c:ext xmlns:c16="http://schemas.microsoft.com/office/drawing/2014/chart" uri="{C3380CC4-5D6E-409C-BE32-E72D297353CC}">
              <c16:uniqueId val="{00000000-2231-440A-9E24-C8BCF36FC952}"/>
            </c:ext>
          </c:extLst>
        </c:ser>
        <c:ser>
          <c:idx val="1"/>
          <c:order val="1"/>
          <c:tx>
            <c:v>Diagonals</c:v>
          </c:tx>
          <c:spPr>
            <a:ln w="25400" cap="rnd">
              <a:solidFill>
                <a:schemeClr val="accent2"/>
              </a:solidFill>
              <a:round/>
            </a:ln>
            <a:effectLst/>
          </c:spPr>
          <c:marker>
            <c:symbol val="none"/>
          </c:marker>
          <c:xVal>
            <c:numRef>
              <c:f>Calculations!$CY$3:$CY$5</c:f>
              <c:numCache>
                <c:formatCode>0.00</c:formatCode>
                <c:ptCount val="3"/>
                <c:pt idx="0">
                  <c:v>-0.47813143837529898</c:v>
                </c:pt>
                <c:pt idx="1">
                  <c:v>0.41407620591646099</c:v>
                </c:pt>
                <c:pt idx="2">
                  <c:v>1.306283850208221</c:v>
                </c:pt>
              </c:numCache>
            </c:numRef>
          </c:xVal>
          <c:yVal>
            <c:numRef>
              <c:f>Calculations!$CZ$3:$CZ$5</c:f>
              <c:numCache>
                <c:formatCode>0.00</c:formatCode>
                <c:ptCount val="3"/>
                <c:pt idx="0">
                  <c:v>0.41598898823730202</c:v>
                </c:pt>
                <c:pt idx="1">
                  <c:v>0</c:v>
                </c:pt>
                <c:pt idx="2">
                  <c:v>0.41598898823730202</c:v>
                </c:pt>
              </c:numCache>
            </c:numRef>
          </c:yVal>
          <c:smooth val="0"/>
          <c:extLst xmlns:c16r2="http://schemas.microsoft.com/office/drawing/2015/06/chart">
            <c:ext xmlns:c16="http://schemas.microsoft.com/office/drawing/2014/chart" uri="{C3380CC4-5D6E-409C-BE32-E72D297353CC}">
              <c16:uniqueId val="{00000001-2231-440A-9E24-C8BCF36FC952}"/>
            </c:ext>
          </c:extLst>
        </c:ser>
        <c:ser>
          <c:idx val="2"/>
          <c:order val="2"/>
          <c:tx>
            <c:v>Mid line</c:v>
          </c:tx>
          <c:spPr>
            <a:ln w="25400" cap="rnd">
              <a:solidFill>
                <a:schemeClr val="accent2"/>
              </a:solidFill>
              <a:round/>
            </a:ln>
            <a:effectLst/>
          </c:spPr>
          <c:marker>
            <c:symbol val="none"/>
          </c:marker>
          <c:xVal>
            <c:numRef>
              <c:f>Calculations!$CY$7:$CY$8</c:f>
              <c:numCache>
                <c:formatCode>0.00</c:formatCode>
                <c:ptCount val="2"/>
                <c:pt idx="0">
                  <c:v>0.41407620591646099</c:v>
                </c:pt>
                <c:pt idx="1">
                  <c:v>0.41407620591646099</c:v>
                </c:pt>
              </c:numCache>
            </c:numRef>
          </c:xVal>
          <c:yVal>
            <c:numRef>
              <c:f>Calculations!$CZ$7:$CZ$8</c:f>
              <c:numCache>
                <c:formatCode>0.00</c:formatCode>
                <c:ptCount val="2"/>
                <c:pt idx="0">
                  <c:v>0</c:v>
                </c:pt>
                <c:pt idx="1">
                  <c:v>0.41598898823730202</c:v>
                </c:pt>
              </c:numCache>
            </c:numRef>
          </c:yVal>
          <c:smooth val="0"/>
          <c:extLst xmlns:c16r2="http://schemas.microsoft.com/office/drawing/2015/06/chart">
            <c:ext xmlns:c16="http://schemas.microsoft.com/office/drawing/2014/chart" uri="{C3380CC4-5D6E-409C-BE32-E72D297353CC}">
              <c16:uniqueId val="{00000002-2231-440A-9E24-C8BCF36FC952}"/>
            </c:ext>
          </c:extLst>
        </c:ser>
        <c:ser>
          <c:idx val="3"/>
          <c:order val="3"/>
          <c:tx>
            <c:v>Combined Effect Size PI</c:v>
          </c:tx>
          <c:spPr>
            <a:ln w="28575">
              <a:noFill/>
            </a:ln>
          </c:spPr>
          <c:marker>
            <c:symbol val="circle"/>
            <c:size val="7"/>
            <c:spPr>
              <a:solidFill>
                <a:schemeClr val="accent3"/>
              </a:solidFill>
              <a:ln>
                <a:noFill/>
              </a:ln>
            </c:spPr>
          </c:marker>
          <c:errBars>
            <c:errDir val="x"/>
            <c:errBarType val="both"/>
            <c:errValType val="cust"/>
            <c:noEndCap val="0"/>
            <c:plus>
              <c:numRef>
                <c:f>Calculations!$CZ$12</c:f>
                <c:numCache>
                  <c:formatCode>General</c:formatCode>
                  <c:ptCount val="1"/>
                  <c:pt idx="0">
                    <c:v>1.0022253270252239</c:v>
                  </c:pt>
                </c:numCache>
              </c:numRef>
            </c:plus>
            <c:minus>
              <c:numRef>
                <c:f>Calculations!$CZ$12</c:f>
                <c:numCache>
                  <c:formatCode>General</c:formatCode>
                  <c:ptCount val="1"/>
                  <c:pt idx="0">
                    <c:v>1.0022253270252239</c:v>
                  </c:pt>
                </c:numCache>
              </c:numRef>
            </c:minus>
            <c:spPr>
              <a:ln w="19050">
                <a:solidFill>
                  <a:schemeClr val="accent3"/>
                </a:solidFill>
              </a:ln>
            </c:spPr>
          </c:errBars>
          <c:xVal>
            <c:numRef>
              <c:f>'Publication Bias Analysis'!$I$29</c:f>
              <c:numCache>
                <c:formatCode>0.00</c:formatCode>
                <c:ptCount val="1"/>
                <c:pt idx="0">
                  <c:v>0.34428082002746702</c:v>
                </c:pt>
              </c:numCache>
            </c:numRef>
          </c:xVal>
          <c:yVal>
            <c:numRef>
              <c:f>Calculations!$CZ$13</c:f>
              <c:numCache>
                <c:formatCode>0.00</c:formatCode>
                <c:ptCount val="1"/>
                <c:pt idx="0">
                  <c:v>0.38132323921752598</c:v>
                </c:pt>
              </c:numCache>
            </c:numRef>
          </c:yVal>
          <c:smooth val="0"/>
          <c:extLst xmlns:c16r2="http://schemas.microsoft.com/office/drawing/2015/06/chart">
            <c:ext xmlns:c16="http://schemas.microsoft.com/office/drawing/2014/chart" uri="{C3380CC4-5D6E-409C-BE32-E72D297353CC}">
              <c16:uniqueId val="{00000003-2231-440A-9E24-C8BCF36FC952}"/>
            </c:ext>
          </c:extLst>
        </c:ser>
        <c:ser>
          <c:idx val="4"/>
          <c:order val="4"/>
          <c:tx>
            <c:v>Combined Effect Size</c:v>
          </c:tx>
          <c:spPr>
            <a:ln w="28575">
              <a:noFill/>
            </a:ln>
          </c:spPr>
          <c:marker>
            <c:symbol val="circle"/>
            <c:size val="7"/>
            <c:spPr>
              <a:solidFill>
                <a:schemeClr val="accent3"/>
              </a:solidFill>
              <a:ln>
                <a:noFill/>
              </a:ln>
            </c:spPr>
          </c:marker>
          <c:errBars>
            <c:errDir val="x"/>
            <c:errBarType val="both"/>
            <c:errValType val="cust"/>
            <c:noEndCap val="0"/>
            <c:plus>
              <c:numRef>
                <c:f>Calculations!$CZ$11</c:f>
                <c:numCache>
                  <c:formatCode>General</c:formatCode>
                  <c:ptCount val="1"/>
                  <c:pt idx="0">
                    <c:v>0.29465829498992602</c:v>
                  </c:pt>
                </c:numCache>
              </c:numRef>
            </c:plus>
            <c:minus>
              <c:numRef>
                <c:f>Calculations!$CZ$11</c:f>
                <c:numCache>
                  <c:formatCode>General</c:formatCode>
                  <c:ptCount val="1"/>
                  <c:pt idx="0">
                    <c:v>0.29465829498992602</c:v>
                  </c:pt>
                </c:numCache>
              </c:numRef>
            </c:minus>
            <c:spPr>
              <a:ln w="19050">
                <a:solidFill>
                  <a:schemeClr val="tx1"/>
                </a:solidFill>
              </a:ln>
            </c:spPr>
          </c:errBars>
          <c:xVal>
            <c:numRef>
              <c:f>'Publication Bias Analysis'!$I$29</c:f>
              <c:numCache>
                <c:formatCode>0.00</c:formatCode>
                <c:ptCount val="1"/>
                <c:pt idx="0">
                  <c:v>0.34428082002746702</c:v>
                </c:pt>
              </c:numCache>
            </c:numRef>
          </c:xVal>
          <c:yVal>
            <c:numRef>
              <c:f>Calculations!$CZ$13</c:f>
              <c:numCache>
                <c:formatCode>0.00</c:formatCode>
                <c:ptCount val="1"/>
                <c:pt idx="0">
                  <c:v>0.38132323921752598</c:v>
                </c:pt>
              </c:numCache>
            </c:numRef>
          </c:yVal>
          <c:smooth val="0"/>
          <c:extLst xmlns:c16r2="http://schemas.microsoft.com/office/drawing/2015/06/chart">
            <c:ext xmlns:c16="http://schemas.microsoft.com/office/drawing/2014/chart" uri="{C3380CC4-5D6E-409C-BE32-E72D297353CC}">
              <c16:uniqueId val="{00000004-2231-440A-9E24-C8BCF36FC952}"/>
            </c:ext>
          </c:extLst>
        </c:ser>
        <c:ser>
          <c:idx val="6"/>
          <c:order val="5"/>
          <c:tx>
            <c:v>Adjusted PI</c:v>
          </c:tx>
          <c:spPr>
            <a:ln w="28575">
              <a:noFill/>
            </a:ln>
          </c:spPr>
          <c:marker>
            <c:symbol val="circle"/>
            <c:size val="7"/>
            <c:spPr>
              <a:solidFill>
                <a:schemeClr val="accent2"/>
              </a:solidFill>
              <a:ln>
                <a:noFill/>
              </a:ln>
            </c:spPr>
          </c:marker>
          <c:errBars>
            <c:errDir val="x"/>
            <c:errBarType val="both"/>
            <c:errValType val="cust"/>
            <c:noEndCap val="0"/>
            <c:plus>
              <c:numRef>
                <c:f>Calculations!$CZ$17</c:f>
                <c:numCache>
                  <c:formatCode>General</c:formatCode>
                  <c:ptCount val="1"/>
                  <c:pt idx="0">
                    <c:v>1.1199964106710061</c:v>
                  </c:pt>
                </c:numCache>
              </c:numRef>
            </c:plus>
            <c:minus>
              <c:numRef>
                <c:f>Calculations!$CZ$17</c:f>
                <c:numCache>
                  <c:formatCode>General</c:formatCode>
                  <c:ptCount val="1"/>
                  <c:pt idx="0">
                    <c:v>1.1199964106710061</c:v>
                  </c:pt>
                </c:numCache>
              </c:numRef>
            </c:minus>
            <c:spPr>
              <a:ln w="19050">
                <a:solidFill>
                  <a:schemeClr val="accent2"/>
                </a:solidFill>
              </a:ln>
            </c:spPr>
          </c:errBars>
          <c:xVal>
            <c:numRef>
              <c:f>'Publication Bias Analysis'!$I$37</c:f>
              <c:numCache>
                <c:formatCode>0.00</c:formatCode>
                <c:ptCount val="1"/>
                <c:pt idx="0">
                  <c:v>0.41407620591646099</c:v>
                </c:pt>
              </c:numCache>
            </c:numRef>
          </c:xVal>
          <c:yVal>
            <c:numRef>
              <c:f>Calculations!$CZ$18</c:f>
              <c:numCache>
                <c:formatCode>0.00</c:formatCode>
                <c:ptCount val="1"/>
                <c:pt idx="0">
                  <c:v>0.41598898823730202</c:v>
                </c:pt>
              </c:numCache>
            </c:numRef>
          </c:yVal>
          <c:smooth val="0"/>
          <c:extLst xmlns:c16r2="http://schemas.microsoft.com/office/drawing/2015/06/chart">
            <c:ext xmlns:c16="http://schemas.microsoft.com/office/drawing/2014/chart" uri="{C3380CC4-5D6E-409C-BE32-E72D297353CC}">
              <c16:uniqueId val="{00000005-2231-440A-9E24-C8BCF36FC952}"/>
            </c:ext>
          </c:extLst>
        </c:ser>
        <c:ser>
          <c:idx val="7"/>
          <c:order val="6"/>
          <c:tx>
            <c:v>Adjusted CES</c:v>
          </c:tx>
          <c:spPr>
            <a:ln w="28575">
              <a:noFill/>
            </a:ln>
          </c:spPr>
          <c:marker>
            <c:symbol val="circle"/>
            <c:size val="7"/>
            <c:spPr>
              <a:solidFill>
                <a:schemeClr val="accent2"/>
              </a:solidFill>
              <a:ln>
                <a:noFill/>
              </a:ln>
            </c:spPr>
          </c:marker>
          <c:errBars>
            <c:errDir val="x"/>
            <c:errBarType val="both"/>
            <c:errValType val="cust"/>
            <c:noEndCap val="0"/>
            <c:plus>
              <c:numRef>
                <c:f>Calculations!$CZ$16</c:f>
                <c:numCache>
                  <c:formatCode>General</c:formatCode>
                  <c:ptCount val="1"/>
                  <c:pt idx="0">
                    <c:v>0.30622496281832901</c:v>
                  </c:pt>
                </c:numCache>
              </c:numRef>
            </c:plus>
            <c:minus>
              <c:numRef>
                <c:f>Calculations!$CZ$16</c:f>
                <c:numCache>
                  <c:formatCode>General</c:formatCode>
                  <c:ptCount val="1"/>
                  <c:pt idx="0">
                    <c:v>0.30622496281832901</c:v>
                  </c:pt>
                </c:numCache>
              </c:numRef>
            </c:minus>
            <c:spPr>
              <a:ln w="19050">
                <a:solidFill>
                  <a:schemeClr val="tx1"/>
                </a:solidFill>
              </a:ln>
            </c:spPr>
          </c:errBars>
          <c:xVal>
            <c:numRef>
              <c:f>'Publication Bias Analysis'!$I$37</c:f>
              <c:numCache>
                <c:formatCode>0.00</c:formatCode>
                <c:ptCount val="1"/>
                <c:pt idx="0">
                  <c:v>0.41407620591646099</c:v>
                </c:pt>
              </c:numCache>
            </c:numRef>
          </c:xVal>
          <c:yVal>
            <c:numRef>
              <c:f>Calculations!$CZ$18</c:f>
              <c:numCache>
                <c:formatCode>0.00</c:formatCode>
                <c:ptCount val="1"/>
                <c:pt idx="0">
                  <c:v>0.41598898823730202</c:v>
                </c:pt>
              </c:numCache>
            </c:numRef>
          </c:yVal>
          <c:smooth val="0"/>
          <c:extLst xmlns:c16r2="http://schemas.microsoft.com/office/drawing/2015/06/chart">
            <c:ext xmlns:c16="http://schemas.microsoft.com/office/drawing/2014/chart" uri="{C3380CC4-5D6E-409C-BE32-E72D297353CC}">
              <c16:uniqueId val="{00000006-2231-440A-9E24-C8BCF36FC952}"/>
            </c:ext>
          </c:extLst>
        </c:ser>
        <c:dLbls>
          <c:showLegendKey val="0"/>
          <c:showVal val="0"/>
          <c:showCatName val="0"/>
          <c:showSerName val="0"/>
          <c:showPercent val="0"/>
          <c:showBubbleSize val="0"/>
        </c:dLbls>
        <c:axId val="161948224"/>
        <c:axId val="161948800"/>
      </c:scatterChart>
      <c:valAx>
        <c:axId val="161948224"/>
        <c:scaling>
          <c:orientation val="minMax"/>
        </c:scaling>
        <c:delete val="0"/>
        <c:axPos val="t"/>
        <c:title>
          <c:tx>
            <c:rich>
              <a:bodyPr rot="0" vert="horz"/>
              <a:lstStyle/>
              <a:p>
                <a:pPr>
                  <a:defRPr/>
                </a:pPr>
                <a:r>
                  <a:rPr lang="en-GB"/>
                  <a:t>Effect Size</a:t>
                </a:r>
                <a:endParaRPr lang="en-GB" baseline="-25000"/>
              </a:p>
            </c:rich>
          </c:tx>
          <c:layout>
            <c:manualLayout>
              <c:xMode val="edge"/>
              <c:yMode val="edge"/>
              <c:x val="0.50894129683016198"/>
              <c:y val="2.0881511432692601E-3"/>
            </c:manualLayout>
          </c:layout>
          <c:overlay val="0"/>
          <c:spPr>
            <a:noFill/>
            <a:ln>
              <a:noFill/>
            </a:ln>
            <a:effectLst/>
          </c:spPr>
        </c:title>
        <c:numFmt formatCode="0.00" sourceLinked="1"/>
        <c:majorTickMark val="in"/>
        <c:minorTickMark val="none"/>
        <c:tickLblPos val="nextTo"/>
        <c:spPr>
          <a:noFill/>
          <a:effectLst/>
        </c:spPr>
        <c:txPr>
          <a:bodyPr rot="-60000000" vert="horz"/>
          <a:lstStyle/>
          <a:p>
            <a:pPr>
              <a:defRPr/>
            </a:pPr>
            <a:endParaRPr lang="en-US"/>
          </a:p>
        </c:txPr>
        <c:crossAx val="161948800"/>
        <c:crossesAt val="0"/>
        <c:crossBetween val="midCat"/>
      </c:valAx>
      <c:valAx>
        <c:axId val="161948800"/>
        <c:scaling>
          <c:orientation val="maxMin"/>
        </c:scaling>
        <c:delete val="0"/>
        <c:axPos val="l"/>
        <c:title>
          <c:tx>
            <c:rich>
              <a:bodyPr rot="-5400000" vert="horz"/>
              <a:lstStyle/>
              <a:p>
                <a:pPr>
                  <a:defRPr/>
                </a:pPr>
                <a:r>
                  <a:rPr lang="en-GB"/>
                  <a:t>Standard error</a:t>
                </a:r>
                <a:endParaRPr lang="en-GB" baseline="-25000"/>
              </a:p>
            </c:rich>
          </c:tx>
          <c:overlay val="0"/>
          <c:spPr>
            <a:noFill/>
            <a:ln>
              <a:noFill/>
            </a:ln>
            <a:effectLst/>
          </c:spPr>
        </c:title>
        <c:numFmt formatCode="0.00" sourceLinked="1"/>
        <c:majorTickMark val="in"/>
        <c:minorTickMark val="none"/>
        <c:tickLblPos val="low"/>
        <c:spPr>
          <a:effectLst/>
        </c:spPr>
        <c:txPr>
          <a:bodyPr rot="-60000000" vert="horz"/>
          <a:lstStyle/>
          <a:p>
            <a:pPr>
              <a:defRPr/>
            </a:pPr>
            <a:endParaRPr lang="en-US"/>
          </a:p>
        </c:txPr>
        <c:crossAx val="161948224"/>
        <c:crosses val="autoZero"/>
        <c:crossBetween val="midCat"/>
      </c:valAx>
    </c:plotArea>
    <c:legend>
      <c:legendPos val="b"/>
      <c:legendEntry>
        <c:idx val="1"/>
        <c:delete val="1"/>
      </c:legendEntry>
      <c:legendEntry>
        <c:idx val="2"/>
        <c:delete val="1"/>
      </c:legendEntry>
      <c:legendEntry>
        <c:idx val="3"/>
        <c:delete val="1"/>
      </c:legendEntry>
      <c:legendEntry>
        <c:idx val="5"/>
        <c:delete val="1"/>
      </c:legendEntry>
      <c:layout>
        <c:manualLayout>
          <c:xMode val="edge"/>
          <c:yMode val="edge"/>
          <c:x val="0"/>
          <c:y val="0.91691064703868497"/>
          <c:w val="0.99837783930354196"/>
          <c:h val="6.5698048613488505E-2"/>
        </c:manualLayout>
      </c:layout>
      <c:overlay val="0"/>
    </c:legend>
    <c:plotVisOnly val="1"/>
    <c:dispBlanksAs val="gap"/>
    <c:showDLblsOverMax val="0"/>
  </c:chart>
  <c:spPr>
    <a:solidFill>
      <a:schemeClr val="bg1"/>
    </a:solidFill>
    <a:ln>
      <a:solidFill>
        <a:sysClr val="windowText" lastClr="000000"/>
      </a:solidFill>
    </a:ln>
    <a:effectLst/>
  </c:spPr>
  <c:txPr>
    <a:bodyPr/>
    <a:lstStyle/>
    <a:p>
      <a:pPr>
        <a:defRPr>
          <a:solidFill>
            <a:sysClr val="windowText" lastClr="000000"/>
          </a:solidFill>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35810270226901"/>
          <c:y val="0.103721750317315"/>
          <c:w val="0.81221727912304698"/>
          <c:h val="0.80846786930627101"/>
        </c:manualLayout>
      </c:layout>
      <c:scatterChart>
        <c:scatterStyle val="lineMarker"/>
        <c:varyColors val="0"/>
        <c:ser>
          <c:idx val="0"/>
          <c:order val="0"/>
          <c:tx>
            <c:v>Studies</c:v>
          </c:tx>
          <c:spPr>
            <a:ln w="25400" cap="rnd">
              <a:noFill/>
              <a:round/>
            </a:ln>
            <a:effectLst/>
          </c:spPr>
          <c:marker>
            <c:symbol val="circle"/>
            <c:size val="5"/>
            <c:spPr>
              <a:solidFill>
                <a:schemeClr val="accent1"/>
              </a:solidFill>
              <a:ln w="9525">
                <a:solidFill>
                  <a:schemeClr val="accent1"/>
                </a:solidFill>
              </a:ln>
              <a:effectLst/>
            </c:spPr>
          </c:marker>
          <c:xVal>
            <c:numRef>
              <c:f>Calculations!$CU$2:$CU$201</c:f>
              <c:numCache>
                <c:formatCode>0.00</c:formatCode>
                <c:ptCount val="200"/>
                <c:pt idx="0">
                  <c:v>5.1999999999999998E-2</c:v>
                </c:pt>
                <c:pt idx="1">
                  <c:v>0.42099999999999999</c:v>
                </c:pt>
                <c:pt idx="2">
                  <c:v>0.255</c:v>
                </c:pt>
                <c:pt idx="3">
                  <c:v>0.55600000000000005</c:v>
                </c:pt>
                <c:pt idx="4">
                  <c:v>0.55400000000000005</c:v>
                </c:pt>
                <c:pt idx="5">
                  <c:v>-0.216</c:v>
                </c:pt>
                <c:pt idx="6">
                  <c:v>3.5999999999999997E-2</c:v>
                </c:pt>
                <c:pt idx="7">
                  <c:v>0.91300000000000003</c:v>
                </c:pt>
                <c:pt idx="8">
                  <c:v>0.20300000000000001</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numCache>
            </c:numRef>
          </c:xVal>
          <c:yVal>
            <c:numRef>
              <c:f>Calculations!$CV$2:$CV$201</c:f>
              <c:numCache>
                <c:formatCode>0.00</c:formatCode>
                <c:ptCount val="200"/>
                <c:pt idx="0">
                  <c:v>0.114192919967846</c:v>
                </c:pt>
                <c:pt idx="1">
                  <c:v>0.122136471075297</c:v>
                </c:pt>
                <c:pt idx="2">
                  <c:v>0.285076263859464</c:v>
                </c:pt>
                <c:pt idx="3">
                  <c:v>0.15739409294920001</c:v>
                </c:pt>
                <c:pt idx="4">
                  <c:v>0.118020522899494</c:v>
                </c:pt>
                <c:pt idx="5">
                  <c:v>3.6046723729023303E-2</c:v>
                </c:pt>
                <c:pt idx="6">
                  <c:v>0.19301675911402699</c:v>
                </c:pt>
                <c:pt idx="7">
                  <c:v>0.168578939483261</c:v>
                </c:pt>
                <c:pt idx="8">
                  <c:v>0.10560818650454901</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numCache>
            </c:numRef>
          </c:yVal>
          <c:smooth val="0"/>
          <c:extLst xmlns:c16r2="http://schemas.microsoft.com/office/drawing/2015/06/chart">
            <c:ext xmlns:c16="http://schemas.microsoft.com/office/drawing/2014/chart" uri="{C3380CC4-5D6E-409C-BE32-E72D297353CC}">
              <c16:uniqueId val="{00000000-9345-4D18-80D3-FCCA127214EC}"/>
            </c:ext>
          </c:extLst>
        </c:ser>
        <c:ser>
          <c:idx val="1"/>
          <c:order val="1"/>
          <c:tx>
            <c:v>Diagonals</c:v>
          </c:tx>
          <c:spPr>
            <a:ln w="25400" cap="rnd">
              <a:solidFill>
                <a:schemeClr val="accent2"/>
              </a:solidFill>
              <a:round/>
            </a:ln>
            <a:effectLst/>
          </c:spPr>
          <c:marker>
            <c:symbol val="none"/>
          </c:marker>
          <c:xVal>
            <c:numRef>
              <c:f>Calculations!$CY$3:$CY$5</c:f>
              <c:numCache>
                <c:formatCode>0.00</c:formatCode>
                <c:ptCount val="3"/>
                <c:pt idx="0">
                  <c:v>-0.48742313346031702</c:v>
                </c:pt>
                <c:pt idx="1">
                  <c:v>0.301441318509858</c:v>
                </c:pt>
                <c:pt idx="2">
                  <c:v>1.0903057704800321</c:v>
                </c:pt>
              </c:numCache>
            </c:numRef>
          </c:xVal>
          <c:yVal>
            <c:numRef>
              <c:f>Calculations!$CZ$3:$CZ$5</c:f>
              <c:numCache>
                <c:formatCode>0.00</c:formatCode>
                <c:ptCount val="3"/>
                <c:pt idx="0">
                  <c:v>0.34209151663135701</c:v>
                </c:pt>
                <c:pt idx="1">
                  <c:v>0</c:v>
                </c:pt>
                <c:pt idx="2">
                  <c:v>0.34209151663135701</c:v>
                </c:pt>
              </c:numCache>
            </c:numRef>
          </c:yVal>
          <c:smooth val="0"/>
          <c:extLst xmlns:c16r2="http://schemas.microsoft.com/office/drawing/2015/06/chart">
            <c:ext xmlns:c16="http://schemas.microsoft.com/office/drawing/2014/chart" uri="{C3380CC4-5D6E-409C-BE32-E72D297353CC}">
              <c16:uniqueId val="{00000001-9345-4D18-80D3-FCCA127214EC}"/>
            </c:ext>
          </c:extLst>
        </c:ser>
        <c:ser>
          <c:idx val="2"/>
          <c:order val="2"/>
          <c:tx>
            <c:v>Mid line</c:v>
          </c:tx>
          <c:spPr>
            <a:ln w="25400" cap="rnd">
              <a:solidFill>
                <a:schemeClr val="accent2"/>
              </a:solidFill>
              <a:round/>
            </a:ln>
            <a:effectLst/>
          </c:spPr>
          <c:marker>
            <c:symbol val="none"/>
          </c:marker>
          <c:xVal>
            <c:numRef>
              <c:f>Calculations!$CY$7:$CY$8</c:f>
              <c:numCache>
                <c:formatCode>0.00</c:formatCode>
                <c:ptCount val="2"/>
                <c:pt idx="0">
                  <c:v>0.301441318509858</c:v>
                </c:pt>
                <c:pt idx="1">
                  <c:v>0.301441318509858</c:v>
                </c:pt>
              </c:numCache>
            </c:numRef>
          </c:xVal>
          <c:yVal>
            <c:numRef>
              <c:f>Calculations!$CZ$7:$CZ$8</c:f>
              <c:numCache>
                <c:formatCode>0.00</c:formatCode>
                <c:ptCount val="2"/>
                <c:pt idx="0">
                  <c:v>0</c:v>
                </c:pt>
                <c:pt idx="1">
                  <c:v>0.34209151663135701</c:v>
                </c:pt>
              </c:numCache>
            </c:numRef>
          </c:yVal>
          <c:smooth val="0"/>
          <c:extLst xmlns:c16r2="http://schemas.microsoft.com/office/drawing/2015/06/chart">
            <c:ext xmlns:c16="http://schemas.microsoft.com/office/drawing/2014/chart" uri="{C3380CC4-5D6E-409C-BE32-E72D297353CC}">
              <c16:uniqueId val="{00000002-9345-4D18-80D3-FCCA127214EC}"/>
            </c:ext>
          </c:extLst>
        </c:ser>
        <c:ser>
          <c:idx val="3"/>
          <c:order val="3"/>
          <c:tx>
            <c:v>Combined Effect Size PI</c:v>
          </c:tx>
          <c:spPr>
            <a:ln w="28575">
              <a:noFill/>
            </a:ln>
          </c:spPr>
          <c:marker>
            <c:symbol val="circle"/>
            <c:size val="7"/>
            <c:spPr>
              <a:solidFill>
                <a:schemeClr val="accent3"/>
              </a:solidFill>
              <a:ln>
                <a:noFill/>
              </a:ln>
            </c:spPr>
          </c:marker>
          <c:errBars>
            <c:errDir val="x"/>
            <c:errBarType val="both"/>
            <c:errValType val="cust"/>
            <c:noEndCap val="0"/>
            <c:plus>
              <c:numRef>
                <c:f>Calculations!$CZ$12</c:f>
                <c:numCache>
                  <c:formatCode>General</c:formatCode>
                  <c:ptCount val="1"/>
                  <c:pt idx="0">
                    <c:v>0.96461229371401402</c:v>
                  </c:pt>
                </c:numCache>
              </c:numRef>
            </c:plus>
            <c:minus>
              <c:numRef>
                <c:f>Calculations!$CZ$12</c:f>
                <c:numCache>
                  <c:formatCode>General</c:formatCode>
                  <c:ptCount val="1"/>
                  <c:pt idx="0">
                    <c:v>0.96461229371401402</c:v>
                  </c:pt>
                </c:numCache>
              </c:numRef>
            </c:minus>
            <c:spPr>
              <a:ln w="19050">
                <a:solidFill>
                  <a:schemeClr val="accent3"/>
                </a:solidFill>
              </a:ln>
            </c:spPr>
          </c:errBars>
          <c:xVal>
            <c:numRef>
              <c:f>'Publication Bias Analysis'!$I$29</c:f>
              <c:numCache>
                <c:formatCode>0.00</c:formatCode>
                <c:ptCount val="1"/>
                <c:pt idx="0">
                  <c:v>0.301441318509858</c:v>
                </c:pt>
              </c:numCache>
            </c:numRef>
          </c:xVal>
          <c:yVal>
            <c:numRef>
              <c:f>Calculations!$CZ$13</c:f>
              <c:numCache>
                <c:formatCode>0.00</c:formatCode>
                <c:ptCount val="1"/>
                <c:pt idx="0">
                  <c:v>0.313583890245411</c:v>
                </c:pt>
              </c:numCache>
            </c:numRef>
          </c:yVal>
          <c:smooth val="0"/>
          <c:extLst xmlns:c16r2="http://schemas.microsoft.com/office/drawing/2015/06/chart">
            <c:ext xmlns:c16="http://schemas.microsoft.com/office/drawing/2014/chart" uri="{C3380CC4-5D6E-409C-BE32-E72D297353CC}">
              <c16:uniqueId val="{00000003-9345-4D18-80D3-FCCA127214EC}"/>
            </c:ext>
          </c:extLst>
        </c:ser>
        <c:ser>
          <c:idx val="4"/>
          <c:order val="4"/>
          <c:tx>
            <c:v>Combined Effect Size</c:v>
          </c:tx>
          <c:spPr>
            <a:ln w="28575">
              <a:noFill/>
            </a:ln>
          </c:spPr>
          <c:marker>
            <c:symbol val="circle"/>
            <c:size val="7"/>
            <c:spPr>
              <a:solidFill>
                <a:schemeClr val="accent3"/>
              </a:solidFill>
              <a:ln>
                <a:noFill/>
              </a:ln>
            </c:spPr>
          </c:marker>
          <c:errBars>
            <c:errDir val="x"/>
            <c:errBarType val="both"/>
            <c:errValType val="cust"/>
            <c:noEndCap val="0"/>
            <c:plus>
              <c:numRef>
                <c:f>Calculations!$CZ$11</c:f>
                <c:numCache>
                  <c:formatCode>General</c:formatCode>
                  <c:ptCount val="1"/>
                  <c:pt idx="0">
                    <c:v>0.26563831021378997</c:v>
                  </c:pt>
                </c:numCache>
              </c:numRef>
            </c:plus>
            <c:minus>
              <c:numRef>
                <c:f>Calculations!$CZ$11</c:f>
                <c:numCache>
                  <c:formatCode>General</c:formatCode>
                  <c:ptCount val="1"/>
                  <c:pt idx="0">
                    <c:v>0.26563831021378997</c:v>
                  </c:pt>
                </c:numCache>
              </c:numRef>
            </c:minus>
            <c:spPr>
              <a:ln w="19050">
                <a:solidFill>
                  <a:schemeClr val="tx1"/>
                </a:solidFill>
              </a:ln>
            </c:spPr>
          </c:errBars>
          <c:xVal>
            <c:numRef>
              <c:f>'Publication Bias Analysis'!$I$29</c:f>
              <c:numCache>
                <c:formatCode>0.00</c:formatCode>
                <c:ptCount val="1"/>
                <c:pt idx="0">
                  <c:v>0.301441318509858</c:v>
                </c:pt>
              </c:numCache>
            </c:numRef>
          </c:xVal>
          <c:yVal>
            <c:numRef>
              <c:f>Calculations!$CZ$13</c:f>
              <c:numCache>
                <c:formatCode>0.00</c:formatCode>
                <c:ptCount val="1"/>
                <c:pt idx="0">
                  <c:v>0.313583890245411</c:v>
                </c:pt>
              </c:numCache>
            </c:numRef>
          </c:yVal>
          <c:smooth val="0"/>
          <c:extLst xmlns:c16r2="http://schemas.microsoft.com/office/drawing/2015/06/chart">
            <c:ext xmlns:c16="http://schemas.microsoft.com/office/drawing/2014/chart" uri="{C3380CC4-5D6E-409C-BE32-E72D297353CC}">
              <c16:uniqueId val="{00000004-9345-4D18-80D3-FCCA127214EC}"/>
            </c:ext>
          </c:extLst>
        </c:ser>
        <c:ser>
          <c:idx val="6"/>
          <c:order val="5"/>
          <c:tx>
            <c:v>Adjusted PI</c:v>
          </c:tx>
          <c:spPr>
            <a:ln w="28575">
              <a:noFill/>
            </a:ln>
          </c:spPr>
          <c:marker>
            <c:symbol val="circle"/>
            <c:size val="7"/>
            <c:spPr>
              <a:solidFill>
                <a:schemeClr val="accent2"/>
              </a:solidFill>
              <a:ln>
                <a:noFill/>
              </a:ln>
            </c:spPr>
          </c:marker>
          <c:errBars>
            <c:errDir val="x"/>
            <c:errBarType val="both"/>
            <c:errValType val="cust"/>
            <c:noEndCap val="0"/>
            <c:plus>
              <c:numRef>
                <c:f>Calculations!$CZ$17</c:f>
                <c:numCache>
                  <c:formatCode>General</c:formatCode>
                  <c:ptCount val="1"/>
                  <c:pt idx="0">
                    <c:v>0.96461229371401402</c:v>
                  </c:pt>
                </c:numCache>
              </c:numRef>
            </c:plus>
            <c:minus>
              <c:numRef>
                <c:f>Calculations!$CZ$17</c:f>
                <c:numCache>
                  <c:formatCode>General</c:formatCode>
                  <c:ptCount val="1"/>
                  <c:pt idx="0">
                    <c:v>0.96461229371401402</c:v>
                  </c:pt>
                </c:numCache>
              </c:numRef>
            </c:minus>
            <c:spPr>
              <a:ln w="19050">
                <a:solidFill>
                  <a:schemeClr val="accent2"/>
                </a:solidFill>
              </a:ln>
            </c:spPr>
          </c:errBars>
          <c:xVal>
            <c:numRef>
              <c:f>'Publication Bias Analysis'!$I$37</c:f>
              <c:numCache>
                <c:formatCode>0.00</c:formatCode>
                <c:ptCount val="1"/>
                <c:pt idx="0">
                  <c:v>0.301441318509858</c:v>
                </c:pt>
              </c:numCache>
            </c:numRef>
          </c:xVal>
          <c:yVal>
            <c:numRef>
              <c:f>Calculations!$CZ$18</c:f>
              <c:numCache>
                <c:formatCode>0.00</c:formatCode>
                <c:ptCount val="1"/>
                <c:pt idx="0">
                  <c:v>0.34209151663135701</c:v>
                </c:pt>
              </c:numCache>
            </c:numRef>
          </c:yVal>
          <c:smooth val="0"/>
          <c:extLst xmlns:c16r2="http://schemas.microsoft.com/office/drawing/2015/06/chart">
            <c:ext xmlns:c16="http://schemas.microsoft.com/office/drawing/2014/chart" uri="{C3380CC4-5D6E-409C-BE32-E72D297353CC}">
              <c16:uniqueId val="{00000005-9345-4D18-80D3-FCCA127214EC}"/>
            </c:ext>
          </c:extLst>
        </c:ser>
        <c:ser>
          <c:idx val="7"/>
          <c:order val="6"/>
          <c:tx>
            <c:v>Adjusted CES</c:v>
          </c:tx>
          <c:spPr>
            <a:ln w="28575">
              <a:noFill/>
            </a:ln>
          </c:spPr>
          <c:marker>
            <c:symbol val="circle"/>
            <c:size val="7"/>
            <c:spPr>
              <a:solidFill>
                <a:schemeClr val="accent2"/>
              </a:solidFill>
              <a:ln>
                <a:noFill/>
              </a:ln>
            </c:spPr>
          </c:marker>
          <c:errBars>
            <c:errDir val="x"/>
            <c:errBarType val="both"/>
            <c:errValType val="cust"/>
            <c:noEndCap val="0"/>
            <c:plus>
              <c:numRef>
                <c:f>Calculations!$CZ$16</c:f>
                <c:numCache>
                  <c:formatCode>General</c:formatCode>
                  <c:ptCount val="1"/>
                  <c:pt idx="0">
                    <c:v>0.26563831021378997</c:v>
                  </c:pt>
                </c:numCache>
              </c:numRef>
            </c:plus>
            <c:minus>
              <c:numRef>
                <c:f>Calculations!$CZ$16</c:f>
                <c:numCache>
                  <c:formatCode>General</c:formatCode>
                  <c:ptCount val="1"/>
                  <c:pt idx="0">
                    <c:v>0.26563831021378997</c:v>
                  </c:pt>
                </c:numCache>
              </c:numRef>
            </c:minus>
            <c:spPr>
              <a:ln w="19050">
                <a:solidFill>
                  <a:schemeClr val="tx1"/>
                </a:solidFill>
              </a:ln>
            </c:spPr>
          </c:errBars>
          <c:xVal>
            <c:numRef>
              <c:f>'Publication Bias Analysis'!$I$37</c:f>
              <c:numCache>
                <c:formatCode>0.00</c:formatCode>
                <c:ptCount val="1"/>
                <c:pt idx="0">
                  <c:v>0.301441318509858</c:v>
                </c:pt>
              </c:numCache>
            </c:numRef>
          </c:xVal>
          <c:yVal>
            <c:numRef>
              <c:f>Calculations!$CZ$18</c:f>
              <c:numCache>
                <c:formatCode>0.00</c:formatCode>
                <c:ptCount val="1"/>
                <c:pt idx="0">
                  <c:v>0.34209151663135701</c:v>
                </c:pt>
              </c:numCache>
            </c:numRef>
          </c:yVal>
          <c:smooth val="0"/>
          <c:extLst xmlns:c16r2="http://schemas.microsoft.com/office/drawing/2015/06/chart">
            <c:ext xmlns:c16="http://schemas.microsoft.com/office/drawing/2014/chart" uri="{C3380CC4-5D6E-409C-BE32-E72D297353CC}">
              <c16:uniqueId val="{00000006-9345-4D18-80D3-FCCA127214EC}"/>
            </c:ext>
          </c:extLst>
        </c:ser>
        <c:ser>
          <c:idx val="8"/>
          <c:order val="7"/>
          <c:tx>
            <c:v>Inputed Data Points</c:v>
          </c:tx>
          <c:spPr>
            <a:ln w="28575">
              <a:noFill/>
            </a:ln>
          </c:spPr>
          <c:marker>
            <c:symbol val="circle"/>
            <c:size val="7"/>
            <c:spPr>
              <a:noFill/>
              <a:ln w="19050">
                <a:solidFill>
                  <a:schemeClr val="accent6"/>
                </a:solidFill>
              </a:ln>
            </c:spPr>
          </c:marker>
          <c:xVal>
            <c:numRef>
              <c:f>Calculations!$DY$2:$DY$41</c:f>
              <c:numCache>
                <c:formatCode>0.00</c:formatCode>
                <c:ptCount val="4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numCache>
            </c:numRef>
          </c:xVal>
          <c:yVal>
            <c:numRef>
              <c:f>Calculations!$DZ$2:$DZ$41</c:f>
              <c:numCache>
                <c:formatCode>0.00</c:formatCode>
                <c:ptCount val="40"/>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numCache>
            </c:numRef>
          </c:yVal>
          <c:smooth val="0"/>
          <c:extLst xmlns:c16r2="http://schemas.microsoft.com/office/drawing/2015/06/chart">
            <c:ext xmlns:c16="http://schemas.microsoft.com/office/drawing/2014/chart" uri="{C3380CC4-5D6E-409C-BE32-E72D297353CC}">
              <c16:uniqueId val="{00000007-9345-4D18-80D3-FCCA127214EC}"/>
            </c:ext>
          </c:extLst>
        </c:ser>
        <c:dLbls>
          <c:showLegendKey val="0"/>
          <c:showVal val="0"/>
          <c:showCatName val="0"/>
          <c:showSerName val="0"/>
          <c:showPercent val="0"/>
          <c:showBubbleSize val="0"/>
        </c:dLbls>
        <c:axId val="161950528"/>
        <c:axId val="161951680"/>
      </c:scatterChart>
      <c:valAx>
        <c:axId val="161950528"/>
        <c:scaling>
          <c:orientation val="minMax"/>
        </c:scaling>
        <c:delete val="0"/>
        <c:axPos val="t"/>
        <c:title>
          <c:tx>
            <c:rich>
              <a:bodyPr rot="0" vert="horz"/>
              <a:lstStyle/>
              <a:p>
                <a:pPr>
                  <a:defRPr/>
                </a:pPr>
                <a:r>
                  <a:rPr lang="en-GB"/>
                  <a:t>Effect Size</a:t>
                </a:r>
                <a:endParaRPr lang="en-GB" baseline="-25000"/>
              </a:p>
            </c:rich>
          </c:tx>
          <c:layout>
            <c:manualLayout>
              <c:xMode val="edge"/>
              <c:yMode val="edge"/>
              <c:x val="0.50894129683016198"/>
              <c:y val="2.0881511432692601E-3"/>
            </c:manualLayout>
          </c:layout>
          <c:overlay val="0"/>
          <c:spPr>
            <a:noFill/>
            <a:ln>
              <a:noFill/>
            </a:ln>
            <a:effectLst/>
          </c:spPr>
        </c:title>
        <c:numFmt formatCode="0.00" sourceLinked="1"/>
        <c:majorTickMark val="in"/>
        <c:minorTickMark val="none"/>
        <c:tickLblPos val="nextTo"/>
        <c:spPr>
          <a:noFill/>
          <a:effectLst/>
        </c:spPr>
        <c:txPr>
          <a:bodyPr rot="-60000000" vert="horz"/>
          <a:lstStyle/>
          <a:p>
            <a:pPr>
              <a:defRPr/>
            </a:pPr>
            <a:endParaRPr lang="en-US"/>
          </a:p>
        </c:txPr>
        <c:crossAx val="161951680"/>
        <c:crossesAt val="0"/>
        <c:crossBetween val="midCat"/>
      </c:valAx>
      <c:valAx>
        <c:axId val="161951680"/>
        <c:scaling>
          <c:orientation val="maxMin"/>
        </c:scaling>
        <c:delete val="0"/>
        <c:axPos val="l"/>
        <c:title>
          <c:tx>
            <c:rich>
              <a:bodyPr rot="-5400000" vert="horz"/>
              <a:lstStyle/>
              <a:p>
                <a:pPr>
                  <a:defRPr/>
                </a:pPr>
                <a:r>
                  <a:rPr lang="en-GB"/>
                  <a:t>Standard error</a:t>
                </a:r>
                <a:endParaRPr lang="en-GB" baseline="-25000"/>
              </a:p>
            </c:rich>
          </c:tx>
          <c:overlay val="0"/>
          <c:spPr>
            <a:noFill/>
            <a:ln>
              <a:noFill/>
            </a:ln>
            <a:effectLst/>
          </c:spPr>
        </c:title>
        <c:numFmt formatCode="0.00" sourceLinked="1"/>
        <c:majorTickMark val="in"/>
        <c:minorTickMark val="none"/>
        <c:tickLblPos val="low"/>
        <c:spPr>
          <a:effectLst/>
        </c:spPr>
        <c:txPr>
          <a:bodyPr rot="-60000000" vert="horz"/>
          <a:lstStyle/>
          <a:p>
            <a:pPr>
              <a:defRPr/>
            </a:pPr>
            <a:endParaRPr lang="en-US"/>
          </a:p>
        </c:txPr>
        <c:crossAx val="161950528"/>
        <c:crosses val="autoZero"/>
        <c:crossBetween val="midCat"/>
      </c:valAx>
    </c:plotArea>
    <c:legend>
      <c:legendPos val="b"/>
      <c:legendEntry>
        <c:idx val="1"/>
        <c:delete val="1"/>
      </c:legendEntry>
      <c:legendEntry>
        <c:idx val="2"/>
        <c:delete val="1"/>
      </c:legendEntry>
      <c:legendEntry>
        <c:idx val="3"/>
        <c:delete val="1"/>
      </c:legendEntry>
      <c:legendEntry>
        <c:idx val="5"/>
        <c:delete val="1"/>
      </c:legendEntry>
      <c:layout>
        <c:manualLayout>
          <c:xMode val="edge"/>
          <c:yMode val="edge"/>
          <c:x val="0"/>
          <c:y val="0.91691064703868497"/>
          <c:w val="0.99837783930354196"/>
          <c:h val="6.5698048613488505E-2"/>
        </c:manualLayout>
      </c:layout>
      <c:overlay val="0"/>
    </c:legend>
    <c:plotVisOnly val="1"/>
    <c:dispBlanksAs val="gap"/>
    <c:showDLblsOverMax val="0"/>
  </c:chart>
  <c:spPr>
    <a:solidFill>
      <a:schemeClr val="bg1"/>
    </a:solidFill>
    <a:ln>
      <a:solidFill>
        <a:sysClr val="windowText" lastClr="000000"/>
      </a:solidFill>
    </a:ln>
    <a:effectLst/>
  </c:spPr>
  <c:txPr>
    <a:bodyPr/>
    <a:lstStyle/>
    <a:p>
      <a:pPr>
        <a:defRPr>
          <a:solidFill>
            <a:sysClr val="windowText" lastClr="000000"/>
          </a:solidFill>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F976D2-26C6-4C5A-BF3B-3A959FFA9D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88C2C441</Template>
  <TotalTime>0</TotalTime>
  <Pages>227</Pages>
  <Words>220682</Words>
  <Characters>1257889</Characters>
  <Application>Microsoft Office Word</Application>
  <DocSecurity>0</DocSecurity>
  <Lines>10482</Lines>
  <Paragraphs>2951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1475620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2018-11-25T09:36:00Z</dcterms:created>
  <dcterms:modified xsi:type="dcterms:W3CDTF">2019-03-19T09:38:00Z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http://www.zotero.org/styles/harvard1</vt:lpwstr>
  </property>
  <property fmtid="{D5CDD505-2E9C-101B-9397-08002B2CF9AE}" pid="15" name="Mendeley Recent Style Name 6_1">
    <vt:lpwstr>Harvard reference format 1 (deprecated)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Unique User Id_1">
    <vt:lpwstr>1ee3e580-8b20-3cd7-a3ab-8c0a592149cb</vt:lpwstr>
  </property>
  <property fmtid="{D5CDD505-2E9C-101B-9397-08002B2CF9AE}" pid="24" name="Mendeley Citation Style_1">
    <vt:lpwstr>http://www.zotero.org/styles/harvard1</vt:lpwstr>
  </property>
</Properties>
</file>